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6" w:right="479" w:bottom="706"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FLATLEY JAY 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05/25/2021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Dynamics Special Purpose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DYNS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706"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DYNAMICS SPECIAL</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PURPOSE CORP.</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2875 EL CAMINO REAL</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060" w:type="dxa"/>
            <w:vAlign w:val="bottom"/>
          </w:tcPr>
          <w:p>
            <w:pPr>
              <w:spacing w:after="0"/>
              <w:rPr>
                <w:sz w:val="20"/>
                <w:szCs w:val="20"/>
                <w:color w:val="auto"/>
              </w:rPr>
            </w:pPr>
            <w:r>
              <w:rPr>
                <w:rFonts w:ascii="Arial" w:cs="Arial" w:eastAsia="Arial" w:hAnsi="Arial"/>
                <w:sz w:val="15"/>
                <w:szCs w:val="15"/>
                <w:color w:val="auto"/>
              </w:rPr>
              <w:t>(Street)</w:t>
            </w: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31"/>
        </w:trPr>
        <w:tc>
          <w:tcPr>
            <w:tcW w:w="1060" w:type="dxa"/>
            <w:vAlign w:val="bottom"/>
          </w:tcPr>
          <w:p>
            <w:pPr>
              <w:ind w:left="40"/>
              <w:spacing w:after="0"/>
              <w:rPr>
                <w:sz w:val="20"/>
                <w:szCs w:val="20"/>
                <w:color w:val="auto"/>
              </w:rPr>
            </w:pPr>
            <w:r>
              <w:rPr>
                <w:rFonts w:ascii="Arial" w:cs="Arial" w:eastAsia="Arial" w:hAnsi="Arial"/>
                <w:sz w:val="20"/>
                <w:szCs w:val="20"/>
                <w:color w:val="0000FF"/>
                <w:w w:val="93"/>
              </w:rPr>
              <w:t>REDWOOD</w:t>
            </w:r>
          </w:p>
        </w:tc>
        <w:tc>
          <w:tcPr>
            <w:tcW w:w="680" w:type="dxa"/>
            <w:vAlign w:val="bottom"/>
          </w:tcPr>
          <w:p>
            <w:pPr>
              <w:ind w:left="40"/>
              <w:spacing w:after="0"/>
              <w:rPr>
                <w:sz w:val="20"/>
                <w:szCs w:val="20"/>
                <w:color w:val="auto"/>
              </w:rPr>
            </w:pPr>
            <w:r>
              <w:rPr>
                <w:rFonts w:ascii="Arial" w:cs="Arial" w:eastAsia="Arial" w:hAnsi="Arial"/>
                <w:sz w:val="20"/>
                <w:szCs w:val="20"/>
                <w:color w:val="0000FF"/>
              </w:rPr>
              <w:t>CA</w:t>
            </w:r>
          </w:p>
        </w:tc>
        <w:tc>
          <w:tcPr>
            <w:tcW w:w="860" w:type="dxa"/>
            <w:vAlign w:val="bottom"/>
          </w:tcPr>
          <w:p>
            <w:pPr>
              <w:jc w:val="right"/>
              <w:spacing w:after="0"/>
              <w:rPr>
                <w:sz w:val="20"/>
                <w:szCs w:val="20"/>
                <w:color w:val="auto"/>
              </w:rPr>
            </w:pPr>
            <w:r>
              <w:rPr>
                <w:rFonts w:ascii="Arial" w:cs="Arial" w:eastAsia="Arial" w:hAnsi="Arial"/>
                <w:sz w:val="20"/>
                <w:szCs w:val="20"/>
                <w:color w:val="0000FF"/>
              </w:rPr>
              <w:t>94061</w:t>
            </w:r>
          </w:p>
        </w:tc>
      </w:tr>
      <w:tr>
        <w:trPr>
          <w:trHeight w:val="248"/>
        </w:trPr>
        <w:tc>
          <w:tcPr>
            <w:tcW w:w="1060" w:type="dxa"/>
            <w:vAlign w:val="bottom"/>
          </w:tcPr>
          <w:p>
            <w:pPr>
              <w:ind w:left="40"/>
              <w:spacing w:after="0"/>
              <w:rPr>
                <w:sz w:val="20"/>
                <w:szCs w:val="20"/>
                <w:color w:val="auto"/>
              </w:rPr>
            </w:pPr>
            <w:r>
              <w:rPr>
                <w:rFonts w:ascii="Arial" w:cs="Arial" w:eastAsia="Arial" w:hAnsi="Arial"/>
                <w:sz w:val="20"/>
                <w:szCs w:val="20"/>
                <w:color w:val="0000FF"/>
              </w:rPr>
              <w:t>CITY</w:t>
            </w: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450" w:lineRule="exact"/>
        <w:rPr>
          <w:sz w:val="24"/>
          <w:szCs w:val="24"/>
          <w:color w:val="auto"/>
        </w:rPr>
      </w:pPr>
    </w:p>
    <w:p>
      <w:pPr>
        <w:sectPr>
          <w:pgSz w:w="11900" w:h="16838" w:orient="portrait"/>
          <w:cols w:equalWidth="0" w:num="3">
            <w:col w:w="4277" w:space="720"/>
            <w:col w:w="3003" w:space="269"/>
            <w:col w:w="2671"/>
          </w:cols>
          <w:pgMar w:left="480" w:top="236" w:right="479" w:bottom="706" w:gutter="0" w:footer="0" w:header="0"/>
          <w:type w:val="continuous"/>
        </w:sectPr>
      </w:pPr>
    </w:p>
    <w:p>
      <w:pPr>
        <w:spacing w:after="0" w:line="9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ind w:left="160"/>
              <w:spacing w:after="0"/>
              <w:rPr>
                <w:sz w:val="20"/>
                <w:szCs w:val="20"/>
                <w:color w:val="auto"/>
              </w:rPr>
            </w:pPr>
            <w:r>
              <w:rPr>
                <w:rFonts w:ascii="Arial" w:cs="Arial" w:eastAsia="Arial" w:hAnsi="Arial"/>
                <w:sz w:val="15"/>
                <w:szCs w:val="15"/>
                <w:b w:val="1"/>
                <w:bCs w:val="1"/>
                <w:color w:val="auto"/>
                <w:w w:val="99"/>
              </w:rPr>
              <w:t>2. Amount of Securities</w:t>
            </w:r>
          </w:p>
        </w:tc>
        <w:tc>
          <w:tcPr>
            <w:tcW w:w="1580" w:type="dxa"/>
            <w:vAlign w:val="bottom"/>
            <w:gridSpan w:val="2"/>
          </w:tcPr>
          <w:p>
            <w:pPr>
              <w:ind w:left="4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20" w:type="dxa"/>
            <w:vAlign w:val="bottom"/>
            <w:gridSpan w:val="3"/>
          </w:tcPr>
          <w:p>
            <w:pPr>
              <w:ind w:left="16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14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7"/>
              </w:rPr>
              <w:t>Ownership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4)</w:t>
            </w:r>
          </w:p>
        </w:tc>
        <w:tc>
          <w:tcPr>
            <w:tcW w:w="158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(D) or Indirect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gridSpan w:val="2"/>
          </w:tcPr>
          <w:p>
            <w:pPr>
              <w:ind w:left="400"/>
              <w:spacing w:after="0"/>
              <w:rPr>
                <w:sz w:val="20"/>
                <w:szCs w:val="20"/>
                <w:color w:val="auto"/>
              </w:rPr>
            </w:pPr>
            <w:r>
              <w:rPr>
                <w:rFonts w:ascii="Arial" w:cs="Arial" w:eastAsia="Arial" w:hAnsi="Arial"/>
                <w:sz w:val="15"/>
                <w:szCs w:val="15"/>
                <w:b w:val="1"/>
                <w:bCs w:val="1"/>
                <w:color w:val="auto"/>
              </w:rPr>
              <w:t>(I) (Instr. 5)</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ind w:left="780"/>
              <w:spacing w:after="0"/>
              <w:rPr>
                <w:sz w:val="20"/>
                <w:szCs w:val="20"/>
                <w:color w:val="auto"/>
              </w:rPr>
            </w:pPr>
            <w:r>
              <w:rPr>
                <w:rFonts w:ascii="Arial" w:cs="Arial" w:eastAsia="Arial" w:hAnsi="Arial"/>
                <w:sz w:val="20"/>
                <w:szCs w:val="20"/>
                <w:color w:val="0000FF"/>
              </w:rPr>
              <w:t>10,733</w:t>
            </w:r>
            <w:r>
              <w:rPr>
                <w:rFonts w:ascii="Arial" w:cs="Arial" w:eastAsia="Arial" w:hAnsi="Arial"/>
                <w:sz w:val="25"/>
                <w:szCs w:val="25"/>
                <w:color w:val="008000"/>
                <w:vertAlign w:val="superscript"/>
              </w:rPr>
              <w:t>(1)</w:t>
            </w:r>
          </w:p>
        </w:tc>
        <w:tc>
          <w:tcPr>
            <w:tcW w:w="1000" w:type="dxa"/>
            <w:vAlign w:val="bottom"/>
            <w:tcBorders>
              <w:bottom w:val="single" w:sz="8" w:color="2C2C2C"/>
            </w:tcBorders>
          </w:tcPr>
          <w:p>
            <w:pPr>
              <w:ind w:left="880"/>
              <w:spacing w:after="0"/>
              <w:rPr>
                <w:sz w:val="20"/>
                <w:szCs w:val="20"/>
                <w:color w:val="auto"/>
              </w:rPr>
            </w:pPr>
            <w:r>
              <w:rPr>
                <w:rFonts w:ascii="Arial" w:cs="Arial" w:eastAsia="Arial" w:hAnsi="Arial"/>
                <w:sz w:val="20"/>
                <w:szCs w:val="20"/>
                <w:color w:val="0000FF"/>
              </w:rPr>
              <w:t>I</w:t>
            </w:r>
          </w:p>
        </w:tc>
        <w:tc>
          <w:tcPr>
            <w:tcW w:w="5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1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5300" w:type="dxa"/>
            <w:vAlign w:val="bottom"/>
            <w:tcBorders>
              <w:top w:val="single" w:sz="8" w:color="2C2C2C"/>
            </w:tcBorders>
            <w:gridSpan w:val="5"/>
          </w:tcPr>
          <w:p>
            <w:pPr>
              <w:ind w:left="3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8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00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0" w:type="dxa"/>
            <w:vAlign w:val="bottom"/>
            <w:vMerge w:val="restart"/>
          </w:tcPr>
          <w:p>
            <w:pPr>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40" w:type="dxa"/>
            <w:vAlign w:val="bottom"/>
            <w:vMerge w:val="continue"/>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108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(3)</w:t>
            </w:r>
          </w:p>
        </w:tc>
        <w:tc>
          <w:tcPr>
            <w:tcW w:w="1840" w:type="dxa"/>
            <w:vAlign w:val="bottom"/>
          </w:tcPr>
          <w:p>
            <w:pPr>
              <w:ind w:left="200"/>
              <w:spacing w:after="0"/>
              <w:rPr>
                <w:sz w:val="20"/>
                <w:szCs w:val="20"/>
                <w:color w:val="auto"/>
              </w:rPr>
            </w:pPr>
            <w:r>
              <w:rPr>
                <w:rFonts w:ascii="Arial" w:cs="Arial" w:eastAsia="Arial" w:hAnsi="Arial"/>
                <w:sz w:val="20"/>
                <w:szCs w:val="20"/>
                <w:color w:val="0000FF"/>
              </w:rPr>
              <w:t>Class A common</w:t>
            </w:r>
          </w:p>
        </w:tc>
        <w:tc>
          <w:tcPr>
            <w:tcW w:w="1000" w:type="dxa"/>
            <w:vAlign w:val="bottom"/>
            <w:vMerge w:val="restart"/>
          </w:tcPr>
          <w:p>
            <w:pPr>
              <w:spacing w:after="0"/>
              <w:rPr>
                <w:sz w:val="20"/>
                <w:szCs w:val="20"/>
                <w:color w:val="auto"/>
              </w:rPr>
            </w:pPr>
            <w:r>
              <w:rPr>
                <w:rFonts w:ascii="Arial" w:cs="Arial" w:eastAsia="Arial" w:hAnsi="Arial"/>
                <w:sz w:val="20"/>
                <w:szCs w:val="20"/>
                <w:color w:val="0000FF"/>
                <w:w w:val="86"/>
              </w:rPr>
              <w:t>112,519</w:t>
            </w:r>
            <w:r>
              <w:rPr>
                <w:rFonts w:ascii="Arial" w:cs="Arial" w:eastAsia="Arial" w:hAnsi="Arial"/>
                <w:sz w:val="25"/>
                <w:szCs w:val="25"/>
                <w:color w:val="008000"/>
                <w:w w:val="86"/>
                <w:vertAlign w:val="superscript"/>
              </w:rPr>
              <w:t>(3)(4)</w:t>
            </w:r>
          </w:p>
        </w:tc>
        <w:tc>
          <w:tcPr>
            <w:tcW w:w="980" w:type="dxa"/>
            <w:vAlign w:val="bottom"/>
            <w:gridSpan w:val="2"/>
            <w:vMerge w:val="restart"/>
          </w:tcPr>
          <w:p>
            <w:pPr>
              <w:ind w:left="320"/>
              <w:spacing w:after="0"/>
              <w:rPr>
                <w:sz w:val="20"/>
                <w:szCs w:val="20"/>
                <w:color w:val="auto"/>
              </w:rPr>
            </w:pPr>
            <w:r>
              <w:rPr>
                <w:rFonts w:ascii="Arial" w:cs="Arial" w:eastAsia="Arial" w:hAnsi="Arial"/>
                <w:sz w:val="20"/>
                <w:szCs w:val="20"/>
                <w:color w:val="0000FF"/>
              </w:rPr>
              <w:t>0.00</w:t>
            </w:r>
          </w:p>
        </w:tc>
        <w:tc>
          <w:tcPr>
            <w:tcW w:w="100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380" w:type="dxa"/>
            <w:vAlign w:val="bottom"/>
            <w:gridSpan w:val="2"/>
            <w:vMerge w:val="restart"/>
          </w:tcPr>
          <w:p>
            <w:pPr>
              <w:ind w:left="2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40" w:type="dxa"/>
            <w:vAlign w:val="bottom"/>
            <w:vMerge w:val="restart"/>
          </w:tcPr>
          <w:p>
            <w:pPr>
              <w:ind w:left="680"/>
              <w:spacing w:after="0"/>
              <w:rPr>
                <w:sz w:val="20"/>
                <w:szCs w:val="20"/>
                <w:color w:val="auto"/>
              </w:rPr>
            </w:pPr>
            <w:r>
              <w:rPr>
                <w:rFonts w:ascii="Arial" w:cs="Arial" w:eastAsia="Arial" w:hAnsi="Arial"/>
                <w:sz w:val="20"/>
                <w:szCs w:val="20"/>
                <w:color w:val="0000FF"/>
              </w:rPr>
              <w:t>stock</w:t>
            </w:r>
          </w:p>
        </w:tc>
        <w:tc>
          <w:tcPr>
            <w:tcW w:w="100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Up to 900 of these shares of Class A common stock will be forfeited in the event the underwriters for the Issuer's initial public offering do not exercise in full their overallotment option in connection with that offering, all as described in the Issuer's prospectus on Form S-1 filed on May 7, 2021 (the "Prospectus").</w:t>
      </w:r>
    </w:p>
    <w:p>
      <w:pPr>
        <w:spacing w:after="0" w:line="26" w:lineRule="exact"/>
        <w:rPr>
          <w:rFonts w:ascii="Arial" w:cs="Arial" w:eastAsia="Arial" w:hAnsi="Arial"/>
          <w:sz w:val="15"/>
          <w:szCs w:val="15"/>
          <w:color w:val="008000"/>
        </w:rPr>
      </w:pPr>
    </w:p>
    <w:p>
      <w:pPr>
        <w:ind w:left="40" w:right="20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Dynamics Sponsor LLC, a Delaware limited liability company, (the "Sponsor") is the record holder of these shares. The Sponsor is governed by a board of managers consisting of Omid Farokhzad and Mostafa Ronaghi who hold an economic interest therein. Any action by the Sponsor with respect to Issuer or the shares reported above, including voting and dispositive decisions, requires unanimous approval of the managers.</w:t>
      </w:r>
    </w:p>
    <w:p>
      <w:pPr>
        <w:spacing w:after="0" w:line="35" w:lineRule="exact"/>
        <w:rPr>
          <w:rFonts w:ascii="Arial" w:cs="Arial" w:eastAsia="Arial" w:hAnsi="Arial"/>
          <w:sz w:val="15"/>
          <w:szCs w:val="15"/>
          <w:color w:val="008000"/>
        </w:rPr>
      </w:pPr>
    </w:p>
    <w:p>
      <w:pPr>
        <w:ind w:left="40" w:right="40" w:firstLine="5"/>
        <w:spacing w:after="0" w:line="313"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These shares of Class B common stock will automatically convert on a one-for-one basis (subject to adjustment) into Class A common stock for no additional consideration at the time of the initial business combination by the Issuer, subject to the adjustments described in the Prospectus. The shares of Class B Common Stock have no expiration date.</w:t>
      </w:r>
    </w:p>
    <w:p>
      <w:pPr>
        <w:ind w:left="40" w:right="8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Up to 4,894 of these shares of Class B common stock will be forfeited in the event the underwriters for the Issuer's initial public offering do not exercise in full their overallotment option in connection with that offering, all as described in the Prospectus.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Mostafa Ronaghi, as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1"/>
              </w:rPr>
              <w:t>attorney-in-fact for Jay T.  05/25/2021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8"/>
              </w:rPr>
              <w:t>Flatley</w:t>
            </w:r>
          </w:p>
        </w:tc>
        <w:tc>
          <w:tcPr>
            <w:tcW w:w="1460" w:type="dxa"/>
            <w:vAlign w:val="bottom"/>
            <w:tcBorders>
              <w:top w:val="single" w:sz="8" w:color="auto"/>
            </w:tcBorders>
            <w:gridSpan w:val="2"/>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0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4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4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706" w:gutter="0" w:footer="0" w:header="0"/>
          <w:type w:val="continuous"/>
        </w:sectPr>
      </w:pPr>
    </w:p>
    <w:bookmarkStart w:id="1" w:name="page2"/>
    <w:bookmarkEnd w:id="1"/>
    <w:p>
      <w:pPr>
        <w:ind w:left="8080"/>
        <w:spacing w:after="0"/>
        <w:rPr>
          <w:sz w:val="20"/>
          <w:szCs w:val="20"/>
          <w:color w:val="auto"/>
        </w:rPr>
      </w:pPr>
      <w:r>
        <w:rPr>
          <w:rFonts w:ascii="Courier New" w:cs="Courier New" w:eastAsia="Courier New" w:hAnsi="Courier New"/>
          <w:sz w:val="20"/>
          <w:szCs w:val="20"/>
          <w:color w:val="auto"/>
        </w:rPr>
        <w:t>Exhibit 24</w:t>
      </w:r>
    </w:p>
    <w:p>
      <w:pPr>
        <w:ind w:left="3620"/>
        <w:spacing w:after="0" w:line="238" w:lineRule="auto"/>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KNOW ALL MEN BY THESE PRESENTS, that the undersigned hereby constitutes and appoints each and any of Mostafa Ronaghi its true and lawful attorney-in-fact and agent, with full power of substitution and re-substitution, for him and in his name, place and stead, in any and all capacities (until revoked in writing) to:</w:t>
      </w:r>
    </w:p>
    <w:p>
      <w:pPr>
        <w:spacing w:after="0" w:line="232" w:lineRule="exact"/>
        <w:rPr>
          <w:sz w:val="20"/>
          <w:szCs w:val="20"/>
          <w:color w:val="auto"/>
        </w:rPr>
      </w:pPr>
    </w:p>
    <w:p>
      <w:pPr>
        <w:ind w:right="619" w:firstLine="468"/>
        <w:spacing w:after="0" w:line="237" w:lineRule="auto"/>
        <w:tabs>
          <w:tab w:leader="none" w:pos="819"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Sign any and all instruments, certificates and documents appropriate or required to be executed on behalf of the undersigned pursuant to sections 13 and 16 of the Securities Exchange Act of 1934, as amended (the "Exchange Act"), and any and all regulations promulgated thereunder (including, without limitation, any Joint Filing Agreement with respect thereto), and to file the same, with all exhibits thereto, and any other documents in connection therewith, with the Securities and Exchange Commission (the "SEC"), and with any other entity when and if such is mandated by the Exchange Act or by the Bylaws of the Financial Industry Regulatory Authority;</w:t>
      </w:r>
    </w:p>
    <w:p>
      <w:pPr>
        <w:spacing w:after="0" w:line="237" w:lineRule="exact"/>
        <w:rPr>
          <w:rFonts w:ascii="Courier New" w:cs="Courier New" w:eastAsia="Courier New" w:hAnsi="Courier New"/>
          <w:sz w:val="20"/>
          <w:szCs w:val="20"/>
          <w:color w:val="auto"/>
        </w:rPr>
      </w:pPr>
    </w:p>
    <w:p>
      <w:pPr>
        <w:ind w:right="739" w:firstLine="468"/>
        <w:spacing w:after="0" w:line="236" w:lineRule="auto"/>
        <w:tabs>
          <w:tab w:leader="none" w:pos="819"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acknowledge, deliver and file a Form ID (including any amendments or authentications thereto) with respect to obtaining EDGAR codes, with the SEC;</w:t>
      </w:r>
    </w:p>
    <w:p>
      <w:pPr>
        <w:spacing w:after="0" w:line="232" w:lineRule="exact"/>
        <w:rPr>
          <w:rFonts w:ascii="Courier New" w:cs="Courier New" w:eastAsia="Courier New" w:hAnsi="Courier New"/>
          <w:sz w:val="20"/>
          <w:szCs w:val="20"/>
          <w:color w:val="auto"/>
        </w:rPr>
      </w:pPr>
    </w:p>
    <w:p>
      <w:pPr>
        <w:ind w:right="619" w:firstLine="468"/>
        <w:spacing w:after="0" w:line="268" w:lineRule="auto"/>
        <w:tabs>
          <w:tab w:leader="none" w:pos="81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representative of the undersigned and on behalf of the undersigned, information on transactions in the securities of Dynamics Special Purpose Corp., from any third party, including brokers, employee benefit plan administrators and trustees, and the undersigned hereby authorizes any such person to release any such information to such attorneys-in-fact and the undersigned approves and ratifies any such release of information; and</w:t>
      </w:r>
    </w:p>
    <w:p>
      <w:pPr>
        <w:spacing w:after="0" w:line="209" w:lineRule="exact"/>
        <w:rPr>
          <w:rFonts w:ascii="Courier New" w:cs="Courier New" w:eastAsia="Courier New" w:hAnsi="Courier New"/>
          <w:sz w:val="18"/>
          <w:szCs w:val="18"/>
          <w:color w:val="auto"/>
        </w:rPr>
      </w:pPr>
    </w:p>
    <w:p>
      <w:pPr>
        <w:ind w:right="619" w:firstLine="468"/>
        <w:spacing w:after="0" w:line="236" w:lineRule="auto"/>
        <w:tabs>
          <w:tab w:leader="none" w:pos="819"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perform any and all other acts which in the discretion of such attorneys-in-fact are necessary or desirable for and on behalf of the undersigned in connection with the foregoing.</w:t>
      </w: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230" w:lineRule="exact"/>
        <w:rPr>
          <w:sz w:val="20"/>
          <w:szCs w:val="20"/>
          <w:color w:val="auto"/>
        </w:rPr>
      </w:pPr>
    </w:p>
    <w:p>
      <w:pPr>
        <w:ind w:right="619" w:firstLine="468"/>
        <w:spacing w:after="0" w:line="236" w:lineRule="auto"/>
        <w:tabs>
          <w:tab w:leader="none" w:pos="819"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authorizes, but does not require, such attorneys-in-fact to act in their discretion on information provided to such attorneys-in-fact without independent verification of such information;</w:t>
      </w:r>
    </w:p>
    <w:p>
      <w:pPr>
        <w:spacing w:after="0" w:line="232" w:lineRule="exact"/>
        <w:rPr>
          <w:rFonts w:ascii="Courier New" w:cs="Courier New" w:eastAsia="Courier New" w:hAnsi="Courier New"/>
          <w:sz w:val="20"/>
          <w:szCs w:val="20"/>
          <w:color w:val="auto"/>
        </w:rPr>
      </w:pPr>
    </w:p>
    <w:p>
      <w:pPr>
        <w:ind w:right="739" w:firstLine="468"/>
        <w:spacing w:after="0" w:line="237" w:lineRule="auto"/>
        <w:tabs>
          <w:tab w:leader="none" w:pos="819"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and/or executed by such attorneys-in-fact on behalf of any of the undersigned pursuant to this Power of Attorney will be in such form and will contain such information and disclosure as such attorney-in-fact, in his or her discretion, deems necessary or desirable;</w:t>
      </w:r>
    </w:p>
    <w:p>
      <w:pPr>
        <w:spacing w:after="0" w:line="230" w:lineRule="exact"/>
        <w:rPr>
          <w:rFonts w:ascii="Courier New" w:cs="Courier New" w:eastAsia="Courier New" w:hAnsi="Courier New"/>
          <w:sz w:val="20"/>
          <w:szCs w:val="20"/>
          <w:color w:val="auto"/>
        </w:rPr>
      </w:pPr>
    </w:p>
    <w:p>
      <w:pPr>
        <w:ind w:right="739" w:firstLine="468"/>
        <w:spacing w:after="0" w:line="237" w:lineRule="auto"/>
        <w:tabs>
          <w:tab w:leader="none" w:pos="819"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such attorneys-in-fact assumes (a) any liability for responsibility to comply with the requirements of the Exchange Act for any of the undersigned, (b) any liability for any failure to comply with such requirements for any of the undersigned, or (c) any obligation or liability for profit disgorgement under Section 16(b) of the Exchange Act for any of the undersigned; and</w:t>
      </w:r>
    </w:p>
    <w:p>
      <w:pPr>
        <w:spacing w:after="0" w:line="233" w:lineRule="exact"/>
        <w:rPr>
          <w:rFonts w:ascii="Courier New" w:cs="Courier New" w:eastAsia="Courier New" w:hAnsi="Courier New"/>
          <w:sz w:val="20"/>
          <w:szCs w:val="20"/>
          <w:color w:val="auto"/>
        </w:rPr>
      </w:pPr>
    </w:p>
    <w:p>
      <w:pPr>
        <w:jc w:val="both"/>
        <w:ind w:right="1199" w:firstLine="468"/>
        <w:spacing w:after="0" w:line="237" w:lineRule="auto"/>
        <w:tabs>
          <w:tab w:leader="none" w:pos="819"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any of the undersigned from responsibility for compliance with the undersigned's obligations under the Exchange Act, including without limitation the reporting requirements under Sections 13 and 16 of the Exchange Act.</w:t>
      </w:r>
    </w:p>
    <w:p>
      <w:pPr>
        <w:spacing w:after="0" w:line="231" w:lineRule="exact"/>
        <w:rPr>
          <w:sz w:val="20"/>
          <w:szCs w:val="20"/>
          <w:color w:val="auto"/>
        </w:rPr>
      </w:pPr>
    </w:p>
    <w:p>
      <w:pPr>
        <w:ind w:right="619" w:firstLine="468"/>
        <w:spacing w:after="0" w:line="237" w:lineRule="auto"/>
        <w:rPr>
          <w:sz w:val="20"/>
          <w:szCs w:val="20"/>
          <w:color w:val="auto"/>
        </w:rPr>
      </w:pPr>
      <w:r>
        <w:rPr>
          <w:rFonts w:ascii="Courier New" w:cs="Courier New" w:eastAsia="Courier New" w:hAnsi="Courier New"/>
          <w:sz w:val="20"/>
          <w:szCs w:val="20"/>
          <w:color w:val="auto"/>
        </w:rPr>
        <w:t>The undersigned hereby gives and grants the foregoing attorneys-in-fact full power and authority to do and perform all and every act and thing whatsoever requisite, necessary or appropriate to be done in and about the foregoing matters as fully to all intents and purposes as the undersigned might or could do if present, with full power of substitution and revocation, hereby ratifying all that such attorney-in-fact, or such attorney-in-fact's substitute or substitutes, of, for and on behalf of the undersigned, shall lawfully do or cause to be done by virtue of this Power of Attorney. This Power of Attorney shall remain in full force and effect until revoked by the undersigned in a signed writing delivered to such attorneys-in-fact.</w:t>
      </w:r>
    </w:p>
    <w:p>
      <w:pPr>
        <w:spacing w:after="0" w:line="200" w:lineRule="exact"/>
        <w:rPr>
          <w:sz w:val="20"/>
          <w:szCs w:val="20"/>
          <w:color w:val="auto"/>
        </w:rPr>
      </w:pPr>
    </w:p>
    <w:p>
      <w:pPr>
        <w:spacing w:after="0" w:line="258" w:lineRule="exact"/>
        <w:rPr>
          <w:sz w:val="20"/>
          <w:szCs w:val="20"/>
          <w:color w:val="auto"/>
        </w:rPr>
      </w:pPr>
    </w:p>
    <w:p>
      <w:pPr>
        <w:ind w:left="3280"/>
        <w:spacing w:after="0"/>
        <w:rPr>
          <w:sz w:val="20"/>
          <w:szCs w:val="20"/>
          <w:color w:val="auto"/>
        </w:rPr>
      </w:pPr>
      <w:r>
        <w:rPr>
          <w:rFonts w:ascii="Courier New" w:cs="Courier New" w:eastAsia="Courier New" w:hAnsi="Courier New"/>
          <w:sz w:val="20"/>
          <w:szCs w:val="20"/>
          <w:color w:val="auto"/>
        </w:rPr>
        <w:t>[Signature page follows]</w:t>
      </w:r>
    </w:p>
    <w:p>
      <w:pPr>
        <w:sectPr>
          <w:pgSz w:w="11900" w:h="16838" w:orient="portrait"/>
          <w:cols w:equalWidth="0" w:num="1">
            <w:col w:w="9979"/>
          </w:cols>
          <w:pgMar w:left="480" w:top="136" w:right="1440" w:bottom="379" w:gutter="0" w:footer="0" w:header="0"/>
        </w:sectPr>
      </w:pPr>
    </w:p>
    <w:bookmarkStart w:id="2" w:name="page3"/>
    <w:bookmarkEnd w:id="2"/>
    <w:p>
      <w:pPr>
        <w:ind w:right="739" w:firstLine="468"/>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25th day of May, 2021</w:t>
      </w:r>
    </w:p>
    <w:p>
      <w:pPr>
        <w:spacing w:after="0" w:line="224" w:lineRule="exact"/>
        <w:rPr>
          <w:sz w:val="20"/>
          <w:szCs w:val="20"/>
          <w:color w:val="auto"/>
        </w:rPr>
      </w:pPr>
    </w:p>
    <w:p>
      <w:pPr>
        <w:ind w:left="3860"/>
        <w:spacing w:after="0"/>
        <w:rPr>
          <w:sz w:val="20"/>
          <w:szCs w:val="20"/>
          <w:color w:val="auto"/>
        </w:rPr>
      </w:pPr>
      <w:r>
        <w:rPr>
          <w:rFonts w:ascii="Courier New" w:cs="Courier New" w:eastAsia="Courier New" w:hAnsi="Courier New"/>
          <w:sz w:val="20"/>
          <w:szCs w:val="20"/>
          <w:color w:val="auto"/>
        </w:rPr>
        <w:t>/s/ Jay T. Flatley</w:t>
      </w:r>
    </w:p>
    <w:p>
      <w:pPr>
        <w:ind w:left="3860"/>
        <w:spacing w:after="0" w:line="238" w:lineRule="auto"/>
        <w:rPr>
          <w:sz w:val="20"/>
          <w:szCs w:val="20"/>
          <w:color w:val="auto"/>
        </w:rPr>
      </w:pPr>
      <w:r>
        <w:rPr>
          <w:rFonts w:ascii="Courier New" w:cs="Courier New" w:eastAsia="Courier New" w:hAnsi="Courier New"/>
          <w:sz w:val="20"/>
          <w:szCs w:val="20"/>
          <w:color w:val="auto"/>
        </w:rPr>
        <w:t>------------------------------------------</w:t>
      </w:r>
    </w:p>
    <w:p>
      <w:pPr>
        <w:jc w:val="center"/>
        <w:ind w:right="-80"/>
        <w:spacing w:after="0" w:line="238" w:lineRule="auto"/>
        <w:rPr>
          <w:sz w:val="20"/>
          <w:szCs w:val="20"/>
          <w:color w:val="auto"/>
        </w:rPr>
      </w:pPr>
      <w:r>
        <w:rPr>
          <w:rFonts w:ascii="Courier New" w:cs="Courier New" w:eastAsia="Courier New" w:hAnsi="Courier New"/>
          <w:sz w:val="20"/>
          <w:szCs w:val="20"/>
          <w:color w:val="auto"/>
        </w:rPr>
        <w:t>Name: Jay T. Flatley</w:t>
      </w:r>
    </w:p>
    <w:sectPr>
      <w:pgSz w:w="11900" w:h="16838" w:orient="portrait"/>
      <w:cols w:equalWidth="0" w:num="1">
        <w:col w:w="9979"/>
      </w:cols>
      <w:pgMar w:left="48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89130" TargetMode="External"/><Relationship Id="rId11" Type="http://schemas.openxmlformats.org/officeDocument/2006/relationships/hyperlink" Target="http://www.sec.gov/cgi-bin/browse-edgar?action=getcompany&amp;CIK=00018542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2021-05-25T19:25:08Z</dcterms:created>
  <dcterms:modified xsi:type="dcterms:W3CDTF">2021-05-25T19:25:08Z</dcterms:modified>
</cp:coreProperties>
</file>