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76" w:before="80" w:after="283"/>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76"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76" w:before="0" w:after="6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76" w:before="0" w:after="40"/>
        <w:jc w:val="center"/>
        <w:rPr>
          <w:rFonts w:ascii="Times New Roman;serif" w:hAnsi="Times New Roman;serif"/>
          <w:b w:val="false"/>
          <w:color w:val="000000"/>
          <w:sz w:val="12"/>
        </w:rPr>
      </w:pPr>
      <w:r>
        <w:rPr>
          <w:rFonts w:ascii="Times New Roman;serif" w:hAnsi="Times New Roman;serif"/>
          <w:b w:val="false"/>
          <w:color w:val="000000"/>
          <w:sz w:val="12"/>
        </w:rPr>
        <w:t>___________________________________</w:t>
      </w:r>
    </w:p>
    <w:p>
      <w:pPr>
        <w:pStyle w:val="TextBody"/>
        <w:bidi w:val="0"/>
        <w:spacing w:lineRule="auto" w:line="276" w:before="180" w:after="283"/>
        <w:jc w:val="center"/>
        <w:rPr>
          <w:rFonts w:ascii="Times New Roman;serif" w:hAnsi="Times New Roman;serif"/>
          <w:b/>
          <w:color w:val="000000"/>
          <w:sz w:val="36"/>
        </w:rPr>
      </w:pPr>
      <w:r>
        <w:rPr>
          <w:rFonts w:ascii="Times New Roman;serif" w:hAnsi="Times New Roman;serif"/>
          <w:b/>
          <w:color w:val="000000"/>
          <w:sz w:val="36"/>
        </w:rPr>
        <w:t>FORM 8-K</w:t>
      </w:r>
    </w:p>
    <w:p>
      <w:pPr>
        <w:pStyle w:val="TextBody"/>
        <w:bidi w:val="0"/>
        <w:spacing w:lineRule="auto" w:line="276" w:before="0" w:after="40"/>
        <w:jc w:val="center"/>
        <w:rPr>
          <w:rFonts w:ascii="Times New Roman;serif" w:hAnsi="Times New Roman;serif"/>
          <w:b w:val="false"/>
          <w:color w:val="000000"/>
          <w:sz w:val="12"/>
        </w:rPr>
      </w:pPr>
      <w:r>
        <w:rPr>
          <w:rFonts w:ascii="Times New Roman;serif" w:hAnsi="Times New Roman;serif"/>
          <w:b w:val="false"/>
          <w:color w:val="000000"/>
          <w:sz w:val="12"/>
        </w:rPr>
        <w:t>___________________________________</w:t>
      </w:r>
    </w:p>
    <w:p>
      <w:pPr>
        <w:pStyle w:val="TextBody"/>
        <w:bidi w:val="0"/>
        <w:spacing w:lineRule="auto" w:line="276" w:before="200" w:after="283"/>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76" w:before="0" w:after="0"/>
        <w:jc w:val="center"/>
        <w:rPr>
          <w:rFonts w:ascii="Times New Roman;serif" w:hAnsi="Times New Roman;serif"/>
          <w:b/>
          <w:color w:val="000000"/>
          <w:sz w:val="24"/>
        </w:rPr>
      </w:pPr>
      <w:r>
        <w:rPr>
          <w:rFonts w:ascii="Times New Roman;serif" w:hAnsi="Times New Roman;serif"/>
          <w:b/>
          <w:color w:val="000000"/>
          <w:sz w:val="24"/>
        </w:rPr>
        <w:t>Pursuant to Section 13 or 15(d)</w:t>
      </w:r>
    </w:p>
    <w:p>
      <w:pPr>
        <w:pStyle w:val="TextBody"/>
        <w:bidi w:val="0"/>
        <w:spacing w:lineRule="auto" w:line="276" w:before="0" w:after="0"/>
        <w:jc w:val="center"/>
        <w:rPr>
          <w:rFonts w:ascii="Times New Roman;serif" w:hAnsi="Times New Roman;serif"/>
          <w:b/>
          <w:color w:val="000000"/>
          <w:sz w:val="24"/>
        </w:rPr>
      </w:pPr>
      <w:r>
        <w:rPr>
          <w:rFonts w:ascii="Times New Roman;serif" w:hAnsi="Times New Roman;serif"/>
          <w:b/>
          <w:color w:val="000000"/>
          <w:sz w:val="24"/>
        </w:rPr>
        <w:t>of the Securities Exchange Act of 1934</w:t>
      </w:r>
    </w:p>
    <w:p>
      <w:pPr>
        <w:pStyle w:val="TextBody"/>
        <w:bidi w:val="0"/>
        <w:spacing w:lineRule="auto" w:line="276" w:before="200" w:after="283"/>
        <w:jc w:val="center"/>
        <w:rPr>
          <w:rFonts w:ascii="Times New Roman;serif" w:hAnsi="Times New Roman;serif"/>
          <w:b/>
          <w:color w:val="000000"/>
          <w:sz w:val="24"/>
        </w:rPr>
      </w:pPr>
      <w:r>
        <w:rPr>
          <w:rFonts w:ascii="Times New Roman;serif" w:hAnsi="Times New Roman;serif"/>
          <w:b/>
          <w:color w:val="000000"/>
          <w:sz w:val="24"/>
        </w:rPr>
        <w:t>Date of Report (Date of earliest event reported): August 14, 2026</w:t>
      </w:r>
    </w:p>
    <w:p>
      <w:pPr>
        <w:pStyle w:val="TextBody"/>
        <w:bidi w:val="0"/>
        <w:spacing w:lineRule="auto" w:line="276" w:before="0" w:after="40"/>
        <w:jc w:val="center"/>
        <w:rPr>
          <w:rFonts w:ascii="Times New Roman;serif" w:hAnsi="Times New Roman;serif"/>
          <w:b w:val="false"/>
          <w:color w:val="000000"/>
          <w:sz w:val="12"/>
        </w:rPr>
      </w:pPr>
      <w:r>
        <w:rPr>
          <w:rFonts w:ascii="Times New Roman;serif" w:hAnsi="Times New Roman;serif"/>
          <w:b w:val="false"/>
          <w:color w:val="000000"/>
          <w:sz w:val="12"/>
        </w:rPr>
        <w:t>___________________________________</w:t>
      </w:r>
    </w:p>
    <w:p>
      <w:pPr>
        <w:pStyle w:val="TextBody"/>
        <w:bidi w:val="0"/>
        <w:spacing w:lineRule="auto" w:line="276" w:before="120" w:after="283"/>
        <w:jc w:val="center"/>
        <w:rPr>
          <w:rFonts w:ascii="Times New Roman;serif" w:hAnsi="Times New Roman;serif"/>
          <w:b/>
          <w:color w:val="000000"/>
          <w:sz w:val="48"/>
        </w:rPr>
      </w:pPr>
      <w:r>
        <w:rPr>
          <w:rFonts w:ascii="Times New Roman;serif" w:hAnsi="Times New Roman;serif"/>
          <w:b/>
          <w:color w:val="000000"/>
          <w:sz w:val="48"/>
        </w:rPr>
        <w:t>SENTI BIOSCIENCES HOLDINGS, INC.</w: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p>
      <w:pPr>
        <w:pStyle w:val="TextBody"/>
        <w:bidi w:val="0"/>
        <w:spacing w:lineRule="auto" w:line="276" w:before="0" w:after="40"/>
        <w:jc w:val="center"/>
        <w:rPr>
          <w:rFonts w:ascii="Times New Roman;serif" w:hAnsi="Times New Roman;serif"/>
          <w:b w:val="false"/>
          <w:color w:val="000000"/>
          <w:sz w:val="12"/>
        </w:rPr>
      </w:pPr>
      <w:r>
        <w:rPr>
          <w:rFonts w:ascii="Times New Roman;serif" w:hAnsi="Times New Roman;serif"/>
          <w:b w:val="false"/>
          <w:color w:val="000000"/>
          <w:sz w:val="12"/>
        </w:rPr>
        <w:t>___________________________________</w:t>
      </w:r>
    </w:p>
    <w:tbl>
      <w:tblPr>
        <w:tblW w:w="5271" w:type="dxa"/>
        <w:jc w:val="center"/>
        <w:tblInd w:w="0" w:type="dxa"/>
        <w:tblLayout w:type="fixed"/>
        <w:tblCellMar>
          <w:top w:w="28" w:type="dxa"/>
          <w:left w:w="28" w:type="dxa"/>
          <w:bottom w:w="28" w:type="dxa"/>
          <w:right w:w="28" w:type="dxa"/>
        </w:tblCellMar>
      </w:tblPr>
      <w:tblGrid>
        <w:gridCol w:w="748"/>
        <w:gridCol w:w="656"/>
        <w:gridCol w:w="665"/>
        <w:gridCol w:w="109"/>
        <w:gridCol w:w="109"/>
        <w:gridCol w:w="109"/>
        <w:gridCol w:w="353"/>
        <w:gridCol w:w="353"/>
        <w:gridCol w:w="358"/>
        <w:gridCol w:w="109"/>
        <w:gridCol w:w="109"/>
        <w:gridCol w:w="109"/>
        <w:gridCol w:w="433"/>
        <w:gridCol w:w="433"/>
        <w:gridCol w:w="618"/>
      </w:tblGrid>
      <w:tr>
        <w:trPr/>
        <w:tc>
          <w:tcPr>
            <w:tcW w:w="748"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001-40440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42-1912154</w:t>
            </w:r>
          </w:p>
        </w:tc>
      </w:tr>
      <w:tr>
        <w:trPr/>
        <w:tc>
          <w:tcPr>
            <w:tcW w:w="206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(State or other jurisdiction</w:t>
            </w:r>
          </w:p>
          <w:p>
            <w:pPr>
              <w:pStyle w:val="TableContents"/>
              <w:bidi w:val="0"/>
              <w:spacing w:lineRule="auto" w:line="276" w:before="0" w:after="20"/>
              <w:jc w:val="center"/>
              <w:rPr>
                <w:rFonts w:ascii="Times New Roman;serif" w:hAnsi="Times New Roman;serif"/>
                <w:b/>
                <w:color w:val="000000"/>
                <w:sz w:val="16"/>
              </w:rPr>
            </w:pPr>
            <w:r>
              <w:rPr>
                <w:rFonts w:ascii="Times New Roman;serif" w:hAnsi="Times New Roman;serif"/>
                <w:b/>
                <w:color w:val="000000"/>
                <w:sz w:val="16"/>
              </w:rPr>
              <w:t>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(Commission</w:t>
            </w:r>
          </w:p>
          <w:p>
            <w:pPr>
              <w:pStyle w:val="TableContents"/>
              <w:bidi w:val="0"/>
              <w:spacing w:lineRule="auto" w:line="276" w:before="0" w:after="20"/>
              <w:jc w:val="center"/>
              <w:rPr>
                <w:rFonts w:ascii="Times New Roman;serif" w:hAnsi="Times New Roman;serif"/>
                <w:b/>
                <w:color w:val="000000"/>
                <w:sz w:val="16"/>
              </w:rPr>
            </w:pPr>
            <w:r>
              <w:rPr>
                <w:rFonts w:ascii="Times New Roman;serif" w:hAnsi="Times New Roman;serif"/>
                <w:b/>
                <w:color w:val="000000"/>
                <w:sz w:val="16"/>
              </w:rPr>
              <w:t>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(IRS Employer</w:t>
            </w:r>
          </w:p>
          <w:p>
            <w:pPr>
              <w:pStyle w:val="TableContents"/>
              <w:bidi w:val="0"/>
              <w:spacing w:lineRule="auto" w:line="276" w:before="0" w:after="20"/>
              <w:jc w:val="center"/>
              <w:rPr>
                <w:rFonts w:ascii="Times New Roman;serif" w:hAnsi="Times New Roman;serif"/>
                <w:b/>
                <w:color w:val="000000"/>
                <w:sz w:val="16"/>
              </w:rPr>
            </w:pPr>
            <w:r>
              <w:rPr>
                <w:rFonts w:ascii="Times New Roman;serif" w:hAnsi="Times New Roman;serif"/>
                <w:b/>
                <w:color w:val="000000"/>
                <w:sz w:val="16"/>
              </w:rPr>
              <w:t>Identification No.)</w:t>
            </w:r>
          </w:p>
        </w:tc>
      </w:tr>
    </w:tbl>
    <w:p>
      <w:pPr>
        <w:pStyle w:val="TextBody"/>
        <w:bidi w:val="0"/>
        <w:spacing w:lineRule="auto" w:line="276" w:before="200" w:after="283"/>
        <w:jc w:val="center"/>
        <w:rPr>
          <w:rFonts w:ascii="Times New Roman;serif" w:hAnsi="Times New Roman;serif"/>
          <w:b/>
          <w:color w:val="000000"/>
          <w:sz w:val="20"/>
        </w:rPr>
      </w:pPr>
      <w:r>
        <w:rPr>
          <w:rFonts w:ascii="Times New Roman;serif" w:hAnsi="Times New Roman;serif"/>
          <w:b/>
          <w:color w:val="000000"/>
          <w:sz w:val="20"/>
        </w:rPr>
        <w:t>2 Corporate Drive, First Floor</w: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South San Francisco, California 94080</w:t>
      </w:r>
    </w:p>
    <w:p>
      <w:pPr>
        <w:pStyle w:val="TextBody"/>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(Address of principal executive offices including zip code)</w:t>
      </w:r>
    </w:p>
    <w:p>
      <w:pPr>
        <w:pStyle w:val="TextBody"/>
        <w:bidi w:val="0"/>
        <w:spacing w:lineRule="auto" w:line="276" w:before="200" w:after="283"/>
        <w:jc w:val="center"/>
        <w:rPr>
          <w:rFonts w:ascii="Times New Roman;serif" w:hAnsi="Times New Roman;serif"/>
          <w:b/>
          <w:color w:val="000000"/>
          <w:sz w:val="20"/>
        </w:rPr>
      </w:pPr>
      <w:r>
        <w:rPr>
          <w:rFonts w:ascii="Times New Roman;serif" w:hAnsi="Times New Roman;serif"/>
          <w:b/>
          <w:color w:val="000000"/>
          <w:sz w:val="20"/>
        </w:rPr>
        <w:t>Registrant’s telephone number, including area code: (650) 239-2030</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68" w:before="0" w:after="0"/>
        <w:jc w:val="center"/>
        <w:rPr>
          <w:rFonts w:ascii="Times New Roman;serif" w:hAnsi="Times New Roman;serif"/>
          <w:b/>
          <w:color w:val="000000"/>
          <w:sz w:val="16"/>
        </w:rPr>
      </w:pPr>
      <w:r>
        <w:rPr>
          <w:rFonts w:ascii="Times New Roman;serif" w:hAnsi="Times New Roman;serif"/>
          <w:b/>
          <w:color w:val="000000"/>
          <w:sz w:val="16"/>
        </w:rPr>
        <w:t>(Former name or former address, if changed since last report)</w:t>
      </w:r>
    </w:p>
    <w:p>
      <w:pPr>
        <w:pStyle w:val="TextBody"/>
        <w:bidi w:val="0"/>
        <w:spacing w:lineRule="auto" w:line="276" w:before="0" w:after="40"/>
        <w:jc w:val="center"/>
        <w:rPr>
          <w:rFonts w:ascii="Times New Roman;serif" w:hAnsi="Times New Roman;serif"/>
          <w:b w:val="false"/>
          <w:color w:val="000000"/>
          <w:sz w:val="12"/>
        </w:rPr>
      </w:pPr>
      <w:r>
        <w:rPr>
          <w:rFonts w:ascii="Times New Roman;serif" w:hAnsi="Times New Roman;serif"/>
          <w:b w:val="false"/>
          <w:color w:val="000000"/>
          <w:sz w:val="12"/>
        </w:rPr>
        <w:t>___________________________________</w:t>
      </w:r>
    </w:p>
    <w:p>
      <w:pPr>
        <w:pStyle w:val="TextBody"/>
        <w:bidi w:val="0"/>
        <w:spacing w:lineRule="auto" w:line="276" w:before="200" w:after="283"/>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76" w:before="200" w:after="283"/>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7822" w:type="dxa"/>
        <w:jc w:val="center"/>
        <w:tblInd w:w="0" w:type="dxa"/>
        <w:tblLayout w:type="fixed"/>
        <w:tblCellMar>
          <w:top w:w="28" w:type="dxa"/>
          <w:left w:w="28" w:type="dxa"/>
          <w:bottom w:w="28" w:type="dxa"/>
          <w:right w:w="28" w:type="dxa"/>
        </w:tblCellMar>
      </w:tblPr>
      <w:tblGrid>
        <w:gridCol w:w="1388"/>
        <w:gridCol w:w="1217"/>
        <w:gridCol w:w="1234"/>
        <w:gridCol w:w="109"/>
        <w:gridCol w:w="109"/>
        <w:gridCol w:w="109"/>
        <w:gridCol w:w="274"/>
        <w:gridCol w:w="274"/>
        <w:gridCol w:w="276"/>
        <w:gridCol w:w="109"/>
        <w:gridCol w:w="109"/>
        <w:gridCol w:w="109"/>
        <w:gridCol w:w="733"/>
        <w:gridCol w:w="733"/>
        <w:gridCol w:w="1039"/>
      </w:tblGrid>
      <w:tr>
        <w:trPr/>
        <w:tc>
          <w:tcPr>
            <w:tcW w:w="1388" w:type="dxa"/>
            <w:tcBorders/>
            <w:vAlign w:val="center"/>
          </w:tcPr>
          <w:p>
            <w:pPr>
              <w:pStyle w:val="TableContents"/>
              <w:bidi w:val="0"/>
              <w:spacing w:before="0" w:after="283"/>
              <w:jc w:val="left"/>
              <w:rPr>
                <w:sz w:val="4"/>
                <w:szCs w:val="4"/>
              </w:rPr>
            </w:pPr>
            <w:r>
              <w:rPr>
                <w:sz w:val="4"/>
                <w:szCs w:val="4"/>
              </w:rPr>
            </w:r>
          </w:p>
        </w:tc>
        <w:tc>
          <w:tcPr>
            <w:tcW w:w="1217" w:type="dxa"/>
            <w:tcBorders/>
            <w:vAlign w:val="center"/>
          </w:tcPr>
          <w:p>
            <w:pPr>
              <w:pStyle w:val="TableContents"/>
              <w:bidi w:val="0"/>
              <w:spacing w:before="0" w:after="283"/>
              <w:jc w:val="left"/>
              <w:rPr>
                <w:sz w:val="4"/>
                <w:szCs w:val="4"/>
              </w:rPr>
            </w:pPr>
            <w:r>
              <w:rPr>
                <w:sz w:val="4"/>
                <w:szCs w:val="4"/>
              </w:rPr>
            </w:r>
          </w:p>
        </w:tc>
        <w:tc>
          <w:tcPr>
            <w:tcW w:w="12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r>
      <w:tr>
        <w:trPr/>
        <w:tc>
          <w:tcPr>
            <w:tcW w:w="383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Trading</w:t>
            </w:r>
          </w:p>
          <w:p>
            <w:pPr>
              <w:pStyle w:val="TableContents"/>
              <w:bidi w:val="0"/>
              <w:spacing w:lineRule="auto" w:line="276" w:before="0" w:after="20"/>
              <w:jc w:val="center"/>
              <w:rPr>
                <w:rFonts w:ascii="Times New Roman;serif" w:hAnsi="Times New Roman;serif"/>
                <w:b/>
                <w:color w:val="000000"/>
                <w:sz w:val="16"/>
              </w:rPr>
            </w:pPr>
            <w:r>
              <w:rPr>
                <w:rFonts w:ascii="Times New Roman;serif" w:hAnsi="Times New Roman;serif"/>
                <w:b/>
                <w:color w:val="000000"/>
                <w:sz w:val="16"/>
              </w:rPr>
              <w:t>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Name of each exchange</w:t>
            </w:r>
          </w:p>
          <w:p>
            <w:pPr>
              <w:pStyle w:val="TableContents"/>
              <w:bidi w:val="0"/>
              <w:spacing w:lineRule="auto" w:line="276" w:before="0" w:after="20"/>
              <w:jc w:val="center"/>
              <w:rPr>
                <w:rFonts w:ascii="Times New Roman;serif" w:hAnsi="Times New Roman;serif"/>
                <w:b/>
                <w:color w:val="000000"/>
                <w:sz w:val="16"/>
              </w:rPr>
            </w:pPr>
            <w:r>
              <w:rPr>
                <w:rFonts w:ascii="Times New Roman;serif" w:hAnsi="Times New Roman;serif"/>
                <w:b/>
                <w:color w:val="000000"/>
                <w:sz w:val="16"/>
              </w:rPr>
              <w:t>on which registered</w:t>
            </w:r>
          </w:p>
        </w:tc>
      </w:tr>
      <w:tr>
        <w:trPr/>
        <w:tc>
          <w:tcPr>
            <w:tcW w:w="383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Common stock, $0.0001 par value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SNTI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color w:val="000000"/>
                <w:sz w:val="20"/>
              </w:rPr>
            </w:pPr>
            <w:r>
              <w:rPr>
                <w:rFonts w:ascii="Times New Roman;serif" w:hAnsi="Times New Roman;serif"/>
                <w:b/>
                <w:color w:val="000000"/>
                <w:sz w:val="20"/>
              </w:rPr>
              <w:t>The Nasdaq Capital Market</w:t>
            </w:r>
          </w:p>
        </w:tc>
      </w:tr>
    </w:tbl>
    <w:p>
      <w:pPr>
        <w:pStyle w:val="TextBody"/>
        <w:bidi w:val="0"/>
        <w:spacing w:lineRule="auto" w:line="276" w:before="200" w:after="283"/>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76" w:before="20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 ☒</w:t>
      </w:r>
    </w:p>
    <w:p>
      <w:pPr>
        <w:pStyle w:val="TextBody"/>
        <w:bidi w:val="0"/>
        <w:spacing w:lineRule="auto" w:line="276" w:before="200" w:after="283"/>
        <w:jc w:val="left"/>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684530"/>
                <wp:effectExtent l="0" t="0" r="0" b="0"/>
                <wp:wrapNone/>
                <wp:docPr id="1" name="Frame1"/>
                <a:graphic xmlns:a="http://schemas.openxmlformats.org/drawingml/2006/main">
                  <a:graphicData uri="http://schemas.microsoft.com/office/word/2010/wordprocessingShape">
                    <wps:wsp>
                      <wps:cNvSpPr txBox="1"/>
                      <wps:spPr>
                        <a:xfrm>
                          <a:off x="0" y="0"/>
                          <a:ext cx="6480175" cy="684530"/>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3.9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Item 1.01 Entry Into a Material Definitive Agreement.</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On August 14, 2026, Senti Holdings, Inc. (“Senti Holdings”), a wholly owned subsidiary of Senti Biosciences Holdings, Inc. (the “Company”), issued and sold to Celadon Partners SPV 24 (“Celadon”) $4.0 million in aggregate principal amount of its Senior Secured Convertible Notes (the “Notes”) pursuant to the previously announced Securities Purchase Agreement, dated April 27, 2026, by and among the Company, Senti Holdings, Senti Biosciences, Inc. and Celadon. </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The Notes have the terms described under “Item 1.01 Entry into a Material Definitive Agreement—The Notes” in the Company’s Current Report on Form 8-K filed by the Company on May 1, 2026, as supplemented by the Company’s Current Report on Form 8-K filed by the Company on May 26, 2026, each of which is incorporated herein by reference.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Item 2.03 Creation of a Direct Financial Obligation or an Obligation under an Off-Balance Sheet Arrangement of a Registrant.</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information contained above in Item 1.01 of this Current Report on Form 8-K is hereby incorporated by reference into this Item 2.03.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Additional Information and Where to Find It</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In connection with the issuance of any Notes beyond the Exchange Cap (as defined in the Notes) and the potential transaction pursuant to which, if consummated, an entity affiliated with Celadon would merge with and into Senti Holdings and Senti Holdings would issue a contingent value right to the Company’s stockholders, which may pay out up to an aggregate of $60.0 million in cash subject to the achievement of certain regulatory and sales milestones with respect to the Company’s product candidate, SENTI-202 (the “Subject Transactions”), the Company has filed a preliminary proxy statement on Schedule 14A with the Securities and Exchange Commission (the “SEC”) on July 21, 2026. Promptly after filing its definitive proxy statement with the SEC, the Company will mail the proxy materials to each stockholder entitled to vote at the annual or special meeting of stockholders relating to the Subject Transactions. This communication is not a substitute for the proxy statement or any other document that the Company may file with the SEC or send to its stockholders in connection with the Subject Transactions. BEFORE MAKING ANY VOTING DECISION, INVESTORS AND SECURITY HOLDERS OF THE COMPANY ARE URGED TO READ THESE MATERIALS (INCLUDING ANY AMENDMENTS OR SUPPLEMENTS THERETO) AND ANY OTHER RELEVANT DOCUMENTS IN CONNECTION WITH THE SUBJECT TRANSACTIONS THAT THE COMPANY WILL FILE WITH THE SEC WHEN THEY BECOME AVAILABLE BECAUSE THEY WILL CONTAIN IMPORTANT INFORMATION ABOUT THE COMPANY AND THE SUBJECT TRANSACTIONS. The definitive proxy statement, the preliminary proxy statement and other relevant materials in connection with the Subject Transactions (as and when they become available), and any other documents filed by the Company with the SEC, may be obtained free of charge at the SEC’s website (http://www.sec.gov) or the Company’s website (investors.sentibio.com) or by writing to the Company’s Corporate Secretary at 2 Corporate Drive, First Floor, South San Francisco, CA, 94080, Attention: Corporate Secretary.</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Participants in the Solicitation</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Company and its directors and executive officers may be deemed to be participants in the solicitation of proxies from the Company’s stockholders with respect to the Subject Transactions. Information about the Company’s directors and executive officers and their ownership of the Company’s common stock is set forth in the amendment to the Company’s Annual Report on Form 10-K for the year ended December 31, 2025 filed with the SEC on April 29, 2026. Information regarding the identity of the potential participants, and their direct or indirect interests in the Subject Transactions, by security holdings or otherwise, will be set forth in the proxy statement and other materials to be filed with SEC in connection with the Subject Transactions.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before="240" w:after="283"/>
        <w:jc w:val="left"/>
        <w:rPr/>
      </w:pPr>
      <w:r>
        <w:rPr/>
      </w:r>
    </w:p>
    <w:tbl>
      <w:tblPr>
        <w:tblW w:w="7049" w:type="dxa"/>
        <w:jc w:val="left"/>
        <w:tblInd w:w="0" w:type="dxa"/>
        <w:tblLayout w:type="fixed"/>
        <w:tblCellMar>
          <w:top w:w="28" w:type="dxa"/>
          <w:left w:w="28" w:type="dxa"/>
          <w:bottom w:w="28" w:type="dxa"/>
          <w:right w:w="28" w:type="dxa"/>
        </w:tblCellMar>
      </w:tblPr>
      <w:tblGrid>
        <w:gridCol w:w="200"/>
        <w:gridCol w:w="177"/>
        <w:gridCol w:w="178"/>
        <w:gridCol w:w="484"/>
        <w:gridCol w:w="484"/>
        <w:gridCol w:w="486"/>
        <w:gridCol w:w="109"/>
        <w:gridCol w:w="109"/>
        <w:gridCol w:w="109"/>
        <w:gridCol w:w="388"/>
        <w:gridCol w:w="388"/>
        <w:gridCol w:w="388"/>
        <w:gridCol w:w="388"/>
        <w:gridCol w:w="388"/>
        <w:gridCol w:w="388"/>
        <w:gridCol w:w="696"/>
        <w:gridCol w:w="696"/>
        <w:gridCol w:w="993"/>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3" w:type="dxa"/>
            <w:gridSpan w:val="9"/>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SENTI BIOSCIENCES HOLDINGS, INC.</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45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August 20,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1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Timothy Lu, M.D., Ph.D.</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1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Timothy Lu, M.D., Ph.D.</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1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bl>
    <w:p>
      <w:pPr>
        <w:pStyle w:val="TextBody"/>
        <w:bidi w:val="0"/>
        <w:spacing w:before="24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980</Words>
  <Characters>5516</Characters>
  <CharactersWithSpaces>6427</CharactersWithSpaces>
  <Paragraphs>70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