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185420</wp:posOffset>
            </wp:positionH>
            <wp:positionV relativeFrom="page">
              <wp:posOffset>163195</wp:posOffset>
            </wp:positionV>
            <wp:extent cx="717804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page">
              <wp:posOffset>185420</wp:posOffset>
            </wp:positionH>
            <wp:positionV relativeFrom="page">
              <wp:posOffset>180340</wp:posOffset>
            </wp:positionV>
            <wp:extent cx="71780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30" w:lineRule="exact"/>
        <w:rPr>
          <w:sz w:val="24"/>
          <w:szCs w:val="24"/>
          <w:color w:val="auto"/>
        </w:rPr>
      </w:pPr>
    </w:p>
    <w:p>
      <w:pPr>
        <w:ind w:left="5020"/>
        <w:spacing w:after="0"/>
        <w:rPr>
          <w:sz w:val="20"/>
          <w:szCs w:val="20"/>
          <w:color w:val="auto"/>
        </w:rPr>
      </w:pPr>
      <w:r>
        <w:rPr>
          <w:rFonts w:ascii="Times New Roman" w:cs="Times New Roman" w:eastAsia="Times New Roman" w:hAnsi="Times New Roman"/>
          <w:sz w:val="7"/>
          <w:szCs w:val="7"/>
          <w:color w:val="auto"/>
        </w:rPr>
        <w:t>___________________________________</w:t>
      </w:r>
    </w:p>
    <w:p>
      <w:pPr>
        <w:spacing w:after="0" w:line="8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29" w:lineRule="exact"/>
        <w:rPr>
          <w:sz w:val="24"/>
          <w:szCs w:val="24"/>
          <w:color w:val="auto"/>
        </w:rPr>
      </w:pPr>
    </w:p>
    <w:p>
      <w:pPr>
        <w:ind w:left="5020"/>
        <w:spacing w:after="0"/>
        <w:rPr>
          <w:sz w:val="20"/>
          <w:szCs w:val="20"/>
          <w:color w:val="auto"/>
        </w:rPr>
      </w:pPr>
      <w:r>
        <w:rPr>
          <w:rFonts w:ascii="Times New Roman" w:cs="Times New Roman" w:eastAsia="Times New Roman" w:hAnsi="Times New Roman"/>
          <w:sz w:val="7"/>
          <w:szCs w:val="7"/>
          <w:color w:val="auto"/>
        </w:rPr>
        <w:t>___________________________________</w:t>
      </w:r>
    </w:p>
    <w:p>
      <w:pPr>
        <w:spacing w:after="0" w:line="98" w:lineRule="exact"/>
        <w:rPr>
          <w:sz w:val="24"/>
          <w:szCs w:val="24"/>
          <w:color w:val="auto"/>
        </w:rPr>
      </w:pPr>
    </w:p>
    <w:p>
      <w:pPr>
        <w:ind w:left="4980"/>
        <w:spacing w:after="0"/>
        <w:rPr>
          <w:sz w:val="20"/>
          <w:szCs w:val="20"/>
          <w:color w:val="auto"/>
        </w:rPr>
      </w:pPr>
      <w:r>
        <w:rPr>
          <w:rFonts w:ascii="Times New Roman" w:cs="Times New Roman" w:eastAsia="Times New Roman" w:hAnsi="Times New Roman"/>
          <w:sz w:val="14"/>
          <w:szCs w:val="14"/>
          <w:b w:val="1"/>
          <w:bCs w:val="1"/>
          <w:color w:val="auto"/>
        </w:rPr>
        <w:t>CURRENT REPORT</w:t>
      </w:r>
    </w:p>
    <w:p>
      <w:pPr>
        <w:spacing w:after="0" w:line="28" w:lineRule="exact"/>
        <w:rPr>
          <w:sz w:val="24"/>
          <w:szCs w:val="24"/>
          <w:color w:val="auto"/>
        </w:rPr>
      </w:pPr>
    </w:p>
    <w:p>
      <w:pPr>
        <w:ind w:left="4680"/>
        <w:spacing w:after="0"/>
        <w:rPr>
          <w:sz w:val="20"/>
          <w:szCs w:val="20"/>
          <w:color w:val="auto"/>
        </w:rPr>
      </w:pPr>
      <w:r>
        <w:rPr>
          <w:rFonts w:ascii="Times New Roman" w:cs="Times New Roman" w:eastAsia="Times New Roman" w:hAnsi="Times New Roman"/>
          <w:sz w:val="14"/>
          <w:szCs w:val="14"/>
          <w:b w:val="1"/>
          <w:bCs w:val="1"/>
          <w:color w:val="auto"/>
        </w:rPr>
        <w:t>Pursuant to Section 13 or 15(d)</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of the Securities Exchange Act of 1934</w:t>
      </w:r>
    </w:p>
    <w:p>
      <w:pPr>
        <w:spacing w:after="0" w:line="1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Date of Report (Date of earliest event reported): January 27, 2023</w:t>
      </w:r>
    </w:p>
    <w:p>
      <w:pPr>
        <w:spacing w:after="0" w:line="20" w:lineRule="exact"/>
        <w:rPr>
          <w:sz w:val="24"/>
          <w:szCs w:val="24"/>
          <w:color w:val="auto"/>
        </w:rPr>
      </w:pPr>
    </w:p>
    <w:p>
      <w:pPr>
        <w:ind w:left="5020"/>
        <w:spacing w:after="0"/>
        <w:rPr>
          <w:sz w:val="20"/>
          <w:szCs w:val="20"/>
          <w:color w:val="auto"/>
        </w:rPr>
      </w:pPr>
      <w:r>
        <w:rPr>
          <w:rFonts w:ascii="Times New Roman" w:cs="Times New Roman" w:eastAsia="Times New Roman" w:hAnsi="Times New Roman"/>
          <w:sz w:val="7"/>
          <w:szCs w:val="7"/>
          <w:color w:val="auto"/>
        </w:rPr>
        <w:t>___________________________________</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SENTI BIOSCIENCES, INC.</w:t>
      </w:r>
    </w:p>
    <w:p>
      <w:pPr>
        <w:spacing w:after="0" w:line="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(Exact name of registrant as specified in its charter)</w:t>
      </w:r>
    </w:p>
    <w:p>
      <w:pPr>
        <w:ind w:left="5020"/>
        <w:spacing w:after="0"/>
        <w:rPr>
          <w:sz w:val="20"/>
          <w:szCs w:val="20"/>
          <w:color w:val="auto"/>
        </w:rPr>
      </w:pPr>
      <w:r>
        <w:rPr>
          <w:rFonts w:ascii="Times New Roman" w:cs="Times New Roman" w:eastAsia="Times New Roman" w:hAnsi="Times New Roman"/>
          <w:sz w:val="7"/>
          <w:szCs w:val="7"/>
          <w:color w:val="auto"/>
        </w:rPr>
        <w:t>___________________________________</w:t>
      </w:r>
    </w:p>
    <w:p>
      <w:pPr>
        <w:spacing w:after="0" w:line="50" w:lineRule="exact"/>
        <w:rPr>
          <w:sz w:val="24"/>
          <w:szCs w:val="24"/>
          <w:color w:val="auto"/>
        </w:rPr>
      </w:pPr>
    </w:p>
    <w:tbl>
      <w:tblPr>
        <w:tblLayout w:type="fixed"/>
        <w:tblInd w:w="1300" w:type="dxa"/>
        <w:tblCellMar>
          <w:top w:w="0" w:type="dxa"/>
          <w:left w:w="0" w:type="dxa"/>
          <w:bottom w:w="0" w:type="dxa"/>
          <w:right w:w="0" w:type="dxa"/>
        </w:tblCellMar>
      </w:tblPr>
      <w:tr>
        <w:trPr>
          <w:trHeight w:val="159"/>
        </w:trPr>
        <w:tc>
          <w:tcPr>
            <w:tcW w:w="1860" w:type="dxa"/>
            <w:vAlign w:val="bottom"/>
          </w:tcPr>
          <w:p>
            <w:pPr>
              <w:jc w:val="center"/>
              <w:ind w:right="688"/>
              <w:spacing w:after="0"/>
              <w:rPr>
                <w:sz w:val="20"/>
                <w:szCs w:val="20"/>
                <w:color w:val="auto"/>
              </w:rPr>
            </w:pPr>
            <w:r>
              <w:rPr>
                <w:rFonts w:ascii="Times New Roman" w:cs="Times New Roman" w:eastAsia="Times New Roman" w:hAnsi="Times New Roman"/>
                <w:sz w:val="12"/>
                <w:szCs w:val="12"/>
                <w:b w:val="1"/>
                <w:bCs w:val="1"/>
                <w:color w:val="auto"/>
                <w:w w:val="98"/>
              </w:rPr>
              <w:t>Delaware</w:t>
            </w:r>
          </w:p>
        </w:tc>
        <w:tc>
          <w:tcPr>
            <w:tcW w:w="5060" w:type="dxa"/>
            <w:vAlign w:val="bottom"/>
          </w:tcPr>
          <w:p>
            <w:pPr>
              <w:jc w:val="center"/>
              <w:ind w:right="48"/>
              <w:spacing w:after="0"/>
              <w:rPr>
                <w:sz w:val="20"/>
                <w:szCs w:val="20"/>
                <w:color w:val="auto"/>
              </w:rPr>
            </w:pPr>
            <w:r>
              <w:rPr>
                <w:rFonts w:ascii="Times New Roman" w:cs="Times New Roman" w:eastAsia="Times New Roman" w:hAnsi="Times New Roman"/>
                <w:sz w:val="12"/>
                <w:szCs w:val="12"/>
                <w:b w:val="1"/>
                <w:bCs w:val="1"/>
                <w:color w:val="auto"/>
                <w:w w:val="99"/>
              </w:rPr>
              <w:t>001-40440</w:t>
            </w:r>
          </w:p>
        </w:tc>
        <w:tc>
          <w:tcPr>
            <w:tcW w:w="1580" w:type="dxa"/>
            <w:vAlign w:val="bottom"/>
          </w:tcPr>
          <w:p>
            <w:pPr>
              <w:jc w:val="center"/>
              <w:ind w:left="788"/>
              <w:spacing w:after="0"/>
              <w:rPr>
                <w:sz w:val="20"/>
                <w:szCs w:val="20"/>
                <w:color w:val="auto"/>
              </w:rPr>
            </w:pPr>
            <w:r>
              <w:rPr>
                <w:rFonts w:ascii="Times New Roman" w:cs="Times New Roman" w:eastAsia="Times New Roman" w:hAnsi="Times New Roman"/>
                <w:sz w:val="12"/>
                <w:szCs w:val="12"/>
                <w:b w:val="1"/>
                <w:bCs w:val="1"/>
                <w:color w:val="auto"/>
                <w:w w:val="99"/>
              </w:rPr>
              <w:t>86-2437900</w:t>
            </w:r>
          </w:p>
        </w:tc>
      </w:tr>
      <w:tr>
        <w:trPr>
          <w:trHeight w:val="128"/>
        </w:trPr>
        <w:tc>
          <w:tcPr>
            <w:tcW w:w="1860" w:type="dxa"/>
            <w:vAlign w:val="bottom"/>
          </w:tcPr>
          <w:p>
            <w:pPr>
              <w:jc w:val="center"/>
              <w:ind w:right="708"/>
              <w:spacing w:after="0"/>
              <w:rPr>
                <w:sz w:val="20"/>
                <w:szCs w:val="20"/>
                <w:color w:val="auto"/>
              </w:rPr>
            </w:pPr>
            <w:r>
              <w:rPr>
                <w:rFonts w:ascii="Times New Roman" w:cs="Times New Roman" w:eastAsia="Times New Roman" w:hAnsi="Times New Roman"/>
                <w:sz w:val="10"/>
                <w:szCs w:val="10"/>
                <w:b w:val="1"/>
                <w:bCs w:val="1"/>
                <w:color w:val="auto"/>
                <w:w w:val="96"/>
              </w:rPr>
              <w:t>(State or other jurisdiction</w:t>
            </w:r>
          </w:p>
        </w:tc>
        <w:tc>
          <w:tcPr>
            <w:tcW w:w="5060" w:type="dxa"/>
            <w:vAlign w:val="bottom"/>
          </w:tcPr>
          <w:p>
            <w:pPr>
              <w:jc w:val="center"/>
              <w:ind w:right="48"/>
              <w:spacing w:after="0"/>
              <w:rPr>
                <w:sz w:val="20"/>
                <w:szCs w:val="20"/>
                <w:color w:val="auto"/>
              </w:rPr>
            </w:pPr>
            <w:r>
              <w:rPr>
                <w:rFonts w:ascii="Times New Roman" w:cs="Times New Roman" w:eastAsia="Times New Roman" w:hAnsi="Times New Roman"/>
                <w:sz w:val="10"/>
                <w:szCs w:val="10"/>
                <w:b w:val="1"/>
                <w:bCs w:val="1"/>
                <w:color w:val="auto"/>
                <w:w w:val="92"/>
              </w:rPr>
              <w:t>(Commission</w:t>
            </w:r>
          </w:p>
        </w:tc>
        <w:tc>
          <w:tcPr>
            <w:tcW w:w="1580" w:type="dxa"/>
            <w:vAlign w:val="bottom"/>
          </w:tcPr>
          <w:p>
            <w:pPr>
              <w:jc w:val="center"/>
              <w:ind w:left="788"/>
              <w:spacing w:after="0"/>
              <w:rPr>
                <w:sz w:val="20"/>
                <w:szCs w:val="20"/>
                <w:color w:val="auto"/>
              </w:rPr>
            </w:pPr>
            <w:r>
              <w:rPr>
                <w:rFonts w:ascii="Times New Roman" w:cs="Times New Roman" w:eastAsia="Times New Roman" w:hAnsi="Times New Roman"/>
                <w:sz w:val="10"/>
                <w:szCs w:val="10"/>
                <w:b w:val="1"/>
                <w:bCs w:val="1"/>
                <w:color w:val="auto"/>
                <w:w w:val="95"/>
              </w:rPr>
              <w:t>(IRS Employer</w:t>
            </w:r>
          </w:p>
        </w:tc>
      </w:tr>
      <w:tr>
        <w:trPr>
          <w:trHeight w:val="125"/>
        </w:trPr>
        <w:tc>
          <w:tcPr>
            <w:tcW w:w="1860" w:type="dxa"/>
            <w:vAlign w:val="bottom"/>
          </w:tcPr>
          <w:p>
            <w:pPr>
              <w:jc w:val="center"/>
              <w:ind w:right="708"/>
              <w:spacing w:after="0"/>
              <w:rPr>
                <w:sz w:val="20"/>
                <w:szCs w:val="20"/>
                <w:color w:val="auto"/>
              </w:rPr>
            </w:pPr>
            <w:r>
              <w:rPr>
                <w:rFonts w:ascii="Times New Roman" w:cs="Times New Roman" w:eastAsia="Times New Roman" w:hAnsi="Times New Roman"/>
                <w:sz w:val="10"/>
                <w:szCs w:val="10"/>
                <w:b w:val="1"/>
                <w:bCs w:val="1"/>
                <w:color w:val="auto"/>
                <w:w w:val="95"/>
              </w:rPr>
              <w:t>of incorporation)</w:t>
            </w:r>
          </w:p>
        </w:tc>
        <w:tc>
          <w:tcPr>
            <w:tcW w:w="5060" w:type="dxa"/>
            <w:vAlign w:val="bottom"/>
          </w:tcPr>
          <w:p>
            <w:pPr>
              <w:jc w:val="center"/>
              <w:ind w:right="48"/>
              <w:spacing w:after="0"/>
              <w:rPr>
                <w:sz w:val="20"/>
                <w:szCs w:val="20"/>
                <w:color w:val="auto"/>
              </w:rPr>
            </w:pPr>
            <w:r>
              <w:rPr>
                <w:rFonts w:ascii="Times New Roman" w:cs="Times New Roman" w:eastAsia="Times New Roman" w:hAnsi="Times New Roman"/>
                <w:sz w:val="10"/>
                <w:szCs w:val="10"/>
                <w:b w:val="1"/>
                <w:bCs w:val="1"/>
                <w:color w:val="auto"/>
                <w:w w:val="97"/>
              </w:rPr>
              <w:t>File Number)</w:t>
            </w:r>
          </w:p>
        </w:tc>
        <w:tc>
          <w:tcPr>
            <w:tcW w:w="1580" w:type="dxa"/>
            <w:vAlign w:val="bottom"/>
          </w:tcPr>
          <w:p>
            <w:pPr>
              <w:jc w:val="center"/>
              <w:ind w:left="788"/>
              <w:spacing w:after="0"/>
              <w:rPr>
                <w:sz w:val="20"/>
                <w:szCs w:val="20"/>
                <w:color w:val="auto"/>
              </w:rPr>
            </w:pPr>
            <w:r>
              <w:rPr>
                <w:rFonts w:ascii="Times New Roman" w:cs="Times New Roman" w:eastAsia="Times New Roman" w:hAnsi="Times New Roman"/>
                <w:sz w:val="10"/>
                <w:szCs w:val="10"/>
                <w:b w:val="1"/>
                <w:bCs w:val="1"/>
                <w:color w:val="auto"/>
                <w:w w:val="94"/>
              </w:rPr>
              <w:t>Identification No.)</w:t>
            </w:r>
          </w:p>
        </w:tc>
      </w:tr>
      <w:tr>
        <w:trPr>
          <w:trHeight w:val="335"/>
        </w:trPr>
        <w:tc>
          <w:tcPr>
            <w:tcW w:w="1860" w:type="dxa"/>
            <w:vAlign w:val="bottom"/>
          </w:tcPr>
          <w:p>
            <w:pPr>
              <w:spacing w:after="0"/>
              <w:rPr>
                <w:sz w:val="24"/>
                <w:szCs w:val="24"/>
                <w:color w:val="auto"/>
              </w:rPr>
            </w:pPr>
          </w:p>
        </w:tc>
        <w:tc>
          <w:tcPr>
            <w:tcW w:w="5060" w:type="dxa"/>
            <w:vAlign w:val="bottom"/>
          </w:tcPr>
          <w:p>
            <w:pPr>
              <w:jc w:val="center"/>
              <w:ind w:right="48"/>
              <w:spacing w:after="0"/>
              <w:rPr>
                <w:sz w:val="20"/>
                <w:szCs w:val="20"/>
                <w:color w:val="auto"/>
              </w:rPr>
            </w:pPr>
            <w:r>
              <w:rPr>
                <w:rFonts w:ascii="Times New Roman" w:cs="Times New Roman" w:eastAsia="Times New Roman" w:hAnsi="Times New Roman"/>
                <w:sz w:val="12"/>
                <w:szCs w:val="12"/>
                <w:b w:val="1"/>
                <w:bCs w:val="1"/>
                <w:color w:val="auto"/>
              </w:rPr>
              <w:t>2 Corporate Drive, First Floor</w:t>
            </w:r>
          </w:p>
        </w:tc>
        <w:tc>
          <w:tcPr>
            <w:tcW w:w="1580" w:type="dxa"/>
            <w:vAlign w:val="bottom"/>
          </w:tcPr>
          <w:p>
            <w:pPr>
              <w:spacing w:after="0"/>
              <w:rPr>
                <w:sz w:val="24"/>
                <w:szCs w:val="24"/>
                <w:color w:val="auto"/>
              </w:rPr>
            </w:pPr>
          </w:p>
        </w:tc>
      </w:tr>
      <w:tr>
        <w:trPr>
          <w:trHeight w:val="133"/>
        </w:trPr>
        <w:tc>
          <w:tcPr>
            <w:tcW w:w="1860" w:type="dxa"/>
            <w:vAlign w:val="bottom"/>
          </w:tcPr>
          <w:p>
            <w:pPr>
              <w:spacing w:after="0"/>
              <w:rPr>
                <w:sz w:val="11"/>
                <w:szCs w:val="11"/>
                <w:color w:val="auto"/>
              </w:rPr>
            </w:pPr>
          </w:p>
        </w:tc>
        <w:tc>
          <w:tcPr>
            <w:tcW w:w="5060" w:type="dxa"/>
            <w:vAlign w:val="bottom"/>
          </w:tcPr>
          <w:p>
            <w:pPr>
              <w:jc w:val="center"/>
              <w:ind w:right="48"/>
              <w:spacing w:after="0" w:line="134" w:lineRule="exact"/>
              <w:rPr>
                <w:sz w:val="20"/>
                <w:szCs w:val="20"/>
                <w:color w:val="auto"/>
              </w:rPr>
            </w:pPr>
            <w:r>
              <w:rPr>
                <w:rFonts w:ascii="Times New Roman" w:cs="Times New Roman" w:eastAsia="Times New Roman" w:hAnsi="Times New Roman"/>
                <w:sz w:val="12"/>
                <w:szCs w:val="12"/>
                <w:b w:val="1"/>
                <w:bCs w:val="1"/>
                <w:color w:val="auto"/>
                <w:w w:val="99"/>
              </w:rPr>
              <w:t>South San Francisco, California 94080</w:t>
            </w:r>
          </w:p>
        </w:tc>
        <w:tc>
          <w:tcPr>
            <w:tcW w:w="1580" w:type="dxa"/>
            <w:vAlign w:val="bottom"/>
          </w:tcPr>
          <w:p>
            <w:pPr>
              <w:spacing w:after="0"/>
              <w:rPr>
                <w:sz w:val="11"/>
                <w:szCs w:val="11"/>
                <w:color w:val="auto"/>
              </w:rPr>
            </w:pPr>
          </w:p>
        </w:tc>
      </w:tr>
      <w:tr>
        <w:trPr>
          <w:trHeight w:val="125"/>
        </w:trPr>
        <w:tc>
          <w:tcPr>
            <w:tcW w:w="1860" w:type="dxa"/>
            <w:vAlign w:val="bottom"/>
          </w:tcPr>
          <w:p>
            <w:pPr>
              <w:spacing w:after="0"/>
              <w:rPr>
                <w:sz w:val="10"/>
                <w:szCs w:val="10"/>
                <w:color w:val="auto"/>
              </w:rPr>
            </w:pPr>
          </w:p>
        </w:tc>
        <w:tc>
          <w:tcPr>
            <w:tcW w:w="5060" w:type="dxa"/>
            <w:vAlign w:val="bottom"/>
          </w:tcPr>
          <w:p>
            <w:pPr>
              <w:jc w:val="center"/>
              <w:ind w:right="48"/>
              <w:spacing w:after="0"/>
              <w:rPr>
                <w:sz w:val="20"/>
                <w:szCs w:val="20"/>
                <w:color w:val="auto"/>
              </w:rPr>
            </w:pPr>
            <w:r>
              <w:rPr>
                <w:rFonts w:ascii="Times New Roman" w:cs="Times New Roman" w:eastAsia="Times New Roman" w:hAnsi="Times New Roman"/>
                <w:sz w:val="10"/>
                <w:szCs w:val="10"/>
                <w:b w:val="1"/>
                <w:bCs w:val="1"/>
                <w:color w:val="auto"/>
                <w:w w:val="96"/>
              </w:rPr>
              <w:t>(Address of principal executive offices including zip code)</w:t>
            </w:r>
          </w:p>
        </w:tc>
        <w:tc>
          <w:tcPr>
            <w:tcW w:w="1580" w:type="dxa"/>
            <w:vAlign w:val="bottom"/>
          </w:tcPr>
          <w:p>
            <w:pPr>
              <w:spacing w:after="0"/>
              <w:rPr>
                <w:sz w:val="10"/>
                <w:szCs w:val="10"/>
                <w:color w:val="auto"/>
              </w:rPr>
            </w:pPr>
          </w:p>
        </w:tc>
      </w:tr>
      <w:tr>
        <w:trPr>
          <w:trHeight w:val="260"/>
        </w:trPr>
        <w:tc>
          <w:tcPr>
            <w:tcW w:w="1860" w:type="dxa"/>
            <w:vAlign w:val="bottom"/>
          </w:tcPr>
          <w:p>
            <w:pPr>
              <w:spacing w:after="0"/>
              <w:rPr>
                <w:sz w:val="22"/>
                <w:szCs w:val="22"/>
                <w:color w:val="auto"/>
              </w:rPr>
            </w:pPr>
          </w:p>
        </w:tc>
        <w:tc>
          <w:tcPr>
            <w:tcW w:w="5060" w:type="dxa"/>
            <w:vAlign w:val="bottom"/>
          </w:tcPr>
          <w:p>
            <w:pPr>
              <w:jc w:val="center"/>
              <w:ind w:right="48"/>
              <w:spacing w:after="0"/>
              <w:rPr>
                <w:sz w:val="20"/>
                <w:szCs w:val="20"/>
                <w:color w:val="auto"/>
              </w:rPr>
            </w:pPr>
            <w:r>
              <w:rPr>
                <w:rFonts w:ascii="Times New Roman" w:cs="Times New Roman" w:eastAsia="Times New Roman" w:hAnsi="Times New Roman"/>
                <w:sz w:val="12"/>
                <w:szCs w:val="12"/>
                <w:b w:val="1"/>
                <w:bCs w:val="1"/>
                <w:color w:val="auto"/>
                <w:w w:val="99"/>
              </w:rPr>
              <w:t>Registrant’s telephone number, including area code: (650) 382-3281</w:t>
            </w:r>
          </w:p>
        </w:tc>
        <w:tc>
          <w:tcPr>
            <w:tcW w:w="1580" w:type="dxa"/>
            <w:vAlign w:val="bottom"/>
          </w:tcPr>
          <w:p>
            <w:pPr>
              <w:spacing w:after="0"/>
              <w:rPr>
                <w:sz w:val="22"/>
                <w:szCs w:val="22"/>
                <w:color w:val="auto"/>
              </w:rPr>
            </w:pPr>
          </w:p>
        </w:tc>
      </w:tr>
      <w:tr>
        <w:trPr>
          <w:trHeight w:val="261"/>
        </w:trPr>
        <w:tc>
          <w:tcPr>
            <w:tcW w:w="1860" w:type="dxa"/>
            <w:vAlign w:val="bottom"/>
          </w:tcPr>
          <w:p>
            <w:pPr>
              <w:spacing w:after="0"/>
              <w:rPr>
                <w:sz w:val="22"/>
                <w:szCs w:val="22"/>
                <w:color w:val="auto"/>
              </w:rPr>
            </w:pPr>
          </w:p>
        </w:tc>
        <w:tc>
          <w:tcPr>
            <w:tcW w:w="5060" w:type="dxa"/>
            <w:vAlign w:val="bottom"/>
          </w:tcPr>
          <w:p>
            <w:pPr>
              <w:jc w:val="center"/>
              <w:ind w:right="28"/>
              <w:spacing w:after="0"/>
              <w:rPr>
                <w:sz w:val="20"/>
                <w:szCs w:val="20"/>
                <w:color w:val="auto"/>
              </w:rPr>
            </w:pPr>
            <w:r>
              <w:rPr>
                <w:rFonts w:ascii="Times New Roman" w:cs="Times New Roman" w:eastAsia="Times New Roman" w:hAnsi="Times New Roman"/>
                <w:sz w:val="10"/>
                <w:szCs w:val="10"/>
                <w:b w:val="1"/>
                <w:bCs w:val="1"/>
                <w:color w:val="auto"/>
                <w:w w:val="95"/>
              </w:rPr>
              <w:t>(Former name or former address, if changed since last report)</w:t>
            </w:r>
          </w:p>
        </w:tc>
        <w:tc>
          <w:tcPr>
            <w:tcW w:w="1580" w:type="dxa"/>
            <w:vAlign w:val="bottom"/>
          </w:tcPr>
          <w:p>
            <w:pPr>
              <w:spacing w:after="0"/>
              <w:rPr>
                <w:sz w:val="22"/>
                <w:szCs w:val="22"/>
                <w:color w:val="auto"/>
              </w:rPr>
            </w:pPr>
          </w:p>
        </w:tc>
      </w:tr>
      <w:tr>
        <w:trPr>
          <w:trHeight w:val="94"/>
        </w:trPr>
        <w:tc>
          <w:tcPr>
            <w:tcW w:w="1860" w:type="dxa"/>
            <w:vAlign w:val="bottom"/>
          </w:tcPr>
          <w:p>
            <w:pPr>
              <w:spacing w:after="0"/>
              <w:rPr>
                <w:sz w:val="8"/>
                <w:szCs w:val="8"/>
                <w:color w:val="auto"/>
              </w:rPr>
            </w:pPr>
          </w:p>
        </w:tc>
        <w:tc>
          <w:tcPr>
            <w:tcW w:w="5060" w:type="dxa"/>
            <w:vAlign w:val="bottom"/>
          </w:tcPr>
          <w:p>
            <w:pPr>
              <w:jc w:val="center"/>
              <w:ind w:right="28"/>
              <w:spacing w:after="0"/>
              <w:rPr>
                <w:sz w:val="20"/>
                <w:szCs w:val="20"/>
                <w:color w:val="auto"/>
              </w:rPr>
            </w:pPr>
            <w:r>
              <w:rPr>
                <w:rFonts w:ascii="Times New Roman" w:cs="Times New Roman" w:eastAsia="Times New Roman" w:hAnsi="Times New Roman"/>
                <w:sz w:val="7"/>
                <w:szCs w:val="7"/>
                <w:color w:val="auto"/>
              </w:rPr>
              <w:t>___________________________________</w:t>
            </w:r>
          </w:p>
        </w:tc>
        <w:tc>
          <w:tcPr>
            <w:tcW w:w="1580" w:type="dxa"/>
            <w:vAlign w:val="bottom"/>
          </w:tcPr>
          <w:p>
            <w:pPr>
              <w:spacing w:after="0"/>
              <w:rPr>
                <w:sz w:val="8"/>
                <w:szCs w:val="8"/>
                <w:color w:val="auto"/>
              </w:rPr>
            </w:pPr>
          </w:p>
        </w:tc>
      </w:tr>
    </w:tbl>
    <w:p>
      <w:pPr>
        <w:spacing w:after="0" w:line="111"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Check the appropriate box below if the Form 8-K filing is intended to simultaneously satisfy the filing obligation of the registrant under any of the following provisions:</w:t>
      </w:r>
    </w:p>
    <w:p>
      <w:pPr>
        <w:spacing w:after="0" w:line="33" w:lineRule="exact"/>
        <w:rPr>
          <w:sz w:val="24"/>
          <w:szCs w:val="24"/>
          <w:color w:val="auto"/>
        </w:rPr>
      </w:pPr>
    </w:p>
    <w:p>
      <w:pPr>
        <w:ind w:left="460" w:hanging="456"/>
        <w:spacing w:after="0"/>
        <w:tabs>
          <w:tab w:leader="none" w:pos="46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Written communications pursuant to Rule 425 under the Securities Act (17 CFR 230.425)</w:t>
      </w:r>
    </w:p>
    <w:p>
      <w:pPr>
        <w:spacing w:after="0" w:line="69" w:lineRule="exact"/>
        <w:rPr>
          <w:rFonts w:ascii="MS PGothic" w:cs="MS PGothic" w:eastAsia="MS PGothic" w:hAnsi="MS PGothic"/>
          <w:sz w:val="12"/>
          <w:szCs w:val="12"/>
          <w:color w:val="auto"/>
        </w:rPr>
      </w:pPr>
    </w:p>
    <w:p>
      <w:pPr>
        <w:ind w:left="460" w:hanging="456"/>
        <w:spacing w:after="0"/>
        <w:tabs>
          <w:tab w:leader="none" w:pos="46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Soliciting material pursuant to Rule 14a-12 under the Exchange Act (17 CFR 240.14a-12)</w:t>
      </w:r>
    </w:p>
    <w:p>
      <w:pPr>
        <w:spacing w:after="0" w:line="69" w:lineRule="exact"/>
        <w:rPr>
          <w:rFonts w:ascii="MS PGothic" w:cs="MS PGothic" w:eastAsia="MS PGothic" w:hAnsi="MS PGothic"/>
          <w:sz w:val="12"/>
          <w:szCs w:val="12"/>
          <w:color w:val="auto"/>
        </w:rPr>
      </w:pPr>
    </w:p>
    <w:p>
      <w:pPr>
        <w:ind w:left="460" w:hanging="456"/>
        <w:spacing w:after="0"/>
        <w:tabs>
          <w:tab w:leader="none" w:pos="46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14d-2(b) under the Exchange Act (17 CFR 240.14d-2(b))</w:t>
      </w:r>
    </w:p>
    <w:p>
      <w:pPr>
        <w:spacing w:after="0" w:line="69" w:lineRule="exact"/>
        <w:rPr>
          <w:rFonts w:ascii="MS PGothic" w:cs="MS PGothic" w:eastAsia="MS PGothic" w:hAnsi="MS PGothic"/>
          <w:sz w:val="12"/>
          <w:szCs w:val="12"/>
          <w:color w:val="auto"/>
        </w:rPr>
      </w:pPr>
    </w:p>
    <w:p>
      <w:pPr>
        <w:ind w:left="460" w:hanging="456"/>
        <w:spacing w:after="0"/>
        <w:tabs>
          <w:tab w:leader="none" w:pos="46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13e-4(c) under the Exchange Act (17 CFR 240.13e-4(c))</w:t>
      </w:r>
    </w:p>
    <w:p>
      <w:pPr>
        <w:spacing w:after="0" w:line="195"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Securities registered pursuant to Section 12(b) of the Act:</w:t>
      </w:r>
    </w:p>
    <w:p>
      <w:pPr>
        <w:spacing w:after="0" w:line="27" w:lineRule="exact"/>
        <w:rPr>
          <w:sz w:val="24"/>
          <w:szCs w:val="24"/>
          <w:color w:val="auto"/>
        </w:rPr>
      </w:pPr>
    </w:p>
    <w:tbl>
      <w:tblPr>
        <w:tblLayout w:type="fixed"/>
        <w:tblInd w:w="0" w:type="dxa"/>
        <w:tblCellMar>
          <w:top w:w="0" w:type="dxa"/>
          <w:left w:w="0" w:type="dxa"/>
          <w:bottom w:w="0" w:type="dxa"/>
          <w:right w:w="0" w:type="dxa"/>
        </w:tblCellMar>
      </w:tblPr>
      <w:tr>
        <w:trPr>
          <w:trHeight w:val="117"/>
        </w:trPr>
        <w:tc>
          <w:tcPr>
            <w:tcW w:w="5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60" w:type="dxa"/>
            <w:vAlign w:val="bottom"/>
            <w:gridSpan w:val="2"/>
          </w:tcPr>
          <w:p>
            <w:pPr>
              <w:jc w:val="center"/>
              <w:ind w:right="100"/>
              <w:spacing w:after="0"/>
              <w:rPr>
                <w:sz w:val="20"/>
                <w:szCs w:val="20"/>
                <w:color w:val="auto"/>
              </w:rPr>
            </w:pPr>
            <w:r>
              <w:rPr>
                <w:rFonts w:ascii="Times New Roman" w:cs="Times New Roman" w:eastAsia="Times New Roman" w:hAnsi="Times New Roman"/>
                <w:sz w:val="10"/>
                <w:szCs w:val="10"/>
                <w:b w:val="1"/>
                <w:bCs w:val="1"/>
                <w:color w:val="auto"/>
                <w:w w:val="91"/>
              </w:rPr>
              <w:t>Trading</w:t>
            </w:r>
          </w:p>
        </w:tc>
        <w:tc>
          <w:tcPr>
            <w:tcW w:w="40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Name of each exchange</w:t>
            </w:r>
          </w:p>
        </w:tc>
      </w:tr>
      <w:tr>
        <w:trPr>
          <w:trHeight w:val="143"/>
        </w:trPr>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5"/>
              </w:rPr>
              <w:t>Title of each class</w:t>
            </w:r>
          </w:p>
        </w:tc>
        <w:tc>
          <w:tcPr>
            <w:tcW w:w="100" w:type="dxa"/>
            <w:vAlign w:val="bottom"/>
          </w:tcPr>
          <w:p>
            <w:pPr>
              <w:spacing w:after="0"/>
              <w:rPr>
                <w:sz w:val="12"/>
                <w:szCs w:val="12"/>
                <w:color w:val="auto"/>
              </w:rPr>
            </w:pPr>
          </w:p>
        </w:tc>
        <w:tc>
          <w:tcPr>
            <w:tcW w:w="1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9"/>
              </w:rPr>
              <w:t>Symbol</w:t>
            </w:r>
          </w:p>
        </w:tc>
        <w:tc>
          <w:tcPr>
            <w:tcW w:w="100" w:type="dxa"/>
            <w:vAlign w:val="bottom"/>
          </w:tcPr>
          <w:p>
            <w:pPr>
              <w:spacing w:after="0"/>
              <w:rPr>
                <w:sz w:val="12"/>
                <w:szCs w:val="12"/>
                <w:color w:val="auto"/>
              </w:rPr>
            </w:pPr>
          </w:p>
        </w:tc>
        <w:tc>
          <w:tcPr>
            <w:tcW w:w="4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5"/>
              </w:rPr>
              <w:t>on which registered</w:t>
            </w:r>
          </w:p>
        </w:tc>
      </w:tr>
      <w:tr>
        <w:trPr>
          <w:trHeight w:val="159"/>
        </w:trPr>
        <w:tc>
          <w:tcPr>
            <w:tcW w:w="514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Common Stock, par value $0.0001 per share</w:t>
            </w:r>
          </w:p>
        </w:tc>
        <w:tc>
          <w:tcPr>
            <w:tcW w:w="206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9"/>
              </w:rPr>
              <w:t>SNTI</w:t>
            </w:r>
          </w:p>
        </w:tc>
        <w:tc>
          <w:tcPr>
            <w:tcW w:w="40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The Nasdaq Global Market</w:t>
            </w:r>
          </w:p>
        </w:tc>
      </w:tr>
    </w:tbl>
    <w:p>
      <w:pPr>
        <w:spacing w:after="0" w:line="178" w:lineRule="exact"/>
        <w:rPr>
          <w:sz w:val="24"/>
          <w:szCs w:val="24"/>
          <w:color w:val="auto"/>
        </w:rPr>
      </w:pPr>
    </w:p>
    <w:p>
      <w:pPr>
        <w:ind w:right="160"/>
        <w:spacing w:after="0" w:line="279" w:lineRule="auto"/>
        <w:rPr>
          <w:sz w:val="20"/>
          <w:szCs w:val="20"/>
          <w:color w:val="auto"/>
        </w:rPr>
      </w:pPr>
      <w:r>
        <w:rPr>
          <w:rFonts w:ascii="Times New Roman" w:cs="Times New Roman" w:eastAsia="Times New Roman" w:hAnsi="Times New Roman"/>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55" w:lineRule="exact"/>
        <w:rPr>
          <w:sz w:val="24"/>
          <w:szCs w:val="24"/>
          <w:color w:val="auto"/>
        </w:rPr>
      </w:pPr>
    </w:p>
    <w:p>
      <w:pPr>
        <w:spacing w:after="0" w:line="138" w:lineRule="exact"/>
        <w:rPr>
          <w:sz w:val="20"/>
          <w:szCs w:val="20"/>
          <w:color w:val="auto"/>
        </w:rPr>
      </w:pPr>
      <w:r>
        <w:rPr>
          <w:rFonts w:ascii="Times New Roman" w:cs="Times New Roman" w:eastAsia="Times New Roman" w:hAnsi="Times New Roman"/>
          <w:sz w:val="12"/>
          <w:szCs w:val="12"/>
          <w:color w:val="auto"/>
        </w:rPr>
        <w:t xml:space="preserve">Emerging growth company </w:t>
      </w:r>
      <w:r>
        <w:rPr>
          <w:rFonts w:ascii="MS PGothic" w:cs="MS PGothic" w:eastAsia="MS PGothic" w:hAnsi="MS PGothic"/>
          <w:sz w:val="12"/>
          <w:szCs w:val="12"/>
          <w:color w:val="auto"/>
        </w:rPr>
        <w:t>☒</w:t>
      </w:r>
    </w:p>
    <w:p>
      <w:pPr>
        <w:spacing w:after="0" w:line="143" w:lineRule="exact"/>
        <w:rPr>
          <w:sz w:val="24"/>
          <w:szCs w:val="24"/>
          <w:color w:val="auto"/>
        </w:rPr>
      </w:pPr>
    </w:p>
    <w:p>
      <w:pPr>
        <w:ind w:right="80"/>
        <w:spacing w:after="0" w:line="151"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266065</wp:posOffset>
            </wp:positionV>
            <wp:extent cx="7203440" cy="368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03440" cy="3683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170180</wp:posOffset>
            </wp:positionV>
            <wp:extent cx="717804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187325</wp:posOffset>
            </wp:positionV>
            <wp:extent cx="717804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80"/>
          </w:cols>
          <w:pgMar w:left="300" w:top="1440" w:right="319" w:bottom="1440" w:gutter="0" w:footer="0" w:header="0"/>
        </w:sectPr>
      </w:pPr>
    </w:p>
    <w:bookmarkStart w:id="1" w:name="page2"/>
    <w:bookmarkEnd w:id="1"/>
    <w:p>
      <w:pPr>
        <w:spacing w:after="0"/>
        <w:tabs>
          <w:tab w:leader="none" w:pos="600" w:val="left"/>
        </w:tabs>
        <w:rPr>
          <w:sz w:val="20"/>
          <w:szCs w:val="20"/>
          <w:color w:val="auto"/>
        </w:rPr>
      </w:pPr>
      <w:r>
        <w:rPr>
          <w:rFonts w:ascii="Times New Roman" w:cs="Times New Roman" w:eastAsia="Times New Roman" w:hAnsi="Times New Roman"/>
          <w:sz w:val="12"/>
          <w:szCs w:val="12"/>
          <w:b w:val="1"/>
          <w:bCs w:val="1"/>
          <w:color w:val="auto"/>
        </w:rPr>
        <w:t>Item 7.01.</w:t>
      </w:r>
      <w:r>
        <w:rPr>
          <w:sz w:val="20"/>
          <w:szCs w:val="20"/>
          <w:color w:val="auto"/>
        </w:rPr>
        <w:tab/>
      </w:r>
      <w:r>
        <w:rPr>
          <w:rFonts w:ascii="Times New Roman" w:cs="Times New Roman" w:eastAsia="Times New Roman" w:hAnsi="Times New Roman"/>
          <w:sz w:val="11"/>
          <w:szCs w:val="11"/>
          <w:b w:val="1"/>
          <w:bCs w:val="1"/>
          <w:color w:val="auto"/>
        </w:rPr>
        <w:t>Regulation FD Disclosure.</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Reference is made to the disclosure set forth below in Item 8.01 of this Current Report on Form 8-K which is incorporated herein by reference.</w:t>
      </w:r>
    </w:p>
    <w:p>
      <w:pPr>
        <w:spacing w:after="0" w:line="168" w:lineRule="exact"/>
        <w:rPr>
          <w:sz w:val="20"/>
          <w:szCs w:val="20"/>
          <w:color w:val="auto"/>
        </w:rPr>
      </w:pPr>
    </w:p>
    <w:p>
      <w:pPr>
        <w:ind w:right="40"/>
        <w:spacing w:after="0" w:line="279" w:lineRule="auto"/>
        <w:rPr>
          <w:sz w:val="20"/>
          <w:szCs w:val="20"/>
          <w:color w:val="auto"/>
        </w:rPr>
      </w:pPr>
      <w:r>
        <w:rPr>
          <w:rFonts w:ascii="Times New Roman" w:cs="Times New Roman" w:eastAsia="Times New Roman" w:hAnsi="Times New Roman"/>
          <w:sz w:val="11"/>
          <w:szCs w:val="11"/>
          <w:color w:val="auto"/>
        </w:rPr>
        <w:t>On January 27, 2023, Senti Biosciences, Inc., (the “</w:t>
      </w:r>
      <w:r>
        <w:rPr>
          <w:rFonts w:ascii="Times New Roman" w:cs="Times New Roman" w:eastAsia="Times New Roman" w:hAnsi="Times New Roman"/>
          <w:sz w:val="11"/>
          <w:szCs w:val="11"/>
          <w:u w:val="single" w:color="auto"/>
          <w:color w:val="auto"/>
        </w:rPr>
        <w:t>Company</w:t>
      </w:r>
      <w:r>
        <w:rPr>
          <w:rFonts w:ascii="Times New Roman" w:cs="Times New Roman" w:eastAsia="Times New Roman" w:hAnsi="Times New Roman"/>
          <w:sz w:val="11"/>
          <w:szCs w:val="11"/>
          <w:color w:val="auto"/>
        </w:rPr>
        <w:t>”) issued a press release (the “</w:t>
      </w:r>
      <w:r>
        <w:rPr>
          <w:rFonts w:ascii="Times New Roman" w:cs="Times New Roman" w:eastAsia="Times New Roman" w:hAnsi="Times New Roman"/>
          <w:sz w:val="11"/>
          <w:szCs w:val="11"/>
          <w:u w:val="single" w:color="auto"/>
          <w:color w:val="auto"/>
        </w:rPr>
        <w:t>Press Release</w:t>
      </w:r>
      <w:r>
        <w:rPr>
          <w:rFonts w:ascii="Times New Roman" w:cs="Times New Roman" w:eastAsia="Times New Roman" w:hAnsi="Times New Roman"/>
          <w:sz w:val="11"/>
          <w:szCs w:val="11"/>
          <w:color w:val="auto"/>
        </w:rPr>
        <w:t>”) titled, “Senti Bio Announces Pipeline Prioritization to Focus on Logic Gated Cell Therapies; Updates Cash Runway Guidance,” a copy of which is furnished herewith as Exhibit 99.1. The information in this Item 7.01 of Form 8-K and Exhibit 99.1 attached hereto is furnished and shall not be deemed “filed” for purposes of Section 18 of the Securities Exchange Act of 1934, as amended (the “</w:t>
      </w:r>
      <w:r>
        <w:rPr>
          <w:rFonts w:ascii="Times New Roman" w:cs="Times New Roman" w:eastAsia="Times New Roman" w:hAnsi="Times New Roman"/>
          <w:sz w:val="11"/>
          <w:szCs w:val="11"/>
          <w:u w:val="single" w:color="auto"/>
          <w:color w:val="auto"/>
        </w:rPr>
        <w:t>Exchange Act</w:t>
      </w:r>
      <w:r>
        <w:rPr>
          <w:rFonts w:ascii="Times New Roman" w:cs="Times New Roman" w:eastAsia="Times New Roman" w:hAnsi="Times New Roman"/>
          <w:sz w:val="11"/>
          <w:szCs w:val="11"/>
          <w:color w:val="auto"/>
        </w:rPr>
        <w:t>”), or otherwise subject to the liabilities of that section, nor shall it be deemed incorporated by reference in any filing under the Securities Act of 1933 (the “</w:t>
      </w:r>
      <w:r>
        <w:rPr>
          <w:rFonts w:ascii="Times New Roman" w:cs="Times New Roman" w:eastAsia="Times New Roman" w:hAnsi="Times New Roman"/>
          <w:sz w:val="11"/>
          <w:szCs w:val="11"/>
          <w:u w:val="single" w:color="auto"/>
          <w:color w:val="auto"/>
        </w:rPr>
        <w:t>Securities Act”</w:t>
      </w:r>
      <w:r>
        <w:rPr>
          <w:rFonts w:ascii="Times New Roman" w:cs="Times New Roman" w:eastAsia="Times New Roman" w:hAnsi="Times New Roman"/>
          <w:sz w:val="11"/>
          <w:szCs w:val="11"/>
          <w:color w:val="auto"/>
        </w:rPr>
        <w:t>), as amended or the Exchange Act. The information in this Item 7.01 of this Current Report on Form 8-K will not be deemed an admission as to the materiality of any information that is required to be disclosed solely by Regulation FD.</w:t>
      </w:r>
    </w:p>
    <w:p>
      <w:pPr>
        <w:spacing w:after="0" w:line="110"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2"/>
          <w:szCs w:val="12"/>
          <w:b w:val="1"/>
          <w:bCs w:val="1"/>
          <w:color w:val="auto"/>
        </w:rPr>
        <w:t>Item 8.01.</w:t>
        <w:tab/>
        <w:t>Other Events.</w:t>
      </w:r>
    </w:p>
    <w:p>
      <w:pPr>
        <w:spacing w:after="0" w:line="172"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12"/>
          <w:szCs w:val="12"/>
          <w:color w:val="auto"/>
        </w:rPr>
        <w:t>On January 27, 2023, the Company announced a strategic plan to focus internal resources on SENTI-202, SENTI-401 and, with potential partners, to develop Gene Circuits for other programs. The Company also announced that it does not intend to devote its own resources to the development of SENTI-301A for the treatment of hepatocellular carcinoma at this time, and is actively pursuing strategic geographic partnerships for further clinical development of SENTI-301A. This business realignment will streamline internal efforts and is expected to extend the Company’s cash runway through at least the first quarter of 2024. In connection with this announcement, the Company has also updated certain corporate information in a presentation slide deck. A copy of this corporate presentation is filed herewith as Exhibit 99.2 to this Current Report on Form 8-K and incorporated by reference herein.</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Cautionary Statement</w:t>
      </w:r>
    </w:p>
    <w:p>
      <w:pPr>
        <w:spacing w:after="0" w:line="170"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2"/>
          <w:szCs w:val="12"/>
          <w:color w:val="auto"/>
        </w:rPr>
        <w:t>This filing and the exhibits include “forward-looking statements” within the meaning of Section 27A of the Securities Act of 1933, as amended (the “Securities Act”), and Section 21E of the Securities Exchange Act of 1934, as amended (the “Exchange Act”). We intend these forward-looking statements to be covered by the safe harbor provisions for forward-looking statements contained in Section 27A of the Securities Act and Section 21E of the Exchange Act, and are making this statement for purposes of complying with those safe harbor provisions. These forward-looking statements reflect our current views about our plans, intentions, expectations, strategies, and prospects, which are based on the information currently available to us and on assumptions we have made. Important factors that may cause actual results to differ materially from those described in the forward-looking statements are disclosed in the respective exhibits and in the “Risk Factors” contained in the Company’s Form 10-Q filed with the Securities and Exchange Commission (the “Commission”) on November 10, 2022, and other filings we make with the Commission. All forward-looking statements are expressly qualified in their entirety by such factors. We do not undertake any duty to update any forward-looking statement except as required by law.</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9.01 Financial Statements and Exhibits.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16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(d) Exhibits</w:t>
            </w:r>
          </w:p>
        </w:tc>
        <w:tc>
          <w:tcPr>
            <w:tcW w:w="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8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324"/>
        </w:trPr>
        <w:tc>
          <w:tcPr>
            <w:tcW w:w="1640" w:type="dxa"/>
            <w:vAlign w:val="bottom"/>
            <w:gridSpan w:val="2"/>
          </w:tcPr>
          <w:p>
            <w:pPr>
              <w:ind w:left="480"/>
              <w:spacing w:after="0"/>
              <w:rPr>
                <w:sz w:val="20"/>
                <w:szCs w:val="20"/>
                <w:color w:val="auto"/>
              </w:rPr>
            </w:pPr>
            <w:r>
              <w:rPr>
                <w:rFonts w:ascii="Times New Roman" w:cs="Times New Roman" w:eastAsia="Times New Roman" w:hAnsi="Times New Roman"/>
                <w:sz w:val="12"/>
                <w:szCs w:val="12"/>
                <w:b w:val="1"/>
                <w:bCs w:val="1"/>
                <w:color w:val="auto"/>
              </w:rPr>
              <w:t>Exhibit No.</w:t>
            </w:r>
          </w:p>
        </w:tc>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560" w:type="dxa"/>
            <w:vAlign w:val="bottom"/>
            <w:gridSpan w:val="2"/>
          </w:tcPr>
          <w:p>
            <w:pPr>
              <w:ind w:left="2080"/>
              <w:spacing w:after="0"/>
              <w:rPr>
                <w:sz w:val="20"/>
                <w:szCs w:val="20"/>
                <w:color w:val="auto"/>
              </w:rPr>
            </w:pPr>
            <w:r>
              <w:rPr>
                <w:rFonts w:ascii="Times New Roman" w:cs="Times New Roman" w:eastAsia="Times New Roman" w:hAnsi="Times New Roman"/>
                <w:sz w:val="12"/>
                <w:szCs w:val="12"/>
                <w:b w:val="1"/>
                <w:bCs w:val="1"/>
                <w:color w:val="auto"/>
              </w:rPr>
              <w:t>Description</w:t>
            </w:r>
          </w:p>
        </w:tc>
      </w:tr>
      <w:tr>
        <w:trPr>
          <w:trHeight w:val="115"/>
        </w:trPr>
        <w:tc>
          <w:tcPr>
            <w:tcW w:w="1560" w:type="dxa"/>
            <w:vAlign w:val="bottom"/>
            <w:tcBorders>
              <w:top w:val="single" w:sz="8" w:color="auto"/>
            </w:tcBorders>
          </w:tcPr>
          <w:p>
            <w:pPr>
              <w:jc w:val="center"/>
              <w:spacing w:after="0" w:line="115" w:lineRule="exact"/>
              <w:rPr>
                <w:sz w:val="20"/>
                <w:szCs w:val="20"/>
                <w:color w:val="auto"/>
              </w:rPr>
            </w:pPr>
            <w:r>
              <w:rPr>
                <w:rFonts w:ascii="Times New Roman" w:cs="Times New Roman" w:eastAsia="Times New Roman" w:hAnsi="Times New Roman"/>
                <w:sz w:val="12"/>
                <w:szCs w:val="12"/>
                <w:color w:val="auto"/>
                <w:w w:val="95"/>
              </w:rPr>
              <w:t>99.1</w:t>
            </w:r>
          </w:p>
        </w:tc>
        <w:tc>
          <w:tcPr>
            <w:tcW w:w="80" w:type="dxa"/>
            <w:vAlign w:val="bottom"/>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2080" w:type="dxa"/>
            <w:vAlign w:val="bottom"/>
            <w:tcBorders>
              <w:top w:val="single" w:sz="8" w:color="auto"/>
              <w:bottom w:val="single" w:sz="8" w:color="0000FF"/>
            </w:tcBorders>
            <w:gridSpan w:val="2"/>
          </w:tcPr>
          <w:p>
            <w:pPr>
              <w:spacing w:after="0" w:line="115" w:lineRule="exact"/>
              <w:rPr>
                <w:sz w:val="20"/>
                <w:szCs w:val="20"/>
                <w:color w:val="auto"/>
              </w:rPr>
            </w:pPr>
            <w:r>
              <w:rPr>
                <w:rFonts w:ascii="Times New Roman" w:cs="Times New Roman" w:eastAsia="Times New Roman" w:hAnsi="Times New Roman"/>
                <w:sz w:val="12"/>
                <w:szCs w:val="12"/>
                <w:color w:val="0000FF"/>
                <w:w w:val="98"/>
              </w:rPr>
              <w:t>Press Release, dated as of January 27, 2023</w:t>
            </w:r>
          </w:p>
        </w:tc>
        <w:tc>
          <w:tcPr>
            <w:tcW w:w="6860" w:type="dxa"/>
            <w:vAlign w:val="bottom"/>
            <w:tcBorders>
              <w:top w:val="single" w:sz="8" w:color="auto"/>
            </w:tcBorders>
          </w:tcPr>
          <w:p>
            <w:pPr>
              <w:spacing w:after="0"/>
              <w:rPr>
                <w:sz w:val="10"/>
                <w:szCs w:val="10"/>
                <w:color w:val="auto"/>
              </w:rPr>
            </w:pPr>
          </w:p>
        </w:tc>
        <w:tc>
          <w:tcPr>
            <w:tcW w:w="700" w:type="dxa"/>
            <w:vAlign w:val="bottom"/>
          </w:tcPr>
          <w:p>
            <w:pPr>
              <w:spacing w:after="0"/>
              <w:rPr>
                <w:sz w:val="10"/>
                <w:szCs w:val="10"/>
                <w:color w:val="auto"/>
              </w:rPr>
            </w:pPr>
          </w:p>
        </w:tc>
      </w:tr>
      <w:tr>
        <w:trPr>
          <w:trHeight w:val="133"/>
        </w:trPr>
        <w:tc>
          <w:tcPr>
            <w:tcW w:w="156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color w:val="auto"/>
                <w:w w:val="95"/>
              </w:rPr>
              <w:t>99.2</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640" w:type="dxa"/>
            <w:vAlign w:val="bottom"/>
            <w:gridSpan w:val="4"/>
          </w:tcPr>
          <w:p>
            <w:pPr>
              <w:spacing w:after="0" w:line="133" w:lineRule="exact"/>
              <w:rPr>
                <w:sz w:val="20"/>
                <w:szCs w:val="20"/>
                <w:color w:val="auto"/>
              </w:rPr>
            </w:pPr>
            <w:r>
              <w:rPr>
                <w:rFonts w:ascii="Times New Roman" w:cs="Times New Roman" w:eastAsia="Times New Roman" w:hAnsi="Times New Roman"/>
                <w:sz w:val="12"/>
                <w:szCs w:val="12"/>
                <w:color w:val="0000FF"/>
              </w:rPr>
              <w:t>Corporate presentation</w:t>
            </w:r>
          </w:p>
        </w:tc>
      </w:tr>
      <w:tr>
        <w:trPr>
          <w:trHeight w:val="20"/>
        </w:trPr>
        <w:tc>
          <w:tcPr>
            <w:tcW w:w="1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8560" w:type="dxa"/>
            <w:vAlign w:val="bottom"/>
            <w:gridSpan w:val="3"/>
          </w:tcPr>
          <w:p>
            <w:pPr>
              <w:spacing w:after="0" w:line="20" w:lineRule="exact"/>
              <w:rPr>
                <w:sz w:val="1"/>
                <w:szCs w:val="1"/>
                <w:color w:val="auto"/>
              </w:rPr>
            </w:pPr>
          </w:p>
        </w:tc>
      </w:tr>
      <w:tr>
        <w:trPr>
          <w:trHeight w:val="160"/>
        </w:trPr>
        <w:tc>
          <w:tcPr>
            <w:tcW w:w="15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104</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40" w:type="dxa"/>
            <w:vAlign w:val="bottom"/>
            <w:gridSpan w:val="4"/>
          </w:tcPr>
          <w:p>
            <w:pPr>
              <w:spacing w:after="0"/>
              <w:rPr>
                <w:sz w:val="20"/>
                <w:szCs w:val="20"/>
                <w:color w:val="auto"/>
              </w:rPr>
            </w:pPr>
            <w:r>
              <w:rPr>
                <w:rFonts w:ascii="Times New Roman" w:cs="Times New Roman" w:eastAsia="Times New Roman" w:hAnsi="Times New Roman"/>
                <w:sz w:val="12"/>
                <w:szCs w:val="12"/>
                <w:color w:val="auto"/>
              </w:rPr>
              <w:t>Cover Page Interactive Data File (embedded within the Inline XBRL document)</w:t>
            </w:r>
          </w:p>
        </w:tc>
      </w:tr>
      <w:tr>
        <w:trPr>
          <w:trHeight w:val="837"/>
        </w:trPr>
        <w:tc>
          <w:tcPr>
            <w:tcW w:w="15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686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827" w:right="29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2"/>
          <w:szCs w:val="12"/>
          <w:b w:val="1"/>
          <w:bCs w:val="1"/>
          <w:color w:val="auto"/>
        </w:rPr>
        <w:t>SIGNATURE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Pursuant to the requirements of the Securities Exchange Act of 1934, the registrant has duly caused this report to be signed on its behalf by the undersigned hereunto duly authorized.</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72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8080" w:type="dxa"/>
            <w:vAlign w:val="bottom"/>
            <w:gridSpan w:val="2"/>
          </w:tcPr>
          <w:p>
            <w:pPr>
              <w:ind w:left="3040"/>
              <w:spacing w:after="0"/>
              <w:rPr>
                <w:sz w:val="20"/>
                <w:szCs w:val="20"/>
                <w:color w:val="auto"/>
              </w:rPr>
            </w:pPr>
            <w:r>
              <w:rPr>
                <w:rFonts w:ascii="Times New Roman" w:cs="Times New Roman" w:eastAsia="Times New Roman" w:hAnsi="Times New Roman"/>
                <w:sz w:val="12"/>
                <w:szCs w:val="12"/>
                <w:b w:val="1"/>
                <w:bCs w:val="1"/>
                <w:color w:val="auto"/>
              </w:rPr>
              <w:t>SENTI BIOSCIENCES, INC.</w:t>
            </w:r>
          </w:p>
        </w:tc>
      </w:tr>
      <w:tr>
        <w:trPr>
          <w:trHeight w:val="356"/>
        </w:trPr>
        <w:tc>
          <w:tcPr>
            <w:tcW w:w="720" w:type="dxa"/>
            <w:vAlign w:val="bottom"/>
          </w:tcPr>
          <w:p>
            <w:pPr>
              <w:spacing w:after="0"/>
              <w:rPr>
                <w:sz w:val="20"/>
                <w:szCs w:val="20"/>
                <w:color w:val="auto"/>
              </w:rPr>
            </w:pPr>
            <w:r>
              <w:rPr>
                <w:rFonts w:ascii="Times New Roman" w:cs="Times New Roman" w:eastAsia="Times New Roman" w:hAnsi="Times New Roman"/>
                <w:sz w:val="12"/>
                <w:szCs w:val="12"/>
                <w:color w:val="auto"/>
              </w:rPr>
              <w:t>Date:</w:t>
            </w:r>
          </w:p>
        </w:tc>
        <w:tc>
          <w:tcPr>
            <w:tcW w:w="2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January 27, 2023</w:t>
            </w:r>
          </w:p>
        </w:tc>
        <w:tc>
          <w:tcPr>
            <w:tcW w:w="4020" w:type="dxa"/>
            <w:vAlign w:val="bottom"/>
          </w:tcPr>
          <w:p>
            <w:pPr>
              <w:ind w:left="3040"/>
              <w:spacing w:after="0"/>
              <w:rPr>
                <w:sz w:val="20"/>
                <w:szCs w:val="20"/>
                <w:color w:val="auto"/>
              </w:rPr>
            </w:pPr>
            <w:r>
              <w:rPr>
                <w:rFonts w:ascii="Times New Roman" w:cs="Times New Roman" w:eastAsia="Times New Roman" w:hAnsi="Times New Roman"/>
                <w:sz w:val="12"/>
                <w:szCs w:val="12"/>
                <w:color w:val="auto"/>
              </w:rPr>
              <w:t>By:</w:t>
            </w:r>
          </w:p>
        </w:tc>
        <w:tc>
          <w:tcPr>
            <w:tcW w:w="4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Timothy Lu</w:t>
            </w:r>
          </w:p>
        </w:tc>
      </w:tr>
      <w:tr>
        <w:trPr>
          <w:trHeight w:val="155"/>
        </w:trPr>
        <w:tc>
          <w:tcPr>
            <w:tcW w:w="72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4020" w:type="dxa"/>
            <w:vAlign w:val="bottom"/>
          </w:tcPr>
          <w:p>
            <w:pPr>
              <w:ind w:left="3040"/>
              <w:spacing w:after="0"/>
              <w:rPr>
                <w:sz w:val="20"/>
                <w:szCs w:val="20"/>
                <w:color w:val="auto"/>
              </w:rPr>
            </w:pPr>
            <w:r>
              <w:rPr>
                <w:rFonts w:ascii="Times New Roman" w:cs="Times New Roman" w:eastAsia="Times New Roman" w:hAnsi="Times New Roman"/>
                <w:sz w:val="12"/>
                <w:szCs w:val="12"/>
                <w:color w:val="auto"/>
              </w:rPr>
              <w:t>Name:</w:t>
            </w:r>
          </w:p>
        </w:tc>
        <w:tc>
          <w:tcPr>
            <w:tcW w:w="4060" w:type="dxa"/>
            <w:vAlign w:val="bottom"/>
          </w:tcPr>
          <w:p>
            <w:pPr>
              <w:spacing w:after="0"/>
              <w:rPr>
                <w:sz w:val="20"/>
                <w:szCs w:val="20"/>
                <w:color w:val="auto"/>
              </w:rPr>
            </w:pPr>
            <w:r>
              <w:rPr>
                <w:rFonts w:ascii="Times New Roman" w:cs="Times New Roman" w:eastAsia="Times New Roman" w:hAnsi="Times New Roman"/>
                <w:sz w:val="12"/>
                <w:szCs w:val="12"/>
                <w:color w:val="auto"/>
              </w:rPr>
              <w:t>Timothy Lu, M.D., Ph.D.</w:t>
            </w:r>
          </w:p>
        </w:tc>
      </w:tr>
      <w:tr>
        <w:trPr>
          <w:trHeight w:val="171"/>
        </w:trPr>
        <w:tc>
          <w:tcPr>
            <w:tcW w:w="7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4020" w:type="dxa"/>
            <w:vAlign w:val="bottom"/>
          </w:tcPr>
          <w:p>
            <w:pPr>
              <w:ind w:left="3040"/>
              <w:spacing w:after="0"/>
              <w:rPr>
                <w:sz w:val="20"/>
                <w:szCs w:val="20"/>
                <w:color w:val="auto"/>
              </w:rPr>
            </w:pPr>
            <w:r>
              <w:rPr>
                <w:rFonts w:ascii="Times New Roman" w:cs="Times New Roman" w:eastAsia="Times New Roman" w:hAnsi="Times New Roman"/>
                <w:sz w:val="12"/>
                <w:szCs w:val="12"/>
                <w:color w:val="auto"/>
              </w:rPr>
              <w:t>Title:</w:t>
            </w:r>
          </w:p>
        </w:tc>
        <w:tc>
          <w:tcPr>
            <w:tcW w:w="4060" w:type="dxa"/>
            <w:vAlign w:val="bottom"/>
          </w:tcPr>
          <w:p>
            <w:pPr>
              <w:spacing w:after="0"/>
              <w:rPr>
                <w:sz w:val="20"/>
                <w:szCs w:val="20"/>
                <w:color w:val="auto"/>
              </w:rPr>
            </w:pPr>
            <w:r>
              <w:rPr>
                <w:rFonts w:ascii="Times New Roman" w:cs="Times New Roman" w:eastAsia="Times New Roman" w:hAnsi="Times New Roman"/>
                <w:sz w:val="12"/>
                <w:szCs w:val="12"/>
                <w:color w:val="auto"/>
              </w:rPr>
              <w:t>Chief Executive Officer &amp; President</w:t>
            </w:r>
          </w:p>
        </w:tc>
      </w:tr>
    </w:tbl>
    <w:p>
      <w:pPr>
        <w:sectPr>
          <w:pgSz w:w="11900" w:h="16838" w:orient="portrait"/>
          <w:cols w:equalWidth="0" w:num="1">
            <w:col w:w="11300"/>
          </w:cols>
          <w:pgMar w:left="300" w:top="665" w:right="299" w:bottom="1440" w:gutter="0" w:footer="0" w:header="0"/>
        </w:sectPr>
      </w:pPr>
    </w:p>
    <w:bookmarkStart w:id="3" w:name="page4"/>
    <w:bookmarkEnd w:id="3"/>
    <w:p>
      <w:pPr>
        <w:jc w:val="center"/>
        <w:spacing w:after="0"/>
        <w:rPr>
          <w:sz w:val="20"/>
          <w:szCs w:val="20"/>
          <w:color w:val="auto"/>
        </w:rPr>
      </w:pPr>
      <w:r>
        <w:rPr>
          <w:rFonts w:ascii="Calibri" w:cs="Calibri" w:eastAsia="Calibri" w:hAnsi="Calibri"/>
          <w:sz w:val="12"/>
          <w:szCs w:val="12"/>
          <w:b w:val="1"/>
          <w:bCs w:val="1"/>
          <w:color w:val="auto"/>
        </w:rPr>
        <w:drawing>
          <wp:anchor simplePos="0" relativeHeight="251657728" behindDoc="1" locked="0" layoutInCell="0" allowOverlap="1">
            <wp:simplePos x="0" y="0"/>
            <wp:positionH relativeFrom="page">
              <wp:posOffset>185420</wp:posOffset>
            </wp:positionH>
            <wp:positionV relativeFrom="page">
              <wp:posOffset>191770</wp:posOffset>
            </wp:positionV>
            <wp:extent cx="948690" cy="2400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948690" cy="240030"/>
                    </a:xfrm>
                    <a:prstGeom prst="rect">
                      <a:avLst/>
                    </a:prstGeom>
                    <a:noFill/>
                  </pic:spPr>
                </pic:pic>
              </a:graphicData>
            </a:graphic>
          </wp:anchor>
        </w:drawing>
        <w:t>Sent Bio Announces Pipeline Prioritzaton to Focus on Logic Gated Cell Therapies; Updates Cash Runway Guidance</w:t>
      </w:r>
    </w:p>
    <w:p>
      <w:pPr>
        <w:spacing w:after="0" w:line="160" w:lineRule="exact"/>
        <w:rPr>
          <w:sz w:val="20"/>
          <w:szCs w:val="20"/>
          <w:color w:val="auto"/>
        </w:rPr>
      </w:pPr>
    </w:p>
    <w:p>
      <w:pPr>
        <w:jc w:val="center"/>
        <w:spacing w:after="0"/>
        <w:rPr>
          <w:sz w:val="20"/>
          <w:szCs w:val="20"/>
          <w:color w:val="auto"/>
        </w:rPr>
      </w:pPr>
      <w:r>
        <w:rPr>
          <w:rFonts w:ascii="Calibri" w:cs="Calibri" w:eastAsia="Calibri" w:hAnsi="Calibri"/>
          <w:sz w:val="12"/>
          <w:szCs w:val="12"/>
          <w:i w:val="1"/>
          <w:iCs w:val="1"/>
          <w:color w:val="auto"/>
        </w:rPr>
        <w:t>– R&amp;D focus is on lead oncology candidate SENTI-202 for the treatment of AML and other CD33 and/or FLT3 expressing hematologic malignancies, and SENTI-401 to target colorectal cancer and other CEA-positve solid tumors –</w:t>
      </w:r>
    </w:p>
    <w:p>
      <w:pPr>
        <w:spacing w:after="0" w:line="151" w:lineRule="exact"/>
        <w:rPr>
          <w:sz w:val="20"/>
          <w:szCs w:val="20"/>
          <w:color w:val="auto"/>
        </w:rPr>
      </w:pPr>
    </w:p>
    <w:p>
      <w:pPr>
        <w:jc w:val="center"/>
        <w:spacing w:after="0"/>
        <w:rPr>
          <w:sz w:val="20"/>
          <w:szCs w:val="20"/>
          <w:color w:val="auto"/>
        </w:rPr>
      </w:pPr>
      <w:r>
        <w:rPr>
          <w:rFonts w:ascii="Calibri" w:cs="Calibri" w:eastAsia="Calibri" w:hAnsi="Calibri"/>
          <w:sz w:val="12"/>
          <w:szCs w:val="12"/>
          <w:i w:val="1"/>
          <w:iCs w:val="1"/>
          <w:color w:val="auto"/>
        </w:rPr>
        <w:t>– SENTI-202 on track for IND fling in 2H 2023 –</w:t>
      </w:r>
    </w:p>
    <w:p>
      <w:pPr>
        <w:spacing w:after="0" w:line="160" w:lineRule="exact"/>
        <w:rPr>
          <w:sz w:val="20"/>
          <w:szCs w:val="20"/>
          <w:color w:val="auto"/>
        </w:rPr>
      </w:pPr>
    </w:p>
    <w:p>
      <w:pPr>
        <w:jc w:val="center"/>
        <w:spacing w:after="0"/>
        <w:rPr>
          <w:sz w:val="20"/>
          <w:szCs w:val="20"/>
          <w:color w:val="auto"/>
        </w:rPr>
      </w:pPr>
      <w:r>
        <w:rPr>
          <w:rFonts w:ascii="Calibri" w:cs="Calibri" w:eastAsia="Calibri" w:hAnsi="Calibri"/>
          <w:sz w:val="12"/>
          <w:szCs w:val="12"/>
          <w:i w:val="1"/>
          <w:iCs w:val="1"/>
          <w:color w:val="auto"/>
        </w:rPr>
        <w:t>– Cash runway guidance extended through at least Q1 2024 –</w:t>
      </w:r>
    </w:p>
    <w:p>
      <w:pPr>
        <w:spacing w:after="0" w:line="317" w:lineRule="exact"/>
        <w:rPr>
          <w:sz w:val="20"/>
          <w:szCs w:val="20"/>
          <w:color w:val="auto"/>
        </w:rPr>
      </w:pPr>
    </w:p>
    <w:p>
      <w:pPr>
        <w:spacing w:after="0" w:line="226" w:lineRule="auto"/>
        <w:rPr>
          <w:sz w:val="20"/>
          <w:szCs w:val="20"/>
          <w:color w:val="auto"/>
        </w:rPr>
      </w:pPr>
      <w:r>
        <w:rPr>
          <w:rFonts w:ascii="Calibri" w:cs="Calibri" w:eastAsia="Calibri" w:hAnsi="Calibri"/>
          <w:sz w:val="12"/>
          <w:szCs w:val="12"/>
          <w:b w:val="1"/>
          <w:bCs w:val="1"/>
          <w:color w:val="404040"/>
        </w:rPr>
        <w:t xml:space="preserve">SOUTH SAN FRANCISCO, Calif., January 27, 2023 </w:t>
      </w:r>
      <w:r>
        <w:rPr>
          <w:rFonts w:ascii="Calibri" w:cs="Calibri" w:eastAsia="Calibri" w:hAnsi="Calibri"/>
          <w:sz w:val="12"/>
          <w:szCs w:val="12"/>
          <w:color w:val="404040"/>
        </w:rPr>
        <w:t>— Sent Biosciences, Inc. (Nasdaq: SNTI) (“Sent Bio”), a biotechnology company innovatng next-generaton cell and gene therapies using its proprietary Gene Circuit technology platorm</w:t>
      </w:r>
      <w:r>
        <w:rPr>
          <w:rFonts w:ascii="Calibri" w:cs="Calibri" w:eastAsia="Calibri" w:hAnsi="Calibri"/>
          <w:sz w:val="12"/>
          <w:szCs w:val="12"/>
          <w:color w:val="3C4043"/>
        </w:rPr>
        <w:t>,</w:t>
      </w:r>
      <w:r>
        <w:rPr>
          <w:rFonts w:ascii="Calibri" w:cs="Calibri" w:eastAsia="Calibri" w:hAnsi="Calibri"/>
          <w:sz w:val="12"/>
          <w:szCs w:val="12"/>
          <w:b w:val="1"/>
          <w:bCs w:val="1"/>
          <w:color w:val="404040"/>
        </w:rPr>
        <w:t xml:space="preserve"> </w:t>
      </w:r>
      <w:r>
        <w:rPr>
          <w:rFonts w:ascii="Calibri" w:cs="Calibri" w:eastAsia="Calibri" w:hAnsi="Calibri"/>
          <w:sz w:val="12"/>
          <w:szCs w:val="12"/>
          <w:color w:val="3C4043"/>
        </w:rPr>
        <w:t xml:space="preserve">today announced a strategic plan to focus internal resources </w:t>
      </w:r>
      <w:r>
        <w:rPr>
          <w:rFonts w:ascii="Calibri" w:cs="Calibri" w:eastAsia="Calibri" w:hAnsi="Calibri"/>
          <w:sz w:val="12"/>
          <w:szCs w:val="12"/>
          <w:color w:val="404040"/>
        </w:rPr>
        <w:t>on SENTI-202, SENTI-401 and, with potental partners, to contnue to pursue the development of Gene Circuits for other programs, including solid tumors. The Company does not</w:t>
      </w:r>
      <w:r>
        <w:rPr>
          <w:rFonts w:ascii="Calibri" w:cs="Calibri" w:eastAsia="Calibri" w:hAnsi="Calibri"/>
          <w:sz w:val="12"/>
          <w:szCs w:val="12"/>
          <w:color w:val="3C4043"/>
        </w:rPr>
        <w:t xml:space="preserve"> </w:t>
      </w:r>
      <w:r>
        <w:rPr>
          <w:rFonts w:ascii="Calibri" w:cs="Calibri" w:eastAsia="Calibri" w:hAnsi="Calibri"/>
          <w:sz w:val="12"/>
          <w:szCs w:val="12"/>
          <w:color w:val="404040"/>
        </w:rPr>
        <w:t>intend to invest in the clinical development of SENTI-301A, for the treatment of hepatocellular carcinoma (HCC), on its own at this tme; however, the Company believes there is signifcant market opportunity for SENTI-301A, especially in territories within Asia where HCC is more prevalent than in the United States. Accordingly, the Company is actvely pursuing strategic geographic partnerships for clinical development of SENTI 301A. This business realignment will streamline internal eforts and is expected to extend the Company’s cash runway through at least the frst quarter of 2024.</w:t>
      </w:r>
    </w:p>
    <w:p>
      <w:pPr>
        <w:spacing w:after="0" w:line="165" w:lineRule="exact"/>
        <w:rPr>
          <w:sz w:val="20"/>
          <w:szCs w:val="20"/>
          <w:color w:val="auto"/>
        </w:rPr>
      </w:pPr>
    </w:p>
    <w:p>
      <w:pPr>
        <w:ind w:right="60"/>
        <w:spacing w:after="0" w:line="224" w:lineRule="auto"/>
        <w:rPr>
          <w:sz w:val="20"/>
          <w:szCs w:val="20"/>
          <w:color w:val="auto"/>
        </w:rPr>
      </w:pPr>
      <w:r>
        <w:rPr>
          <w:rFonts w:ascii="Calibri" w:cs="Calibri" w:eastAsia="Calibri" w:hAnsi="Calibri"/>
          <w:sz w:val="12"/>
          <w:szCs w:val="12"/>
          <w:color w:val="404040"/>
        </w:rPr>
        <w:t>With SENTI-202, a Logic Gated (OR+NOT) of-the-shelf CAR-NK cell product candidate that is designed to target and eliminate acute myeloid leukemia (AML) cells while sparing the healthy bone marrow, the Company has commenced IND-enabling studies and remains on track to fle an IND applicaton in the second half of 2023. In additon, the Company has initated the technology transfer to its cGMP manufacturing facility as part of its goal to provide clinical-scale manufacturing for its of-the-shelf CAR NK cell product candidates, including SENTI-202.</w:t>
      </w:r>
    </w:p>
    <w:p>
      <w:pPr>
        <w:spacing w:after="0" w:line="166" w:lineRule="exact"/>
        <w:rPr>
          <w:sz w:val="20"/>
          <w:szCs w:val="20"/>
          <w:color w:val="auto"/>
        </w:rPr>
      </w:pPr>
    </w:p>
    <w:p>
      <w:pPr>
        <w:jc w:val="both"/>
        <w:spacing w:after="0" w:line="227" w:lineRule="auto"/>
        <w:rPr>
          <w:sz w:val="20"/>
          <w:szCs w:val="20"/>
          <w:color w:val="auto"/>
        </w:rPr>
      </w:pPr>
      <w:r>
        <w:rPr>
          <w:rFonts w:ascii="Calibri" w:cs="Calibri" w:eastAsia="Calibri" w:hAnsi="Calibri"/>
          <w:sz w:val="12"/>
          <w:szCs w:val="12"/>
          <w:color w:val="404040"/>
        </w:rPr>
        <w:t>"We are laser focused on developing cell therapies engineered with Gene Circuits to enable selectve killing of tumor cells while protectng healthy cells. Our Gene Circuits, especially our NOT gate, are designed to enable advanced cell and gene therapies to potentally have enhanced precision, actvity and control, across therapeutc areas and delivery modalites, including NK cells and T cells," said Timothy Lu, MD, PhD, Chief Executve Ofcer and Co-Founder of Sent Bio. "By focusing on SENTI-202 and SENTI-401, both of which incorporate NOT gates, we believe that we are well positoned to maximize opportunites across these two oncology programs while advancing Gene Circuits in a variety of other disease areas with potental partners."</w:t>
      </w:r>
    </w:p>
    <w:p>
      <w:pPr>
        <w:spacing w:after="0" w:line="157" w:lineRule="exact"/>
        <w:rPr>
          <w:sz w:val="20"/>
          <w:szCs w:val="20"/>
          <w:color w:val="auto"/>
        </w:rPr>
      </w:pPr>
    </w:p>
    <w:p>
      <w:pPr>
        <w:spacing w:after="0" w:line="226" w:lineRule="auto"/>
        <w:rPr>
          <w:sz w:val="20"/>
          <w:szCs w:val="20"/>
          <w:color w:val="auto"/>
        </w:rPr>
      </w:pPr>
      <w:r>
        <w:rPr>
          <w:rFonts w:ascii="Calibri" w:cs="Calibri" w:eastAsia="Calibri" w:hAnsi="Calibri"/>
          <w:sz w:val="12"/>
          <w:szCs w:val="12"/>
          <w:color w:val="404040"/>
        </w:rPr>
        <w:t xml:space="preserve">Dr. Lu added, "The team's accomplishments with SENTI-202 have generated very promising data over the past year that was presented at the American Society of Hematology (ASH) Annual Meetng last month. The data included human cell models and </w:t>
      </w:r>
      <w:r>
        <w:rPr>
          <w:rFonts w:ascii="Calibri" w:cs="Calibri" w:eastAsia="Calibri" w:hAnsi="Calibri"/>
          <w:sz w:val="12"/>
          <w:szCs w:val="12"/>
          <w:i w:val="1"/>
          <w:iCs w:val="1"/>
          <w:color w:val="404040"/>
        </w:rPr>
        <w:t>in vivo</w:t>
      </w:r>
      <w:r>
        <w:rPr>
          <w:rFonts w:ascii="Calibri" w:cs="Calibri" w:eastAsia="Calibri" w:hAnsi="Calibri"/>
          <w:sz w:val="12"/>
          <w:szCs w:val="12"/>
          <w:color w:val="404040"/>
        </w:rPr>
        <w:t xml:space="preserve"> models that showcase the ability of our OR gate to broadly kill CD33 and/or FLT3 expressing leukemic blasts and leukemic stem cells, and our NOT gate to protect healthy cells expressing the EMCN protectve antgen, including human hematopoietc stem cells. The team has completed pre-IND interactons with the FDA and believes that our planned IND-enabling studies and manufacturing and analytcal processes will support a Phase 1 trial for SENTI-202, with the ultmate goal of targetng patents with CD33 and/or FLT3 expressing hematologic malignancies including AML and myelodysplastc syndrome (MDS). Initatng process and analytcal technology transfer to our Alameda cGMP facility is another milestone that puts us one step closer to providing clinical-scale manufacturing for our CAR-NK cell development candidates."</w:t>
      </w:r>
    </w:p>
    <w:p>
      <w:pPr>
        <w:spacing w:after="0" w:line="156" w:lineRule="exact"/>
        <w:rPr>
          <w:sz w:val="20"/>
          <w:szCs w:val="20"/>
          <w:color w:val="auto"/>
        </w:rPr>
      </w:pPr>
    </w:p>
    <w:p>
      <w:pPr>
        <w:ind w:right="20"/>
        <w:spacing w:after="0" w:line="227" w:lineRule="auto"/>
        <w:rPr>
          <w:sz w:val="20"/>
          <w:szCs w:val="20"/>
          <w:color w:val="auto"/>
        </w:rPr>
      </w:pPr>
      <w:r>
        <w:rPr>
          <w:rFonts w:ascii="Calibri" w:cs="Calibri" w:eastAsia="Calibri" w:hAnsi="Calibri"/>
          <w:sz w:val="12"/>
          <w:szCs w:val="12"/>
          <w:color w:val="404040"/>
        </w:rPr>
        <w:t xml:space="preserve">The SENTI-401 program incorporates multple Gene Circuit technologies to target solid tumors expressing the CEA tumor antgen, including colorectal cancer. Sent Bio has recently demonstrated, including data presented at the Society for Immunotherapy of Cancer (SITC) conference in November 2022, that CAR-NK cells expressing a potent CEA-targetng actvatng CAR along with two multfunctonal cytokines (calibrated-release IL-15 and IL-21) exhibited signifcant actvity in killing CEA-expressing tumors </w:t>
      </w:r>
      <w:r>
        <w:rPr>
          <w:rFonts w:ascii="Calibri" w:cs="Calibri" w:eastAsia="Calibri" w:hAnsi="Calibri"/>
          <w:sz w:val="12"/>
          <w:szCs w:val="12"/>
          <w:i w:val="1"/>
          <w:iCs w:val="1"/>
          <w:color w:val="404040"/>
        </w:rPr>
        <w:t>in vitro</w:t>
      </w:r>
      <w:r>
        <w:rPr>
          <w:rFonts w:ascii="Calibri" w:cs="Calibri" w:eastAsia="Calibri" w:hAnsi="Calibri"/>
          <w:sz w:val="12"/>
          <w:szCs w:val="12"/>
          <w:color w:val="404040"/>
        </w:rPr>
        <w:t>, even in the presence of inhibitory TGF-beta, and in mice. Furthermore, Sent Bio’s optmized NOT gate technology was shown to achieve up to 98% protecton of model healthy cells that express CEA along with a protectve antgen, VSIG2. The Company believes the</w:t>
      </w:r>
    </w:p>
    <w:p>
      <w:pPr>
        <w:sectPr>
          <w:pgSz w:w="11900" w:h="16838" w:orient="portrait"/>
          <w:cols w:equalWidth="0" w:num="1">
            <w:col w:w="11280"/>
          </w:cols>
          <w:pgMar w:left="300" w:top="1137" w:right="319" w:bottom="1440" w:gutter="0" w:footer="0" w:header="0"/>
        </w:sectPr>
      </w:pPr>
    </w:p>
    <w:bookmarkStart w:id="4" w:name="page5"/>
    <w:bookmarkEnd w:id="4"/>
    <w:p>
      <w:pPr>
        <w:ind w:right="140"/>
        <w:spacing w:after="0" w:line="226" w:lineRule="auto"/>
        <w:rPr>
          <w:sz w:val="20"/>
          <w:szCs w:val="20"/>
          <w:color w:val="auto"/>
        </w:rPr>
      </w:pPr>
      <w:r>
        <w:rPr>
          <w:rFonts w:ascii="Calibri" w:cs="Calibri" w:eastAsia="Calibri" w:hAnsi="Calibri"/>
          <w:sz w:val="12"/>
          <w:szCs w:val="12"/>
          <w:color w:val="404040"/>
        </w:rPr>
        <w:t>combinaton of Logic Gatng and Mult Arming Gene Circuits within a single CAR-NK development candidate demonstrates the potental for Sent Bio’s Gene Circuit technologies to be expanded to a wide range of solid tumor indicatons beyond SENTI-202 and SENTI-401.</w:t>
      </w:r>
    </w:p>
    <w:p>
      <w:pPr>
        <w:spacing w:after="0" w:line="161" w:lineRule="exact"/>
        <w:rPr>
          <w:sz w:val="20"/>
          <w:szCs w:val="20"/>
          <w:color w:val="auto"/>
        </w:rPr>
      </w:pPr>
    </w:p>
    <w:p>
      <w:pPr>
        <w:spacing w:after="0"/>
        <w:rPr>
          <w:sz w:val="20"/>
          <w:szCs w:val="20"/>
          <w:color w:val="auto"/>
        </w:rPr>
      </w:pPr>
      <w:r>
        <w:rPr>
          <w:rFonts w:ascii="Calibri" w:cs="Calibri" w:eastAsia="Calibri" w:hAnsi="Calibri"/>
          <w:sz w:val="12"/>
          <w:szCs w:val="12"/>
          <w:color w:val="404040"/>
        </w:rPr>
        <w:t>Beyond oncology, the Company is contnuing its strategic research collaboratons with Spark Therapeutcs on next-generaton AAV gene therapy, and BlueRock Therapeutcs on iPSC-derived cell therapies.</w:t>
      </w:r>
    </w:p>
    <w:p>
      <w:pPr>
        <w:spacing w:after="0" w:line="151" w:lineRule="exact"/>
        <w:rPr>
          <w:sz w:val="20"/>
          <w:szCs w:val="20"/>
          <w:color w:val="auto"/>
        </w:rPr>
      </w:pPr>
    </w:p>
    <w:p>
      <w:pPr>
        <w:spacing w:after="0"/>
        <w:rPr>
          <w:sz w:val="20"/>
          <w:szCs w:val="20"/>
          <w:color w:val="auto"/>
        </w:rPr>
      </w:pPr>
      <w:r>
        <w:rPr>
          <w:rFonts w:ascii="Calibri" w:cs="Calibri" w:eastAsia="Calibri" w:hAnsi="Calibri"/>
          <w:sz w:val="12"/>
          <w:szCs w:val="12"/>
          <w:b w:val="1"/>
          <w:bCs w:val="1"/>
          <w:color w:val="404040"/>
        </w:rPr>
        <w:t>About Sent Bio</w:t>
      </w:r>
    </w:p>
    <w:p>
      <w:pPr>
        <w:ind w:right="120"/>
        <w:spacing w:after="0" w:line="224" w:lineRule="auto"/>
        <w:rPr>
          <w:sz w:val="20"/>
          <w:szCs w:val="20"/>
          <w:color w:val="auto"/>
        </w:rPr>
      </w:pPr>
      <w:r>
        <w:rPr>
          <w:rFonts w:ascii="Calibri" w:cs="Calibri" w:eastAsia="Calibri" w:hAnsi="Calibri"/>
          <w:sz w:val="12"/>
          <w:szCs w:val="12"/>
          <w:color w:val="404040"/>
        </w:rPr>
        <w:t>Our mission is to create a new generaton of smarter medicines that outmaneuver complex diseases using novel and unprecedented approaches. To accomplish this, we are building a synthetc biology platorm that may enable us to program next-generaton cell and gene therapies with what we refer to as Gene Circuits. These novel and proprietary Gene Circuits are designed to reprogram cells with biological logic to sense inputs, compute decisions and respond to their cellular environments. We aim to design Gene Circuits to improve the intelligence of cell and gene therapies in order to enhance their therapeutc efectveness, precision, and durability against a broad range of diseases that conventonal medicines do not readily address.</w:t>
      </w:r>
    </w:p>
    <w:p>
      <w:pPr>
        <w:spacing w:after="0" w:line="166" w:lineRule="exact"/>
        <w:rPr>
          <w:sz w:val="20"/>
          <w:szCs w:val="20"/>
          <w:color w:val="auto"/>
        </w:rPr>
      </w:pPr>
    </w:p>
    <w:p>
      <w:pPr>
        <w:ind w:right="80"/>
        <w:spacing w:after="0" w:line="227" w:lineRule="auto"/>
        <w:rPr>
          <w:sz w:val="20"/>
          <w:szCs w:val="20"/>
          <w:color w:val="auto"/>
        </w:rPr>
      </w:pPr>
      <w:r>
        <w:rPr>
          <w:rFonts w:ascii="Calibri" w:cs="Calibri" w:eastAsia="Calibri" w:hAnsi="Calibri"/>
          <w:sz w:val="12"/>
          <w:szCs w:val="12"/>
          <w:color w:val="404040"/>
        </w:rPr>
        <w:t>Our synthetc biology platorm utlizes of-the-shelf chimeric antgen receptor natural killer (CAR-NK) cells, outited with Gene Circuit technologies, to target partcularly challenging liquid and solid tumor oncology indicatons. Our lead product candidate is SENTI-202 for the treatment of CD33 and/or FLT3 expressing hematologic malignancies, such as AML and MDS. Additonally, our SENTI-401 program is being designed for the treatment of colorectal cancer (CRC) and other CEA-positve cancers. We have also demonstrated in preclinical studies the potental breadth of our Gene Circuits in other modalites, including T cells, AAVs and iPSCs, and diseases outside of oncology; and we have executed partnerships with Spark Therapeutcs and BlueRock Therapeutcs to advance these capabilites.</w:t>
      </w:r>
    </w:p>
    <w:p>
      <w:pPr>
        <w:spacing w:after="0" w:line="314" w:lineRule="exact"/>
        <w:rPr>
          <w:sz w:val="20"/>
          <w:szCs w:val="20"/>
          <w:color w:val="auto"/>
        </w:rPr>
      </w:pPr>
    </w:p>
    <w:p>
      <w:pPr>
        <w:spacing w:after="0"/>
        <w:rPr>
          <w:sz w:val="20"/>
          <w:szCs w:val="20"/>
          <w:color w:val="auto"/>
        </w:rPr>
      </w:pPr>
      <w:r>
        <w:rPr>
          <w:rFonts w:ascii="Calibri" w:cs="Calibri" w:eastAsia="Calibri" w:hAnsi="Calibri"/>
          <w:sz w:val="12"/>
          <w:szCs w:val="12"/>
          <w:b w:val="1"/>
          <w:bCs w:val="1"/>
          <w:color w:val="0E101A"/>
        </w:rPr>
        <w:t>Forward-Looking Statements</w:t>
      </w:r>
    </w:p>
    <w:p>
      <w:pPr>
        <w:spacing w:after="0" w:line="247" w:lineRule="auto"/>
        <w:rPr>
          <w:sz w:val="20"/>
          <w:szCs w:val="20"/>
          <w:color w:val="auto"/>
        </w:rPr>
      </w:pPr>
      <w:r>
        <w:rPr>
          <w:rFonts w:ascii="Calibri" w:cs="Calibri" w:eastAsia="Calibri" w:hAnsi="Calibri"/>
          <w:sz w:val="11"/>
          <w:szCs w:val="11"/>
          <w:color w:val="0E101A"/>
        </w:rPr>
        <w:t>This press release and document contain certain statements that are not historical facts and are considered forward-looking statements within the meaning of Secton 27A of the Securites Act of 1933, as amended, and Secton 21E of the Securites Exchange Act of 1934, as amended. These forward-looking statements generally are identfed by the words “believe,” “could,” “predict,” “contnue,” “ongoing,” “project,” “expect,” “antcipate,” “estmate,” “intend,” “strategy,” “future,” “opportunity,” “plan,” “may,” “should,” “will,” “would,” “will be,” “will contnue,” “will likely result,” “forecast,” “seek,” “target” and similar expressions that predict or indicate future events or trends or that are not statements of historical maters. Forward-looking statements are predictons, projectons, and other statements about future events that are based on current expectatons of Sent Bio’s management and assumptons, whether or not identfed in this document, and, as a result, are subject to risks and uncertaintes. Forward-looking statements include, but are not limited to, statements regarding Sent Bio’s research and development actvites, including the development of the Company’s SENTI-202 product candidate and the advancement of its SENTI-401 program, its interactons with regulatory authorites and plans to submit an IND applicaton for SENTI-202, its plans to pursue potental strategic partnerships for SENTI 301A and other programs, its projected cash runway; and its contnuaton of its collaboratons with Spark Therapeutcs and BlueRock Therapeutcs, as well as the tming of these events, as well as statements about the potental atributes and benefts of Sent Bio’s product candidates and platorm technology. These forward-looking statements are provided for illustratve purposes only and are not intended to serve as and must not be relied on by any investor as, a guarantee, an assurance, a predicton, or a defnitve statement of fact or probability. Actual events and circumstances are difcult or impossible to predict and will difer from assumptons. Many actual events and circumstances are beyond the control of Sent Bio. Many factors could cause actual future results to difer materially from the forward-looking statements in this document, including but not limited to: the risk that results observed in studies of the Company’s product candidates, including preclinical studies and future clinical trials of any of its product candidates, will not be observed in ongoing or future studies involving these product candidates, the risk that Sent Bio may cease or delay development of any of its product candidates for a variety of reasons (including requirements that may be imposed by regulatory authorites on the initaton or conduct of clinical trials, the amount and type of data to be generated, or otherwise to support regulatory approval, difcultes or delays in subject enrollment and contnuaton of clinical trials, difcultes in manufacturing or supplying Sent Bio’s product candidates for preclinical and clinical testng, and any adverse events or other negatve results that may be observed during preclinical or clinical development), Sent Bio’s ability to obtain, maintain, and protect its</w:t>
      </w:r>
    </w:p>
    <w:p>
      <w:pPr>
        <w:sectPr>
          <w:pgSz w:w="11900" w:h="16838" w:orient="portrait"/>
          <w:cols w:equalWidth="0" w:num="1">
            <w:col w:w="11220"/>
          </w:cols>
          <w:pgMar w:left="300" w:top="989" w:right="379" w:bottom="1440" w:gutter="0" w:footer="0" w:header="0"/>
        </w:sectPr>
      </w:pPr>
    </w:p>
    <w:bookmarkStart w:id="5" w:name="page6"/>
    <w:bookmarkEnd w:id="5"/>
    <w:p>
      <w:pPr>
        <w:spacing w:after="0" w:line="226" w:lineRule="auto"/>
        <w:rPr>
          <w:sz w:val="20"/>
          <w:szCs w:val="20"/>
          <w:color w:val="auto"/>
        </w:rPr>
      </w:pPr>
      <w:r>
        <w:rPr>
          <w:rFonts w:ascii="Calibri" w:cs="Calibri" w:eastAsia="Calibri" w:hAnsi="Calibri"/>
          <w:sz w:val="12"/>
          <w:szCs w:val="12"/>
          <w:color w:val="0E101A"/>
        </w:rPr>
        <w:t>intellectual property, Sent Bio’s dependence on third partes for development and manufacture of product candidates, Sent Bio’s ability to manage expenses and to obtain additonal funding when needed to support its business actvites and establish and maintain strategic business alliances and new business initatves, the impacts of macroeconomic and geopolitcal events, including changing conditons from the COVID-19 pandemic, the hostlites in Ukraine, increasing rates of infaton and rising interest rates on business operatons and expectaton, and the risk that Sent Bio’s product candidates may not have benefcial atributes or may cause other unantcipated adverse efects. The foregoing list of factors is not exhaustve. You should carefully consider the foregoing factors and the other risks and uncertaintes described in the “Risk Factors” secton of Sent Bio’s Quarterly Report on Form 10-Q, fled with the SEC on November 10, 2022, and other documents fled by Sent Bio from tme to tme with the SEC. These flings identfy and address other important risks and uncertaintes that could cause actual events and results to difer materially from those contained in the forward-looking statements in this document. There may be additonal risks that Sent Bio does not presently know, or that Sent Bio currently believes are immaterial that could also cause actual results to difer from those contained in the forward-looking statements in this document. Forward-looking statements speak only as of the date they are made. Sent Bio antcipates that subsequent events and developments may cause Sent Bio’s assessments to change. Except as required by law, Sent Bio assumes no obligaton to update publicly any forward-looking statements, whether as a result of new informaton, future events, or otherwise.</w:t>
      </w:r>
    </w:p>
    <w:p>
      <w:pPr>
        <w:spacing w:after="0" w:line="161" w:lineRule="exact"/>
        <w:rPr>
          <w:sz w:val="20"/>
          <w:szCs w:val="20"/>
          <w:color w:val="auto"/>
        </w:rPr>
      </w:pPr>
    </w:p>
    <w:p>
      <w:pPr>
        <w:spacing w:after="0"/>
        <w:rPr>
          <w:sz w:val="20"/>
          <w:szCs w:val="20"/>
          <w:color w:val="auto"/>
        </w:rPr>
      </w:pPr>
      <w:r>
        <w:rPr>
          <w:rFonts w:ascii="Calibri" w:cs="Calibri" w:eastAsia="Calibri" w:hAnsi="Calibri"/>
          <w:sz w:val="12"/>
          <w:szCs w:val="12"/>
          <w:b w:val="1"/>
          <w:bCs w:val="1"/>
          <w:color w:val="0E101A"/>
        </w:rPr>
        <w:t>Availability of Other Informaton About Sent Biosciences, Inc.</w:t>
      </w:r>
    </w:p>
    <w:p>
      <w:pPr>
        <w:ind w:right="180"/>
        <w:spacing w:after="0" w:line="247" w:lineRule="auto"/>
        <w:rPr>
          <w:sz w:val="20"/>
          <w:szCs w:val="20"/>
          <w:color w:val="auto"/>
        </w:rPr>
      </w:pPr>
      <w:r>
        <w:rPr>
          <w:rFonts w:ascii="Calibri" w:cs="Calibri" w:eastAsia="Calibri" w:hAnsi="Calibri"/>
          <w:sz w:val="11"/>
          <w:szCs w:val="11"/>
          <w:color w:val="0E101A"/>
        </w:rPr>
        <w:t>For more informaton, please visit the Sent Bio website at htps://www.sentbio.com or follow Sent Bio on Twiter (@SentBio) and LinkedIn (Sent Biosciences). Investors and others should note that we communicate with our investors and the public using our company website (www.sentbio.com), including, but not limited to, company disclosures, investor presentatons and FAQs, Securites and Exchange Commission flings, press releases, public conference call transcripts and webcast transcripts, as well as on social media. The informaton that we post on our website or on social media could be deemed to be material informaton. As a result, we encourage investors, the media and others interested to review the informaton that we post there on a regular basis. The contents of our website or social media shall not be deemed incorporated by reference in any fling under the Securites Act of 1933, as amended.</w:t>
      </w:r>
    </w:p>
    <w:p>
      <w:pPr>
        <w:spacing w:after="0" w:line="147" w:lineRule="exact"/>
        <w:rPr>
          <w:sz w:val="20"/>
          <w:szCs w:val="20"/>
          <w:color w:val="auto"/>
        </w:rPr>
      </w:pPr>
    </w:p>
    <w:p>
      <w:pPr>
        <w:spacing w:after="0"/>
        <w:rPr>
          <w:sz w:val="20"/>
          <w:szCs w:val="20"/>
          <w:color w:val="auto"/>
        </w:rPr>
      </w:pPr>
      <w:r>
        <w:rPr>
          <w:rFonts w:ascii="Calibri" w:cs="Calibri" w:eastAsia="Calibri" w:hAnsi="Calibri"/>
          <w:sz w:val="12"/>
          <w:szCs w:val="12"/>
          <w:color w:val="0E101A"/>
        </w:rPr>
        <w:t xml:space="preserve">Find </w:t>
      </w:r>
      <w:r>
        <w:rPr>
          <w:rFonts w:ascii="Calibri" w:cs="Calibri" w:eastAsia="Calibri" w:hAnsi="Calibri"/>
          <w:sz w:val="12"/>
          <w:szCs w:val="12"/>
          <w:color w:val="000000"/>
        </w:rPr>
        <w:t>more informaton at sentbio.com</w:t>
      </w:r>
    </w:p>
    <w:p>
      <w:pPr>
        <w:spacing w:after="0" w:line="235" w:lineRule="auto"/>
        <w:rPr>
          <w:sz w:val="20"/>
          <w:szCs w:val="20"/>
          <w:color w:val="auto"/>
        </w:rPr>
      </w:pPr>
      <w:r>
        <w:rPr>
          <w:rFonts w:ascii="Calibri" w:cs="Calibri" w:eastAsia="Calibri" w:hAnsi="Calibri"/>
          <w:sz w:val="12"/>
          <w:szCs w:val="12"/>
          <w:color w:val="auto"/>
        </w:rPr>
        <w:t>Follow us on Linkedin: Sent Biosciences</w:t>
      </w:r>
    </w:p>
    <w:p>
      <w:pPr>
        <w:spacing w:after="0" w:line="151" w:lineRule="exact"/>
        <w:rPr>
          <w:sz w:val="20"/>
          <w:szCs w:val="20"/>
          <w:color w:val="auto"/>
        </w:rPr>
      </w:pPr>
    </w:p>
    <w:p>
      <w:pPr>
        <w:spacing w:after="0"/>
        <w:rPr>
          <w:sz w:val="20"/>
          <w:szCs w:val="20"/>
          <w:color w:val="auto"/>
        </w:rPr>
      </w:pPr>
      <w:r>
        <w:rPr>
          <w:rFonts w:ascii="Calibri" w:cs="Calibri" w:eastAsia="Calibri" w:hAnsi="Calibri"/>
          <w:sz w:val="12"/>
          <w:szCs w:val="12"/>
          <w:b w:val="1"/>
          <w:bCs w:val="1"/>
          <w:color w:val="404040"/>
        </w:rPr>
        <w:t>Contact Sent Bio:</w:t>
      </w:r>
    </w:p>
    <w:p>
      <w:pPr>
        <w:spacing w:after="0" w:line="221" w:lineRule="auto"/>
        <w:rPr>
          <w:sz w:val="20"/>
          <w:szCs w:val="20"/>
          <w:color w:val="auto"/>
        </w:rPr>
      </w:pPr>
      <w:r>
        <w:rPr>
          <w:rFonts w:ascii="Calibri" w:cs="Calibri" w:eastAsia="Calibri" w:hAnsi="Calibri"/>
          <w:sz w:val="12"/>
          <w:szCs w:val="12"/>
          <w:color w:val="404040"/>
        </w:rPr>
        <w:t xml:space="preserve">Email: </w:t>
      </w:r>
      <w:r>
        <w:rPr>
          <w:rFonts w:ascii="Calibri" w:cs="Calibri" w:eastAsia="Calibri" w:hAnsi="Calibri"/>
          <w:sz w:val="12"/>
          <w:szCs w:val="12"/>
          <w:color w:val="000000"/>
        </w:rPr>
        <w:t>investors@sentbio.com</w:t>
      </w:r>
    </w:p>
    <w:p>
      <w:pPr>
        <w:spacing w:after="0" w:line="160" w:lineRule="exact"/>
        <w:rPr>
          <w:sz w:val="20"/>
          <w:szCs w:val="20"/>
          <w:color w:val="auto"/>
        </w:rPr>
      </w:pPr>
    </w:p>
    <w:p>
      <w:pPr>
        <w:spacing w:after="0"/>
        <w:rPr>
          <w:sz w:val="20"/>
          <w:szCs w:val="20"/>
          <w:color w:val="auto"/>
        </w:rPr>
      </w:pPr>
      <w:r>
        <w:rPr>
          <w:rFonts w:ascii="Calibri" w:cs="Calibri" w:eastAsia="Calibri" w:hAnsi="Calibri"/>
          <w:sz w:val="12"/>
          <w:szCs w:val="12"/>
          <w:color w:val="auto"/>
        </w:rPr>
        <w:t>Kelli Perkins (Media)</w:t>
      </w:r>
    </w:p>
    <w:p>
      <w:pPr>
        <w:spacing w:after="0" w:line="206" w:lineRule="auto"/>
        <w:rPr>
          <w:sz w:val="20"/>
          <w:szCs w:val="20"/>
          <w:color w:val="auto"/>
        </w:rPr>
      </w:pPr>
      <w:r>
        <w:rPr>
          <w:rFonts w:ascii="Calibri" w:cs="Calibri" w:eastAsia="Calibri" w:hAnsi="Calibri"/>
          <w:sz w:val="12"/>
          <w:szCs w:val="12"/>
          <w:color w:val="auto"/>
        </w:rPr>
        <w:t>Email: kelli@redhousecomms.com</w:t>
      </w:r>
    </w:p>
    <w:p>
      <w:pPr>
        <w:sectPr>
          <w:pgSz w:w="11900" w:h="16838" w:orient="portrait"/>
          <w:cols w:equalWidth="0" w:num="1">
            <w:col w:w="11280"/>
          </w:cols>
          <w:pgMar w:left="300" w:top="989" w:right="319" w:bottom="1440" w:gutter="0" w:footer="0" w:header="0"/>
        </w:sectPr>
      </w:pPr>
    </w:p>
    <w:bookmarkStart w:id="6" w:name="page7"/>
    <w:bookmarkEnd w:id="6"/>
    <w:p>
      <w:pPr>
        <w:spacing w:after="0" w:line="206"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34042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6"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156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0415" cy="34156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6"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6"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6"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6"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6"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6"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6"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6"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6"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6"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6"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6"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6"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6"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6"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6"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6"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6"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6"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6"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6"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6"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6"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6"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6"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6"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6"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6"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6"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06"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line="206"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line="206"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line="206"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3760470</wp:posOffset>
            </wp:positionV>
            <wp:extent cx="7130415" cy="184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0415" cy="1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line="206"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line="206"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line="206"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line="206"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2023-01-27T06:27:42Z</dcterms:created>
  <dcterms:modified xsi:type="dcterms:W3CDTF">2023-01-27T06:27:42Z</dcterms:modified>
</cp:coreProperties>
</file>