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12, 2022</w:t>
      </w:r>
    </w:p>
    <w:p>
      <w:pPr>
        <w:spacing w:after="0" w:line="6"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8"/>
          <w:szCs w:val="28"/>
          <w:b w:val="1"/>
          <w:bCs w:val="1"/>
          <w:color w:val="auto"/>
        </w:rPr>
        <w:t>FORM S-1</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73025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9"/>
          <w:szCs w:val="39"/>
          <w:b w:val="1"/>
          <w:bCs w:val="1"/>
          <w:color w:val="auto"/>
        </w:rPr>
        <w:t>SENTI BIOSCIENCES, INC.</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4"/>
          <w:szCs w:val="24"/>
          <w:color w:val="auto"/>
        </w:rPr>
      </w:pPr>
    </w:p>
    <w:tbl>
      <w:tblPr>
        <w:tblLayout w:type="fixed"/>
        <w:tblInd w:w="1220" w:type="dxa"/>
        <w:tblCellMar>
          <w:top w:w="0" w:type="dxa"/>
          <w:left w:w="0" w:type="dxa"/>
          <w:bottom w:w="0" w:type="dxa"/>
          <w:right w:w="0" w:type="dxa"/>
        </w:tblCellMar>
      </w:tblPr>
      <w:tr>
        <w:trPr>
          <w:trHeight w:val="163"/>
        </w:trPr>
        <w:tc>
          <w:tcPr>
            <w:tcW w:w="2660" w:type="dxa"/>
            <w:vAlign w:val="bottom"/>
          </w:tcPr>
          <w:p>
            <w:pPr>
              <w:jc w:val="center"/>
              <w:ind w:right="105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120" w:type="dxa"/>
            <w:vAlign w:val="bottom"/>
          </w:tcPr>
          <w:p>
            <w:pPr>
              <w:jc w:val="center"/>
              <w:ind w:left="1157"/>
              <w:spacing w:after="0"/>
              <w:rPr>
                <w:sz w:val="20"/>
                <w:szCs w:val="20"/>
                <w:color w:val="auto"/>
              </w:rPr>
            </w:pPr>
            <w:r>
              <w:rPr>
                <w:rFonts w:ascii="Times New Roman" w:cs="Times New Roman" w:eastAsia="Times New Roman" w:hAnsi="Times New Roman"/>
                <w:sz w:val="14"/>
                <w:szCs w:val="14"/>
                <w:b w:val="1"/>
                <w:bCs w:val="1"/>
                <w:color w:val="auto"/>
              </w:rPr>
              <w:t>86-2437900</w:t>
            </w:r>
          </w:p>
        </w:tc>
      </w:tr>
      <w:tr>
        <w:trPr>
          <w:trHeight w:val="135"/>
        </w:trPr>
        <w:tc>
          <w:tcPr>
            <w:tcW w:w="2660" w:type="dxa"/>
            <w:vAlign w:val="bottom"/>
          </w:tcPr>
          <w:p>
            <w:pPr>
              <w:jc w:val="center"/>
              <w:ind w:right="105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38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6"/>
              </w:rPr>
              <w:t>(Primary Standard Industrial</w:t>
            </w:r>
          </w:p>
        </w:tc>
        <w:tc>
          <w:tcPr>
            <w:tcW w:w="2120" w:type="dxa"/>
            <w:vAlign w:val="bottom"/>
          </w:tcPr>
          <w:p>
            <w:pPr>
              <w:jc w:val="center"/>
              <w:ind w:left="1157"/>
              <w:spacing w:after="0" w:line="135"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2"/>
        </w:trPr>
        <w:tc>
          <w:tcPr>
            <w:tcW w:w="2660" w:type="dxa"/>
            <w:vAlign w:val="bottom"/>
          </w:tcPr>
          <w:p>
            <w:pPr>
              <w:jc w:val="center"/>
              <w:ind w:right="1077"/>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3820" w:type="dxa"/>
            <w:vAlign w:val="bottom"/>
          </w:tcPr>
          <w:p>
            <w:pPr>
              <w:jc w:val="center"/>
              <w:ind w:right="37"/>
              <w:spacing w:after="0"/>
              <w:rPr>
                <w:sz w:val="20"/>
                <w:szCs w:val="20"/>
                <w:color w:val="auto"/>
              </w:rPr>
            </w:pPr>
            <w:r>
              <w:rPr>
                <w:rFonts w:ascii="Times New Roman" w:cs="Times New Roman" w:eastAsia="Times New Roman" w:hAnsi="Times New Roman"/>
                <w:sz w:val="12"/>
                <w:szCs w:val="12"/>
                <w:b w:val="1"/>
                <w:bCs w:val="1"/>
                <w:color w:val="auto"/>
                <w:w w:val="96"/>
              </w:rPr>
              <w:t>Classification Code Number)</w:t>
            </w:r>
          </w:p>
        </w:tc>
        <w:tc>
          <w:tcPr>
            <w:tcW w:w="2120" w:type="dxa"/>
            <w:vAlign w:val="bottom"/>
          </w:tcPr>
          <w:p>
            <w:pPr>
              <w:jc w:val="center"/>
              <w:ind w:left="1157"/>
              <w:spacing w:after="0"/>
              <w:rPr>
                <w:sz w:val="20"/>
                <w:szCs w:val="20"/>
                <w:color w:val="auto"/>
              </w:rPr>
            </w:pPr>
            <w:r>
              <w:rPr>
                <w:rFonts w:ascii="Times New Roman" w:cs="Times New Roman" w:eastAsia="Times New Roman" w:hAnsi="Times New Roman"/>
                <w:sz w:val="12"/>
                <w:szCs w:val="12"/>
                <w:b w:val="1"/>
                <w:bCs w:val="1"/>
                <w:color w:val="auto"/>
                <w:w w:val="95"/>
              </w:rPr>
              <w:t>Identification No.)</w:t>
            </w:r>
          </w:p>
        </w:tc>
      </w:tr>
    </w:tbl>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 Corporate Drive, First Floor</w:t>
      </w:r>
    </w:p>
    <w:p>
      <w:pPr>
        <w:jc w:val="center"/>
        <w:ind w:right="-179"/>
        <w:spacing w:after="0" w:line="229" w:lineRule="auto"/>
        <w:rPr>
          <w:sz w:val="20"/>
          <w:szCs w:val="20"/>
          <w:color w:val="auto"/>
        </w:rPr>
      </w:pPr>
      <w:r>
        <w:rPr>
          <w:rFonts w:ascii="Times New Roman" w:cs="Times New Roman" w:eastAsia="Times New Roman" w:hAnsi="Times New Roman"/>
          <w:sz w:val="14"/>
          <w:szCs w:val="14"/>
          <w:b w:val="1"/>
          <w:bCs w:val="1"/>
          <w:color w:val="auto"/>
        </w:rPr>
        <w:t>South San Francisco, CA 94080</w:t>
      </w:r>
    </w:p>
    <w:p>
      <w:pPr>
        <w:jc w:val="center"/>
        <w:ind w:right="-179"/>
        <w:spacing w:after="0" w:line="237" w:lineRule="auto"/>
        <w:rPr>
          <w:sz w:val="20"/>
          <w:szCs w:val="20"/>
          <w:color w:val="auto"/>
        </w:rPr>
      </w:pPr>
      <w:r>
        <w:rPr>
          <w:rFonts w:ascii="Times New Roman" w:cs="Times New Roman" w:eastAsia="Times New Roman" w:hAnsi="Times New Roman"/>
          <w:sz w:val="14"/>
          <w:szCs w:val="14"/>
          <w:b w:val="1"/>
          <w:bCs w:val="1"/>
          <w:color w:val="auto"/>
        </w:rPr>
        <w:t>(650) 382-3281</w:t>
      </w: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73025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Timothy Lu, M.D., Ph.D</w:t>
      </w:r>
    </w:p>
    <w:p>
      <w:pPr>
        <w:jc w:val="center"/>
        <w:ind w:right="-17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Senti Biosciences, Inc.</w:t>
      </w:r>
    </w:p>
    <w:p>
      <w:pPr>
        <w:jc w:val="center"/>
        <w:ind w:right="-179"/>
        <w:spacing w:after="0" w:line="222" w:lineRule="auto"/>
        <w:rPr>
          <w:sz w:val="20"/>
          <w:szCs w:val="20"/>
          <w:color w:val="auto"/>
        </w:rPr>
      </w:pPr>
      <w:r>
        <w:rPr>
          <w:rFonts w:ascii="Times New Roman" w:cs="Times New Roman" w:eastAsia="Times New Roman" w:hAnsi="Times New Roman"/>
          <w:sz w:val="14"/>
          <w:szCs w:val="14"/>
          <w:b w:val="1"/>
          <w:bCs w:val="1"/>
          <w:color w:val="auto"/>
        </w:rPr>
        <w:t>2 Corporate Drive, First Floor</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South San Francisco, CA 94080</w:t>
      </w:r>
    </w:p>
    <w:p>
      <w:pPr>
        <w:jc w:val="center"/>
        <w:ind w:right="-179"/>
        <w:spacing w:after="0" w:line="237" w:lineRule="auto"/>
        <w:rPr>
          <w:sz w:val="20"/>
          <w:szCs w:val="20"/>
          <w:color w:val="auto"/>
        </w:rPr>
      </w:pPr>
      <w:r>
        <w:rPr>
          <w:rFonts w:ascii="Times New Roman" w:cs="Times New Roman" w:eastAsia="Times New Roman" w:hAnsi="Times New Roman"/>
          <w:sz w:val="14"/>
          <w:szCs w:val="14"/>
          <w:b w:val="1"/>
          <w:bCs w:val="1"/>
          <w:color w:val="auto"/>
        </w:rPr>
        <w:t>Telephone: (650) 382-3281</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81280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Jocelyn M. Arel</w:t>
      </w:r>
    </w:p>
    <w:p>
      <w:pPr>
        <w:jc w:val="center"/>
        <w:ind w:right="-179"/>
        <w:spacing w:after="0" w:line="229" w:lineRule="auto"/>
        <w:rPr>
          <w:sz w:val="20"/>
          <w:szCs w:val="20"/>
          <w:color w:val="auto"/>
        </w:rPr>
      </w:pPr>
      <w:r>
        <w:rPr>
          <w:rFonts w:ascii="Times New Roman" w:cs="Times New Roman" w:eastAsia="Times New Roman" w:hAnsi="Times New Roman"/>
          <w:sz w:val="14"/>
          <w:szCs w:val="14"/>
          <w:b w:val="1"/>
          <w:bCs w:val="1"/>
          <w:color w:val="auto"/>
        </w:rPr>
        <w:t>Maggie Wong</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Alicia M. Tschirhart</w:t>
      </w:r>
    </w:p>
    <w:p>
      <w:pPr>
        <w:jc w:val="center"/>
        <w:ind w:right="-179"/>
        <w:spacing w:after="0" w:line="222" w:lineRule="auto"/>
        <w:rPr>
          <w:sz w:val="20"/>
          <w:szCs w:val="20"/>
          <w:color w:val="auto"/>
        </w:rPr>
      </w:pPr>
      <w:r>
        <w:rPr>
          <w:rFonts w:ascii="Times New Roman" w:cs="Times New Roman" w:eastAsia="Times New Roman" w:hAnsi="Times New Roman"/>
          <w:sz w:val="14"/>
          <w:szCs w:val="14"/>
          <w:b w:val="1"/>
          <w:bCs w:val="1"/>
          <w:color w:val="auto"/>
        </w:rPr>
        <w:t>Goodwin Procter LLP</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3 Embarcadero Center</w:t>
      </w:r>
    </w:p>
    <w:p>
      <w:pPr>
        <w:jc w:val="center"/>
        <w:ind w:right="-179"/>
        <w:spacing w:after="0" w:line="222" w:lineRule="auto"/>
        <w:rPr>
          <w:sz w:val="20"/>
          <w:szCs w:val="20"/>
          <w:color w:val="auto"/>
        </w:rPr>
      </w:pPr>
      <w:r>
        <w:rPr>
          <w:rFonts w:ascii="Times New Roman" w:cs="Times New Roman" w:eastAsia="Times New Roman" w:hAnsi="Times New Roman"/>
          <w:sz w:val="14"/>
          <w:szCs w:val="14"/>
          <w:b w:val="1"/>
          <w:bCs w:val="1"/>
          <w:color w:val="auto"/>
        </w:rPr>
        <w:t>San Francisco, CA 94111</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(415) 733-6000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34"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left="120" w:right="1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2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ind w:left="120" w:right="30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7" w:lineRule="exact"/>
        <w:rPr>
          <w:sz w:val="24"/>
          <w:szCs w:val="24"/>
          <w:color w:val="auto"/>
        </w:rPr>
      </w:pPr>
    </w:p>
    <w:p>
      <w:pPr>
        <w:ind w:left="12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The registrant (the </w:t>
      </w:r>
      <w:r>
        <w:rPr>
          <w:rFonts w:ascii="Times New Roman" w:cs="Times New Roman" w:eastAsia="Times New Roman" w:hAnsi="Times New Roman"/>
          <w:sz w:val="14"/>
          <w:szCs w:val="14"/>
          <w:b w:val="1"/>
          <w:bCs w:val="1"/>
          <w:u w:val="single" w:color="auto"/>
          <w:color w:val="auto"/>
        </w:rPr>
        <w:t>“Registrant</w:t>
      </w:r>
      <w:r>
        <w:rPr>
          <w:rFonts w:ascii="Times New Roman" w:cs="Times New Roman" w:eastAsia="Times New Roman" w:hAnsi="Times New Roman"/>
          <w:sz w:val="14"/>
          <w:szCs w:val="14"/>
          <w:b w:val="1"/>
          <w:bCs w:val="1"/>
          <w:color w:val="auto"/>
        </w:rPr>
        <w:t>”) hereby amends this registration statement (this “</w:t>
      </w:r>
      <w:r>
        <w:rPr>
          <w:rFonts w:ascii="Times New Roman" w:cs="Times New Roman" w:eastAsia="Times New Roman" w:hAnsi="Times New Roman"/>
          <w:sz w:val="14"/>
          <w:szCs w:val="14"/>
          <w:b w:val="1"/>
          <w:bCs w:val="1"/>
          <w:u w:val="single" w:color="auto"/>
          <w:color w:val="auto"/>
        </w:rPr>
        <w:t>Registration Statement</w:t>
      </w:r>
      <w:r>
        <w:rPr>
          <w:rFonts w:ascii="Times New Roman" w:cs="Times New Roman" w:eastAsia="Times New Roman" w:hAnsi="Times New Roman"/>
          <w:sz w:val="14"/>
          <w:szCs w:val="14"/>
          <w:b w:val="1"/>
          <w:bCs w:val="1"/>
          <w:color w:val="auto"/>
        </w:rPr>
        <w: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issued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12, 2022</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5715</wp:posOffset>
            </wp:positionV>
            <wp:extent cx="18688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SENTI BIOSCIENCES, INC.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Up to 8,727,049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6"/>
          <w:szCs w:val="16"/>
          <w:color w:val="auto"/>
        </w:rPr>
        <w:t>This prospectus relates to the potential offer and sale from time to time by Chardan Capital Markets LLC (“Chardan” or the “Selling Securityholder”) of up to 8,727,049 shares of our common stock, par value $0.0001 per share (“Senti Common Shares”) that have been or may be issued by us to Chardan pursuant to a ChEF Purchase Agreement, dated as of August 31, 2022, by and between us and Chardan (the “Purchase Agreement”) establishing a committed equity facility (the “Facility”). Such Senti Common Shares consist of (i) up to 8,627,049 Senti Common Shares that we may elect, in our sole discretion, to issue and sell to Chardan, from time to time under the Purchase Agreement and (ii) the 100,000 Senti Common Shares (such shares, the “Commitment Shares”) issued to Chardan as consideration for its execution and delivery of the Purchase Agreement on the Signing Date (as defined herein). The actual number of Senti Common Shares issuable will vary depending on the then current market price of Senti Common Shares sold to Chardan under the Facility. See “</w:t>
      </w:r>
      <w:r>
        <w:rPr>
          <w:rFonts w:ascii="Times New Roman" w:cs="Times New Roman" w:eastAsia="Times New Roman" w:hAnsi="Times New Roman"/>
          <w:sz w:val="16"/>
          <w:szCs w:val="16"/>
          <w:i w:val="1"/>
          <w:iCs w:val="1"/>
          <w:color w:val="auto"/>
        </w:rPr>
        <w:t>The Committed Equity Financing</w:t>
      </w:r>
      <w:r>
        <w:rPr>
          <w:rFonts w:ascii="Times New Roman" w:cs="Times New Roman" w:eastAsia="Times New Roman" w:hAnsi="Times New Roman"/>
          <w:sz w:val="16"/>
          <w:szCs w:val="16"/>
          <w:color w:val="auto"/>
        </w:rPr>
        <w:t>” for a description of the Purchase Agreement and the Facility and “</w:t>
      </w:r>
      <w:r>
        <w:rPr>
          <w:rFonts w:ascii="Times New Roman" w:cs="Times New Roman" w:eastAsia="Times New Roman" w:hAnsi="Times New Roman"/>
          <w:sz w:val="16"/>
          <w:szCs w:val="16"/>
          <w:i w:val="1"/>
          <w:iCs w:val="1"/>
          <w:color w:val="auto"/>
        </w:rPr>
        <w:t>Selling Securityholder</w:t>
      </w:r>
      <w:r>
        <w:rPr>
          <w:rFonts w:ascii="Times New Roman" w:cs="Times New Roman" w:eastAsia="Times New Roman" w:hAnsi="Times New Roman"/>
          <w:sz w:val="16"/>
          <w:szCs w:val="16"/>
          <w:color w:val="auto"/>
        </w:rPr>
        <w:t>” for additional information regarding Chardan and “</w:t>
      </w:r>
      <w:r>
        <w:rPr>
          <w:rFonts w:ascii="Times New Roman" w:cs="Times New Roman" w:eastAsia="Times New Roman" w:hAnsi="Times New Roman"/>
          <w:sz w:val="16"/>
          <w:szCs w:val="16"/>
          <w:i w:val="1"/>
          <w:iCs w:val="1"/>
          <w:color w:val="auto"/>
        </w:rPr>
        <w:t>Plan of Distribution (Conflicts of Interest)</w:t>
      </w:r>
      <w:r>
        <w:rPr>
          <w:rFonts w:ascii="Times New Roman" w:cs="Times New Roman" w:eastAsia="Times New Roman" w:hAnsi="Times New Roman"/>
          <w:sz w:val="16"/>
          <w:szCs w:val="16"/>
          <w:color w:val="auto"/>
        </w:rPr>
        <w:t>” for a description of compensation payable to Chardan.</w:t>
      </w:r>
    </w:p>
    <w:p>
      <w:pPr>
        <w:spacing w:after="0" w:line="81" w:lineRule="exact"/>
        <w:rPr>
          <w:sz w:val="20"/>
          <w:szCs w:val="20"/>
          <w:color w:val="auto"/>
        </w:rPr>
      </w:pPr>
    </w:p>
    <w:p>
      <w:pPr>
        <w:ind w:left="120" w:right="100"/>
        <w:spacing w:after="0" w:line="275"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sale of the Senti Common Shares by the Selling Securityholder. We may receive up to $50.0 million in aggregate gross proceeds from the Selling Securityholder under the Purchase Agreement in connection with sales of the Senti Common Shares to the Selling Securityholder pursuant to the Purchase Agreement after the date of this prospectus. However, the actual proceeds from the Selling Securityholder may be less than this amount depending on the number of Senti Common Shares sold and the price at which the Senti Common Shares are sold.</w:t>
      </w:r>
    </w:p>
    <w:p>
      <w:pPr>
        <w:spacing w:after="0" w:line="75"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such securities and the general manner in which Chardan may offer or sell the securities. More specific terms of any securities that Chardan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6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6"/>
          <w:szCs w:val="16"/>
          <w:color w:val="auto"/>
        </w:rPr>
        <w:t>Chardan may offer, sell or distribute all or a portion of the Senti Common Shares acquired under the Purchase Agreement and hereby registered publicly or through private transactions at prevailing market prices or at negotiated prices. We will bear all costs, expenses and fees in connection with the registration of the Senti Common Shares, including with regard to compliance with state securities or “blue sky” laws. The timing and amount of any sale are within the sole discretion of Chardan. Chardan is an underwriter under the Securities Act of 1933, as amended (the “Securities Act”), and any profit on sale of Senti Common Shares by them and any discounts, commissions or concessions received by them may be deemed to be underwriting discounts and commissions under the Securities Act. Although Chardan is obligated to purchase Senti Common Shares under the terms and subject to the conditions and limitations of the Purchase Agreement to the extent we choose to sell such Senti Common Shares to them (subject to certain conditions), there can be no assurances that we will choose to sell any Senti Common Shares to Chardan or that Chardan will sell any or all of the Senti Common Shares, if any, purchased under the Purchase Agreement pursuant to this prospectus. Chardan will bear all commissions and discounts, if any, attributable to its sale of Senti Common Shares. See “</w:t>
      </w:r>
      <w:r>
        <w:rPr>
          <w:rFonts w:ascii="Times New Roman" w:cs="Times New Roman" w:eastAsia="Times New Roman" w:hAnsi="Times New Roman"/>
          <w:sz w:val="16"/>
          <w:szCs w:val="16"/>
          <w:i w:val="1"/>
          <w:iCs w:val="1"/>
          <w:color w:val="auto"/>
        </w:rPr>
        <w:t>Plan of Distribution (Conflicts of Interest)</w:t>
      </w:r>
      <w:r>
        <w:rPr>
          <w:rFonts w:ascii="Times New Roman" w:cs="Times New Roman" w:eastAsia="Times New Roman" w:hAnsi="Times New Roman"/>
          <w:sz w:val="16"/>
          <w:szCs w:val="16"/>
          <w:color w:val="auto"/>
        </w:rPr>
        <w:t>.”</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You should read this prospectus and any prospectus supplement or amendment carefully before you invest in our securities.</w:t>
      </w:r>
    </w:p>
    <w:p>
      <w:pPr>
        <w:spacing w:after="0" w:line="127"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(“Nasdaq”) under the symbol “SNTI”. On September 7, 2022, the last quoted sale price for the Senti Common Shares as reported on Nasdaq was $1.96 per share.</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We are an “emerging growth company” under applicable federal securities laws and will be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8 of this prospectus.</w:t>
      </w:r>
    </w:p>
    <w:p>
      <w:pPr>
        <w:spacing w:after="0" w:line="53" w:lineRule="exact"/>
        <w:rPr>
          <w:sz w:val="20"/>
          <w:szCs w:val="20"/>
          <w:color w:val="auto"/>
        </w:rPr>
      </w:pPr>
    </w:p>
    <w:p>
      <w:pPr>
        <w:ind w:left="120" w:right="36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0"/>
          <w:szCs w:val="20"/>
          <w:color w:val="auto"/>
        </w:rPr>
      </w:pPr>
    </w:p>
    <w:p>
      <w:pPr>
        <w:ind w:left="418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The date of this prospectus is</w:t>
      </w:r>
      <w:r>
        <w:rPr>
          <w:sz w:val="20"/>
          <w:szCs w:val="20"/>
          <w:color w:val="auto"/>
        </w:rPr>
        <w:tab/>
      </w:r>
      <w:r>
        <w:rPr>
          <w:rFonts w:ascii="Times New Roman" w:cs="Times New Roman" w:eastAsia="Times New Roman" w:hAnsi="Times New Roman"/>
          <w:sz w:val="16"/>
          <w:szCs w:val="16"/>
          <w:b w:val="1"/>
          <w:bCs w:val="1"/>
          <w:color w:val="auto"/>
        </w:rPr>
        <w:t>.</w:t>
      </w:r>
    </w:p>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8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8"/>
              </w:rPr>
              <w:t>TRADEMARKS</w:t>
            </w:r>
          </w:p>
        </w:tc>
        <w:tc>
          <w:tcPr>
            <w:tcW w:w="9400" w:type="dxa"/>
            <w:vAlign w:val="bottom"/>
            <w:gridSpan w:val="23"/>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1240" w:type="dxa"/>
            <w:vAlign w:val="bottom"/>
            <w:tcBorders>
              <w:bottom w:val="single" w:sz="8" w:color="0000EE"/>
            </w:tcBorders>
            <w:gridSpan w:val="3"/>
            <w:vMerge w:val="continue"/>
          </w:tcPr>
          <w:p>
            <w:pPr>
              <w:spacing w:after="0"/>
              <w:rPr>
                <w:sz w:val="13"/>
                <w:szCs w:val="13"/>
                <w:color w:val="auto"/>
              </w:rPr>
            </w:pPr>
          </w:p>
        </w:tc>
        <w:tc>
          <w:tcPr>
            <w:tcW w:w="9400" w:type="dxa"/>
            <w:vAlign w:val="bottom"/>
            <w:gridSpan w:val="2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SELECTED DEFINITIONS</w:t>
            </w:r>
          </w:p>
        </w:tc>
        <w:tc>
          <w:tcPr>
            <w:tcW w:w="8580" w:type="dxa"/>
            <w:vAlign w:val="bottom"/>
            <w:gridSpan w:val="20"/>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7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6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THE COMMITTED EQUITY FINANCING</w:t>
            </w:r>
          </w:p>
        </w:tc>
        <w:tc>
          <w:tcPr>
            <w:tcW w:w="74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742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66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MANAGEMENT OF SENTI</w:t>
            </w:r>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20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82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w:t>
            </w:r>
          </w:p>
        </w:tc>
        <w:tc>
          <w:tcPr>
            <w:tcW w:w="824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51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UNITED STATES FEDERAL INCOME TAX CONSIDERATIONS</w:t>
            </w:r>
          </w:p>
        </w:tc>
        <w:tc>
          <w:tcPr>
            <w:tcW w:w="580" w:type="dxa"/>
            <w:vAlign w:val="bottom"/>
            <w:tcBorders>
              <w:top w:val="single" w:sz="8" w:color="0000EE"/>
            </w:tcBorders>
            <w:gridSpan w:val="2"/>
          </w:tcPr>
          <w:p>
            <w:pPr>
              <w:spacing w:after="0"/>
              <w:rPr>
                <w:sz w:val="17"/>
                <w:szCs w:val="17"/>
                <w:color w:val="auto"/>
              </w:rPr>
            </w:pPr>
          </w:p>
        </w:tc>
        <w:tc>
          <w:tcPr>
            <w:tcW w:w="51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 (CONFLICTS OF INTEREST)</w:t>
            </w:r>
          </w:p>
        </w:tc>
        <w:tc>
          <w:tcPr>
            <w:tcW w:w="62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8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CHANGES IN REGISTRANT’S CERTIFYING ACCOUNTANT</w:t>
            </w:r>
          </w:p>
        </w:tc>
        <w:tc>
          <w:tcPr>
            <w:tcW w:w="58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3800" w:type="dxa"/>
            <w:vAlign w:val="bottom"/>
            <w:gridSpan w:val="17"/>
            <w:shd w:val="clear" w:color="auto" w:fill="0000EE"/>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 AND SUPPLEMENTARY DATA INDEX TO FINANCIAL STATEMENTS</w:t>
            </w:r>
          </w:p>
        </w:tc>
        <w:tc>
          <w:tcPr>
            <w:tcW w:w="29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noted or the context otherwise requires, references to the following capitalized terms have the meanings set forth below:</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between Merger Sub and Senti.</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the Business Combination Agreement, dated as of December 19, 2021, as amended or modified from time to time, including as amended by Amendment No. 1 to Business Combination Agreement, dated as of February 12, 2022 and Amendment No. 2, dated as of May 19, 2022, in each case, by and among DYNS, Merger Sub and Senti.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Senti.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Senti.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means Chardan Capital Markets LLC, a New York limited liability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Chardan Registration Rights Agreement</w:t>
      </w:r>
      <w:r>
        <w:rPr>
          <w:rFonts w:ascii="Times New Roman" w:cs="Times New Roman" w:eastAsia="Times New Roman" w:hAnsi="Times New Roman"/>
          <w:sz w:val="18"/>
          <w:szCs w:val="18"/>
          <w:color w:val="auto"/>
        </w:rPr>
        <w:t>” means the registration rights agreement dated as of August 31, 2022, by and between Senti and Chardan.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June 8,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means Continental Stock Transfer &amp; Trust Company, as Senti’s transfer agent.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w:t>
      </w:r>
      <w:r>
        <w:rPr>
          <w:rFonts w:ascii="Times New Roman" w:cs="Times New Roman" w:eastAsia="Times New Roman" w:hAnsi="Times New Roman"/>
          <w:sz w:val="18"/>
          <w:szCs w:val="18"/>
          <w:color w:val="auto"/>
        </w:rPr>
        <w:t>” means the unsecured convertible promissory note in the principal amount of $5,175,000 issued by Senti Sub I, Inc. (formerly Senti Biosciences, Inc.), to Bayer Healthcare LLC on May 19, 2022.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Second Amended and Restated Certificate of Incorporation of Senti.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 as may be amended from time to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DYNS</w:t>
      </w:r>
      <w:r>
        <w:rPr>
          <w:rFonts w:ascii="Times New Roman" w:cs="Times New Roman" w:eastAsia="Times New Roman" w:hAnsi="Times New Roman"/>
          <w:sz w:val="18"/>
          <w:szCs w:val="18"/>
          <w:color w:val="auto"/>
        </w:rPr>
        <w:t>” means Dynamics Special Purpose Corp., a Delaware 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means the DYNS Class B Common Shares and Senti Common Shares issued upon the automatic conversion thereof upon the closing of the Business Combination.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generally accepted accounting principles in the United States, as applied on a consistent basis.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means the initial public offering of DYNS, which closed on May 28,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means Explore Merger Sub, Inc., a Delaware corporation and wholly-owned subsidiary of DYNS.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means the shares of DYNS Class A Common Stock issued in the Initial Public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Stockholders</w:t>
      </w:r>
      <w:r>
        <w:rPr>
          <w:rFonts w:ascii="Times New Roman" w:cs="Times New Roman" w:eastAsia="Times New Roman" w:hAnsi="Times New Roman"/>
          <w:sz w:val="18"/>
          <w:szCs w:val="18"/>
          <w:color w:val="auto"/>
        </w:rPr>
        <w:t>” means holders of Public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ChEF Purchase Agreement dated as of August 31, 2022, by and between Senti and Chardan.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Senti</w:t>
      </w:r>
      <w:r>
        <w:rPr>
          <w:rFonts w:ascii="Times New Roman" w:cs="Times New Roman" w:eastAsia="Times New Roman" w:hAnsi="Times New Roman"/>
          <w:sz w:val="17"/>
          <w:szCs w:val="17"/>
          <w:color w:val="auto"/>
        </w:rPr>
        <w:t>” means Senti Biosciences, Inc., a Delaware corporation (which, prior to the consummation of the Business Combination, was known as DYNS).</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Senti Common Shares</w:t>
      </w:r>
      <w:r>
        <w:rPr>
          <w:rFonts w:ascii="Times New Roman" w:cs="Times New Roman" w:eastAsia="Times New Roman" w:hAnsi="Times New Roman"/>
          <w:sz w:val="18"/>
          <w:szCs w:val="18"/>
          <w:color w:val="auto"/>
        </w:rPr>
        <w:t>” means the common stock, par value $0.0001 per share, of Senti.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means August 31, 2022, the date the Purchase Agreement and Chardan Registration Rights Agreement were entered into.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means the special meeting of stockholders of DYNS, held on June 7,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Dynamics Sponsor LLC, a Delaware limited liability company.</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the trust account maintained by Continental, acting as trustee, established for the benefit of Public Stockholders in connection with the Initial Public Offering.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320" w:top="482"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and some of the information incorporated by reference, includes forward-looking statements regarding, among other things, the plans, strategies, and prospects, both business and financial, of Senti. These statements are based on the beliefs and assumptions of the management of Senti. Although Senti believes that their respective plans, intentions, and expectations reflected in or suggested by these forward-looking statements are reasonable, it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prospectus include, for example, statements about:</w:t>
      </w:r>
    </w:p>
    <w:p>
      <w:pPr>
        <w:spacing w:after="0" w:line="9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Senti;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Senti Common Shares on Nasdaq, and the potential liquidity and trading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if and when needed;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adapting to changes in, our officers, key employees, or directors;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research and development activities, preclinical studies or clinical trials with respect to our current and potential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product candidates using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develop and commercialize product candidates;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current and potential future product candidates into, and successfully complete,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current and potential future product candidates, and any related restrictions, limitations and/or warnings in the label of an approved product candidate;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technologies and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current and any potential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current and any potential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international jurisdictions;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lawsuits and penalties related to our technologies, product candidates and current and future relationships with third parties;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40"/>
          </w:cols>
          <w:pgMar w:left="320" w:top="482"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 under those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including our preclinical studies and potential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including inflationary pressures, market volatility, acts of war and civil and political unrest;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prospectus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New risk factors emerge from time to time and it is not possible to predict all such risk factors, nor can we assess the impact of all such risk factors on the business of Senti or the extent to which any factor or combination of factors may cause actual results to differ materially from those contained in any forward-looking statements. All forward-looking statements attributable to Senti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60"/>
          </w:cols>
          <w:pgMar w:left="320" w:top="482"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does not contain all the information you should consider before investing in the Senti Common Shares. You should read this entire prospectus carefully, including the sections titled “Risk Factors,” “Business,” “Management’s Discussion and Analysis of Financial Condition and Results of Operations,” “Where You Can Find More Information,” and our consolidated financial statements and related notes included elsewhere in this prospectus, before making an investment decision. In this prospectus, unless the context requires otherwise, all references to “we,” “our,” “us,” “Senti,” the “Registrant,” and the “Company” refer to Senti Biosciences, Inc. and its consolidated subsidiaries following the Business Combination.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Senti is a preclinical biotechnology company developing next-generation cell and gene therapies engineered with its gene circuit platform technologies to fight challenging diseases. Our mission is to create a new generation of smarter therapies that can outmaneuver complex diseases in ways previously not implemented by conventional medicines. To accomplish this mission, we have built a synthetic biology platform that we believe may enable us to program next-generation cell and gene therapies with what we refer to as “gene circuits.” These gene circuits, which we created from novel and proprietary combinations of genetic parts, are designed to reprogram cells with biological logic to sense inputs, compute decisions and respond to their respective cellular environments. We aim to design and optimize gene circuits through our Design-Build-Test-Learn Engine, or DBTL Engine, to improve the “intelligence” of cell and gene therapies in order to enhance their therapeutic effectiveness against a broad range of diseases that conventional medicines are unable to address. We are designing our gene circuit platform technologies to be applied in a modality-agnostic manner, with applicability to natural killer (NK) cells, T cells, tumor infiltrating lymphocytes (TILs), stem cells including hematopoietic stem cells (HSCs), in vivo gene therapy and messenger ribonucleic acid (mRNA). All of our current product candidates are in preclinical development. Our lead product candidates currently utilize allogeneic chimeric antigen receptor (CAR) NK cells outfitted with its gene circuit technologies in several oncology indications with currently high unmet need. Subject to the successful completion of IND-enabling studies, we expect to file INDs for multiple product candidates starting in 2023.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elsewhere in this prospectus for more information.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https://sentibio.com. We make available, free of charge, on our investor relations website at https://investors.sentibio.com, our Annual Reports on Form 10-K, Quarterly Reports on Form 10-Q, Current Reports on Form 8-K and amendments to these reports as soon as reasonably practicable after electronically filing or furnishing those reports to the SEC. Information contained on or accessible through our website is not a part of or incorporated by reference into this prospectus and the inclusion of our website and investor relations website addresses in this prospectus is an inactive textual reference only.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On June 8, 2022, DYNS consummated the previously announced business combination pursuant to the terms of the Business Combination Agreement with Senti Sub I, Inc. (formerly Senti Biosciences, Inc.) and Explore Merger Sub, Inc., a Delaware corporation and wholly-owned subsidiary of DYNS (“Merger Sub”). Pursuant to the terms of the Business Combination Agreement, Merger Sub merged with and into Senti Sub I, Inc., with Senti Sub I, Inc. surviving the merger as a wholly-owned subsidiary of DYNS. The Merger was approved by DYNS’s stockholders at a meeting held on June 7, 2022. In connection with the consummation of the Merger on the Closing Date, DYNS changed its name from DYNS to Senti Biosciences, Inc.</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June 9, 2022, our common stock, formerly of DYNS, began trading on The Nasdaq Global Market under the ticker symbol “SNTI”.</w:t>
      </w:r>
    </w:p>
    <w:p>
      <w:pPr>
        <w:spacing w:after="0" w:line="225" w:lineRule="exact"/>
        <w:rPr>
          <w:sz w:val="20"/>
          <w:szCs w:val="20"/>
          <w:color w:val="auto"/>
        </w:rPr>
      </w:pPr>
    </w:p>
    <w:p>
      <w:pPr>
        <w:jc w:val="both"/>
        <w:ind w:left="300" w:right="140"/>
        <w:spacing w:after="0" w:line="261" w:lineRule="auto"/>
        <w:rPr>
          <w:sz w:val="20"/>
          <w:szCs w:val="20"/>
          <w:color w:val="auto"/>
        </w:rPr>
      </w:pPr>
      <w:r>
        <w:rPr>
          <w:rFonts w:ascii="Times New Roman" w:cs="Times New Roman" w:eastAsia="Times New Roman" w:hAnsi="Times New Roman"/>
          <w:sz w:val="18"/>
          <w:szCs w:val="18"/>
          <w:color w:val="auto"/>
        </w:rPr>
        <w:t>As a result of the Merger, we raised gross proceeds of approximately $140.7 million of an expected $156.5 million, which included funds held in DYNS’s trust account (after giving effect to redemptions) and proceeds from the PIPE investment of $50.6 million of an expected $66.8 million, and a $5.2 million investment by Bayer Healthcare LLC through the exchange of the Convertible Note. See our financial statements elsewhere in this prospectus for more information.</w:t>
      </w:r>
    </w:p>
    <w:p>
      <w:pPr>
        <w:spacing w:after="0" w:line="180"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After taking into account the aggregate amount of redemptions of approximately $145.5 million in connection with the Business Combination and LifeForce Capital’s failure to fund its commitment of $16.2 million upon the closing of the PIPE financing, the $140.7 million in gross proceeds from the Merger and related transactions was less than our anticipated minimum cash condition of $151.7 million. We determined that the shortfall in cash did not require us to implement any material changes to our current business plan, although this may change in the future.</w:t>
      </w:r>
    </w:p>
    <w:p>
      <w:pPr>
        <w:spacing w:after="0" w:line="180"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Even with proceeds from the Business Combination, under our current business plan, we will need substantial additional funding to support our continuing operations and pursue our growth strategy until such time as we can generate significant revenue from product sales, if ever. In the future, we expect to finance our operations through the issuance of additional equity or debt securities or other capital sources, which may include collaborations with other companies or other strategic transactions.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jc w:val="both"/>
        <w:ind w:left="300" w:right="20"/>
        <w:spacing w:after="0" w:line="261" w:lineRule="auto"/>
        <w:rPr>
          <w:sz w:val="20"/>
          <w:szCs w:val="20"/>
          <w:color w:val="auto"/>
        </w:rPr>
      </w:pPr>
      <w:r>
        <w:rPr>
          <w:rFonts w:ascii="Times New Roman" w:cs="Times New Roman" w:eastAsia="Times New Roman" w:hAnsi="Times New Roman"/>
          <w:sz w:val="18"/>
          <w:szCs w:val="18"/>
          <w:color w:val="auto"/>
        </w:rPr>
        <w:t>Prior to the Closing of the Business Combination, we concluded that our recurring losses from operations and need for additional financing to fund future operations raised substantial doubt about our ability to continue as a going concern. Similarly, our independent registered public accounting firm included an explanatory paragraph in its report on our consolidated financial statements as of and for the year ended December 31, 2021 with respect to this uncertainty.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If any of these risks actually occur, our business, financial condition and results of operations would likely be materially adversely affected. You should carefully consider all the information contained in this prospectus before making a decision to invest in Senti Common Shares.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8. Some of these risks related to the Facility and our business, operations, financial performance and industry are summarized below.</w:t>
      </w:r>
    </w:p>
    <w:p>
      <w:pPr>
        <w:spacing w:after="0" w:line="85" w:lineRule="exact"/>
        <w:rPr>
          <w:sz w:val="20"/>
          <w:szCs w:val="20"/>
          <w:color w:val="auto"/>
        </w:rPr>
      </w:pPr>
    </w:p>
    <w:p>
      <w:pPr>
        <w:ind w:left="1240" w:right="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Senti Common Shares, if any, we will sell under the Purchase Agreement to Chardan, the actual gross proceeds resulting from those sales or the dilution to you from those sales.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Senti Common Shares from Chardan at different times will likely pay different prices.</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Senti Common Shares to Chardan will result in additional outstanding shares and the resale of Senti Common Shares by Chardan that it acquires pursuant to the Purchase Agreement, or the perception that such sales may occur, could cause the price of Senti Common Shares to decrease.</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proceeds from sales of the Senti Common Shares made pursuant to the Purchase Agreement in ways with which you may not agree or in ways which may not yield a significant return.</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82"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7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preclinical stage biotechnology company with a history of losses. We expect to continue to incur significant losses for the foreseeable future and may never achieve or maintain profitability.</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funds to advance development of product candidates and our gene circuit platform, and we cannot guarantee that we will have sufficient funds available in the future to develop and commercialize our current or potential future product candidates and technologies.</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Senti Common Shares registered for sale by Chardan pursuant to this Prospectus, which could represent a significant portion of our total outstanding shares, or the perception that such sales will occur, may have a negative impact on our stock price and may impair our ability to raise additional capital on terms and conditions acceptable to us, or at all.</w:t>
      </w:r>
    </w:p>
    <w:p>
      <w:pPr>
        <w:spacing w:after="0" w:line="81" w:lineRule="exact"/>
        <w:rPr>
          <w:rFonts w:ascii="Times New Roman" w:cs="Times New Roman" w:eastAsia="Times New Roman" w:hAnsi="Times New Roman"/>
          <w:sz w:val="18"/>
          <w:szCs w:val="18"/>
          <w:color w:val="auto"/>
        </w:rPr>
      </w:pPr>
    </w:p>
    <w:p>
      <w:pPr>
        <w:ind w:left="1240" w:right="10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If our remediation of the material weakness is not effective, or if we experience additional material weaknesses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85"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anticipated expenditures raised substantial doubt about our ability to continue as a going concern in connection with the audit of our financial statements for the year ended December 31, 2021. Our ability to continue as a going concern requires that we obtain sufficient funding to finance our operations.</w:t>
      </w:r>
    </w:p>
    <w:p>
      <w:pPr>
        <w:spacing w:after="0" w:line="81"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current or potential future product candidates is ever tested in humans, it may not demonstrate the safety, purity and potency, or efficacy, necessary to become approvable or commercially viable.</w:t>
      </w:r>
    </w:p>
    <w:p>
      <w:pPr>
        <w:spacing w:after="0" w:line="67" w:lineRule="exact"/>
        <w:rPr>
          <w:rFonts w:ascii="Times New Roman" w:cs="Times New Roman" w:eastAsia="Times New Roman" w:hAnsi="Times New Roman"/>
          <w:sz w:val="18"/>
          <w:szCs w:val="18"/>
          <w:color w:val="auto"/>
        </w:rPr>
      </w:pPr>
    </w:p>
    <w:p>
      <w:pPr>
        <w:jc w:val="both"/>
        <w:ind w:left="1240" w:right="6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intend to explore other therapeutic opportunities in addition to the product candidates we are currently pursuing, we may fail to identify viable new product candidates for clinical development, which could materially harm our business.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includes a lengthy and expensive process with an uncertain outcome, and results of earlier studies and trials may not be predictive of future trial results.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plan to rely on third parties to conduct clinical trials, and those third parties may not perform satisfactorily. If third parties on which we intend to rely to conduct certain preclinical and clinical studies do not perform as contractually required, fail to satisfy regulatory or legal requirements or miss expected deadlines, our development program could be delayed or unsuccessful, and we may not be able to obtain regulatory approval for or commercialize our product candidates when expected, or at all.</w:t>
      </w:r>
    </w:p>
    <w:p>
      <w:pPr>
        <w:spacing w:after="0" w:line="88"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existing strategic partnerships and collaboration arrangements or enter into new strategic partnerships and collaborations for the development, manufacture and commercialization of product candidates based on our platform technology on terms that are acceptable to us, or at all.</w:t>
      </w:r>
    </w:p>
    <w:p>
      <w:pPr>
        <w:spacing w:after="0" w:line="81" w:lineRule="exact"/>
        <w:rPr>
          <w:rFonts w:ascii="Times New Roman" w:cs="Times New Roman" w:eastAsia="Times New Roman" w:hAnsi="Times New Roman"/>
          <w:sz w:val="18"/>
          <w:szCs w:val="18"/>
          <w:color w:val="auto"/>
        </w:rPr>
      </w:pPr>
    </w:p>
    <w:p>
      <w:pPr>
        <w:ind w:left="1240" w:right="3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our product candidates is complex. We may encounter difficulties in production. If we encounter any such difficulties, our ability to supply our product candidates for clinical trials or, if approved, for commercial sale, could be delayed or halted entirely.</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2"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96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spacing w:after="0" w:line="282" w:lineRule="auto"/>
        <w:rPr>
          <w:sz w:val="20"/>
          <w:szCs w:val="20"/>
          <w:color w:val="auto"/>
        </w:rPr>
      </w:pPr>
      <w:r>
        <w:rPr>
          <w:rFonts w:ascii="Times New Roman" w:cs="Times New Roman" w:eastAsia="Times New Roman" w:hAnsi="Times New Roman"/>
          <w:sz w:val="18"/>
          <w:szCs w:val="18"/>
          <w:color w:val="auto"/>
        </w:rPr>
        <w:t>rapidly than we do, or if their platform technologies or product candidates are more effective or have fewer side effects, our ability to develop and successfully commercialize product candidates may be adversely affected.</w:t>
      </w:r>
    </w:p>
    <w:p>
      <w:pPr>
        <w:spacing w:after="0" w:line="67" w:lineRule="exact"/>
        <w:rPr>
          <w:sz w:val="20"/>
          <w:szCs w:val="20"/>
          <w:color w:val="auto"/>
        </w:rPr>
      </w:pPr>
    </w:p>
    <w:p>
      <w:pPr>
        <w:ind w:left="1240" w:right="5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directors, consultants and advisors and to attract, retain and motivate qualified personnel.</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managing our growth and expanding our operations. We have limited experience in therapeutic development. As our current and potential future product candidates enter and advance through preclinical studies and any clinical trials, we will need to expand our development, regulatory and manufacturing capabilities or contract with other organizations to provide these capabilities for us.</w:t>
      </w:r>
    </w:p>
    <w:p>
      <w:pPr>
        <w:spacing w:after="0" w:line="85" w:lineRule="exact"/>
        <w:rPr>
          <w:rFonts w:ascii="Times New Roman" w:cs="Times New Roman" w:eastAsia="Times New Roman" w:hAnsi="Times New Roman"/>
          <w:sz w:val="18"/>
          <w:szCs w:val="18"/>
          <w:color w:val="auto"/>
        </w:rPr>
      </w:pPr>
    </w:p>
    <w:p>
      <w:pPr>
        <w:ind w:left="1240" w:right="280" w:hanging="415"/>
        <w:spacing w:after="0" w:line="281"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operations and clinical development plans and timelines could be adversely affected by the ongoing COVID-19 pandemic, including business interruptions, staffing shortages and supply chain issues arising from the pandemic on the manufacturing, clinical trial and other business activities performed by us or by third parties with whom we may conduct business, including our anticipated contract manufacturers, contract research organizations (“</w:t>
      </w:r>
      <w:r>
        <w:rPr>
          <w:rFonts w:ascii="Times New Roman" w:cs="Times New Roman" w:eastAsia="Times New Roman" w:hAnsi="Times New Roman"/>
          <w:sz w:val="17"/>
          <w:szCs w:val="17"/>
          <w:u w:val="single" w:color="auto"/>
          <w:color w:val="auto"/>
        </w:rPr>
        <w:t>CROs</w:t>
      </w:r>
      <w:r>
        <w:rPr>
          <w:rFonts w:ascii="Times New Roman" w:cs="Times New Roman" w:eastAsia="Times New Roman" w:hAnsi="Times New Roman"/>
          <w:sz w:val="17"/>
          <w:szCs w:val="17"/>
          <w:color w:val="auto"/>
        </w:rPr>
        <w:t>”), suppliers, shippers and others.</w:t>
      </w:r>
    </w:p>
    <w:p>
      <w:pPr>
        <w:spacing w:after="0" w:line="69" w:lineRule="exact"/>
        <w:rPr>
          <w:rFonts w:ascii="Times New Roman" w:cs="Times New Roman" w:eastAsia="Times New Roman" w:hAnsi="Times New Roman"/>
          <w:sz w:val="17"/>
          <w:szCs w:val="17"/>
          <w:color w:val="auto"/>
        </w:rPr>
      </w:pPr>
    </w:p>
    <w:p>
      <w:pPr>
        <w:ind w:left="124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our technology and current or future product candidates, or if our intellectual property rights are inadequate, our competitors could develop and commercialize products and technology similar or identical to ours, and we may not be able to compete effectively in our market or successfully commercialize any product candidates we may develop.</w:t>
      </w:r>
    </w:p>
    <w:p>
      <w:pPr>
        <w:spacing w:after="0" w:line="85"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be unable to commercialize our current or potential future product candidates.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product candidate, such product candidate may become subject to unfavorable pricing regulations or third-party coverage and reimbursement policies, which would harm our business.</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third parties upon whom we depend may be adversely affected by natural disasters, including earthquake, flood, fire, explosion, extreme weather conditions, or medical epidemics.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such, we may take advantage of reduced disclosure and other requirements otherwise generally applicable to public companies, including:</w:t>
      </w:r>
    </w:p>
    <w:p>
      <w:pPr>
        <w:spacing w:after="0" w:line="67" w:lineRule="exact"/>
        <w:rPr>
          <w:sz w:val="20"/>
          <w:szCs w:val="20"/>
          <w:color w:val="auto"/>
        </w:rPr>
      </w:pPr>
    </w:p>
    <w:p>
      <w:pPr>
        <w:ind w:left="1240" w:right="1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Public Company Accounting Oversight Board, or PCAOB, regarding the communication of critical audit matters in the auditor’s report on the financial statements;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left="300" w:right="60"/>
        <w:spacing w:after="0" w:line="276"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to occur of: (1) the last day of the fiscal year in which we have at least $1.07 billion in annual revenue; (2) the date we qualify as a “large accelerated filer,” with at least $700.0 million of equity securities held by non-affiliates;</w:t>
      </w:r>
    </w:p>
    <w:p>
      <w:pPr>
        <w:spacing w:after="0" w:line="1" w:lineRule="exact"/>
        <w:rPr>
          <w:sz w:val="20"/>
          <w:szCs w:val="20"/>
          <w:color w:val="auto"/>
        </w:rPr>
      </w:pPr>
    </w:p>
    <w:p>
      <w:pPr>
        <w:ind w:left="560" w:hanging="262"/>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prior three-year period; and</w:t>
      </w:r>
    </w:p>
    <w:p>
      <w:pPr>
        <w:spacing w:after="0" w:line="9" w:lineRule="exact"/>
        <w:rPr>
          <w:rFonts w:ascii="Times New Roman" w:cs="Times New Roman" w:eastAsia="Times New Roman" w:hAnsi="Times New Roman"/>
          <w:sz w:val="18"/>
          <w:szCs w:val="18"/>
          <w:color w:val="auto"/>
        </w:rPr>
      </w:pPr>
    </w:p>
    <w:p>
      <w:pPr>
        <w:ind w:left="560" w:hanging="262"/>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the last day of the fiscal year ending after the fifth anniversary of the DYNS IPO.</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82"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744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17443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As a result of this status, we have taken advantage of reduced reporting requirements in this prospectus and may elect to take advantage of other reduced reporting requirements in our future filings with the SEC. In particular, in this prospectus, we have not included all of the executive compensation-related information that would be required if we were not an emerging growth company.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June 9, 2016. The mailing address of our principal executive office is 2 Corporate Drive, First Floor, South San Francisco, California 94080, and our telephone number is (650) 382-3281.</w:t>
      </w:r>
    </w:p>
    <w:p>
      <w:pPr>
        <w:spacing w:after="0" w:line="160" w:lineRule="exact"/>
        <w:rPr>
          <w:sz w:val="20"/>
          <w:szCs w:val="20"/>
          <w:color w:val="auto"/>
        </w:rPr>
      </w:pPr>
    </w:p>
    <w:p>
      <w:pPr>
        <w:ind w:left="30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https://sentibio.com/</w:t>
      </w:r>
      <w:r>
        <w:rPr>
          <w:rFonts w:ascii="Times New Roman" w:cs="Times New Roman" w:eastAsia="Times New Roman" w:hAnsi="Times New Roman"/>
          <w:sz w:val="18"/>
          <w:szCs w:val="18"/>
          <w:color w:val="auto"/>
        </w:rPr>
        <w:t>. The information on, or that can be accessed through, our website is not part of this prospectus, and you should not consider information contained on our website in deciding whether to purchase Senti Common Shares.</w:t>
      </w: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82"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8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Senti Biosciences, Inc.</w:t>
            </w:r>
          </w:p>
        </w:tc>
      </w:tr>
      <w:tr>
        <w:trPr>
          <w:trHeight w:val="454"/>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Senti Common Shares offered by the Selling</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Up to 8,727,049 Senti Common Shares, consisting of:</w:t>
            </w:r>
          </w:p>
        </w:tc>
      </w:tr>
      <w:tr>
        <w:trPr>
          <w:trHeight w:val="234"/>
        </w:trPr>
        <w:tc>
          <w:tcPr>
            <w:tcW w:w="38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Securityholder</w:t>
            </w:r>
          </w:p>
        </w:tc>
        <w:tc>
          <w:tcPr>
            <w:tcW w:w="7220" w:type="dxa"/>
            <w:vAlign w:val="bottom"/>
            <w:tcBorders>
              <w:right w:val="single" w:sz="8" w:color="auto"/>
            </w:tcBorders>
          </w:tcPr>
          <w:p>
            <w:pPr>
              <w:spacing w:after="0"/>
              <w:rPr>
                <w:sz w:val="20"/>
                <w:szCs w:val="20"/>
                <w:color w:val="auto"/>
              </w:rPr>
            </w:pPr>
          </w:p>
        </w:tc>
      </w:tr>
      <w:tr>
        <w:trPr>
          <w:trHeight w:val="333"/>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   8,627,049 Senti Common Shares that we may elect, in our sole discretion, to issue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and sell to the Selling Securityholder, from time to time from and after the</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Commencement Date under the Purchase Agreement; and</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   the Commitment Shares, which are the 100,000 Senti Common Shares that were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issued to Chardan as Commitment Shares as consideration for its execution and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delivery of the Purchase Agreement on the Signing Date.</w:t>
            </w:r>
          </w:p>
        </w:tc>
      </w:tr>
      <w:tr>
        <w:trPr>
          <w:trHeight w:val="441"/>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actual number of Senti Common Shares issued and outstanding will vary depending on</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then current market price of Senti Common Shares sold to Chardan in this offering.</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Terms of the Offering</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Chardan will determine when and how it will dispose of any Senti Common Shares</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acquired under the Purchase Agreement that are registered under this prospectus for resale.</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We will not receive any proceeds from the resale of Senti Common Shares by Chardan.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However, we may receive up to $50.0 million in aggregate gross proceeds from the Selling</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Securityholder under the Purchase Agreement in connection with sales of Senti Common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Shares to the Selling Securityholder pursuant to the Purchase Agreement after the date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this prospectus. However, the actual proceeds may be less than this amount depending 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number of Senti Common Shares sold and the price at which the Senti Common Shares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are sold. We intend to use any proceeds from any sales of Senti Common Shares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Chardan under the Facility for working capital and other general corporate purposes.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Pending other uses, we intend to invest the net proceeds to us in investment-grade, interest-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bearing securities such as money market funds, certificates of deposit, or direct or</w:t>
            </w:r>
          </w:p>
        </w:tc>
      </w:tr>
      <w:tr>
        <w:trPr>
          <w:trHeight w:val="214"/>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guaranteed obligations of the U.S. government, or hold as cash. We cannot predict whether</w:t>
            </w:r>
          </w:p>
        </w:tc>
      </w:tr>
      <w:tr>
        <w:trPr>
          <w:trHeight w:val="236"/>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net proceeds invested will yield a favorable return.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Chardan is a member of the Financial Industry Regulatory Authority, Inc. (“FINRA”) and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is expected to act as an executing broker for the resale of Senti Common Shares in this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offering. The receipt by Chardan of all the proceeds from resales of Senti Common Shares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results in a “conflict of interest” under FINRA Rule 5121. Accordingly, such resales will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be conducted in compliance with FINRA Rule 5121. To the extent that the Senti Common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Shares do not have a “bona fide public market”, as defined in FINRA Rule 5121, a</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qualified independent underwriter will participate in the preparation of, and exercise the</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usual standards of “due diligence”</w:t>
            </w:r>
          </w:p>
        </w:tc>
      </w:tr>
      <w:tr>
        <w:trPr>
          <w:trHeight w:val="159"/>
        </w:trPr>
        <w:tc>
          <w:tcPr>
            <w:tcW w:w="3800" w:type="dxa"/>
            <w:vAlign w:val="bottom"/>
            <w:tcBorders>
              <w:left w:val="single" w:sz="8" w:color="auto"/>
              <w:bottom w:val="single" w:sz="8" w:color="auto"/>
            </w:tcBorders>
          </w:tcPr>
          <w:p>
            <w:pPr>
              <w:spacing w:after="0"/>
              <w:rPr>
                <w:sz w:val="13"/>
                <w:szCs w:val="13"/>
                <w:color w:val="auto"/>
              </w:rPr>
            </w:pPr>
          </w:p>
        </w:tc>
        <w:tc>
          <w:tcPr>
            <w:tcW w:w="7220" w:type="dxa"/>
            <w:vAlign w:val="bottom"/>
            <w:tcBorders>
              <w:bottom w:val="single" w:sz="8" w:color="auto"/>
              <w:right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720" w:type="dxa"/>
            <w:vAlign w:val="bottom"/>
            <w:tcBorders>
              <w:top w:val="single" w:sz="8" w:color="auto"/>
              <w:left w:val="single" w:sz="8" w:color="auto"/>
            </w:tcBorders>
          </w:tcPr>
          <w:p>
            <w:pPr>
              <w:spacing w:after="0"/>
              <w:rPr>
                <w:sz w:val="24"/>
                <w:szCs w:val="24"/>
                <w:color w:val="auto"/>
              </w:rPr>
            </w:pPr>
          </w:p>
        </w:tc>
        <w:tc>
          <w:tcPr>
            <w:tcW w:w="830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with respect to, the registration statement. LifeSci Capital, LLC has agreed to act as</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qualified independent underwriter for this offering and will receive an upfront fee of</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$100,000 and, beginning one year after the date of the Purchase Agreement, a quarterly fee</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of $25,000 for doing so. Pursuant to FINRA Rule 5121, Chardan will not confirm resales</w:t>
            </w:r>
          </w:p>
        </w:tc>
      </w:tr>
      <w:tr>
        <w:trPr>
          <w:trHeight w:val="214"/>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of Senti Common Shares to any account over which it exercises discretionary authority</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without the prior written approval of the customer. See “</w:t>
            </w:r>
            <w:r>
              <w:rPr>
                <w:rFonts w:ascii="Times New Roman" w:cs="Times New Roman" w:eastAsia="Times New Roman" w:hAnsi="Times New Roman"/>
                <w:sz w:val="18"/>
                <w:szCs w:val="18"/>
                <w:i w:val="1"/>
                <w:iCs w:val="1"/>
                <w:color w:val="auto"/>
              </w:rPr>
              <w:t>Plan of Distribution (Conflicts of</w:t>
            </w:r>
          </w:p>
        </w:tc>
      </w:tr>
      <w:tr>
        <w:trPr>
          <w:trHeight w:val="236"/>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tc>
      </w:tr>
      <w:tr>
        <w:trPr>
          <w:trHeight w:val="473"/>
        </w:trPr>
        <w:tc>
          <w:tcPr>
            <w:tcW w:w="2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Ticker symbol</w:t>
            </w: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“SNTI”.</w:t>
            </w:r>
          </w:p>
        </w:tc>
      </w:tr>
      <w:tr>
        <w:trPr>
          <w:trHeight w:val="454"/>
        </w:trPr>
        <w:tc>
          <w:tcPr>
            <w:tcW w:w="2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of risk. You should carefully consider the information set forth under “Risk Factors” and</w:t>
            </w:r>
          </w:p>
        </w:tc>
      </w:tr>
      <w:tr>
        <w:trPr>
          <w:trHeight w:val="234"/>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elsewhere in this prospectus.</w:t>
            </w:r>
          </w:p>
        </w:tc>
      </w:tr>
      <w:tr>
        <w:trPr>
          <w:trHeight w:val="159"/>
        </w:trPr>
        <w:tc>
          <w:tcPr>
            <w:tcW w:w="2720" w:type="dxa"/>
            <w:vAlign w:val="bottom"/>
            <w:tcBorders>
              <w:left w:val="single" w:sz="8" w:color="auto"/>
              <w:bottom w:val="single" w:sz="8" w:color="auto"/>
            </w:tcBorders>
          </w:tcPr>
          <w:p>
            <w:pPr>
              <w:spacing w:after="0"/>
              <w:rPr>
                <w:sz w:val="13"/>
                <w:szCs w:val="13"/>
                <w:color w:val="auto"/>
              </w:rPr>
            </w:pPr>
          </w:p>
        </w:tc>
        <w:tc>
          <w:tcPr>
            <w:tcW w:w="8300" w:type="dxa"/>
            <w:vAlign w:val="bottom"/>
            <w:tcBorders>
              <w:bottom w:val="single" w:sz="8" w:color="auto"/>
              <w:right w:val="single" w:sz="8" w:color="auto"/>
            </w:tcBorders>
          </w:tcPr>
          <w:p>
            <w:pPr>
              <w:spacing w:after="0"/>
              <w:rPr>
                <w:sz w:val="13"/>
                <w:szCs w:val="13"/>
                <w:color w:val="auto"/>
              </w:rPr>
            </w:pPr>
          </w:p>
        </w:tc>
      </w:tr>
      <w:tr>
        <w:trPr>
          <w:trHeight w:val="361"/>
        </w:trPr>
        <w:tc>
          <w:tcPr>
            <w:tcW w:w="2720" w:type="dxa"/>
            <w:vAlign w:val="bottom"/>
          </w:tcPr>
          <w:p>
            <w:pPr>
              <w:spacing w:after="0"/>
              <w:rPr>
                <w:sz w:val="24"/>
                <w:szCs w:val="24"/>
                <w:color w:val="auto"/>
              </w:rPr>
            </w:pPr>
          </w:p>
        </w:tc>
        <w:tc>
          <w:tcPr>
            <w:tcW w:w="83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i w:val="1"/>
          <w:iCs w:val="1"/>
          <w:color w:val="auto"/>
        </w:rPr>
        <w:t>Investing in the Senti Common Shares involves a high degree of risk. Before you decide to invest in the Senti Common Shares, you should consider carefully the risks described below, together with the other information contained in this prospectus, including our financial statements and the related notes appearing at the end of this prospectus. We believe the risks described below are the risks that are material to us as of the date of this prospectus. If any of the following risks actually occur, our business, results of operations and financial condition would likely be materially and adversely affected. In these circumstances, the market price of the Senti Common Shares could decline, and you may lose part or all of your investment.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Facility</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Senti Common Shares, if any, we will sell under the Purchase Agreement to Chardan, or the actual gross proceeds resulting from those sales or the dilution to you from those sales.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31, 2022, we entered into the Purchase Agreement with Chardan, pursuant to which Chardan shall purchase from us up to $50.0 million of Senti Common Shares (the “Total Commitment”), upon the terms and subject to the conditions and limitations set forth in the Purchase Agreement. The Senti Common Shares that may be issued under the Purchase Agreement may be sold by us to Chardan at our discretion from time to time until the earliest to occur of (i) the first day of the month next following the 36-month anniversary of the effectiveness of this registration statement, (ii) the date on which Chardan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common stock to Chardan under the Purchase Agreement. Sales of our common stock, if any, to Chardan under the Purchase Agreement will depend upon market conditions and other factors to be determined by us. We may ultimately decide to sell to Chardan all, some or none of the common stock that may be available for us to sell to Chardan pursuant to the Purchase Agreement. Accordingly, we cannot guarantee that we will be able to sell all of the Total Commitment or how much in proceeds we may obtain under the Purchase Agreement. If we cannot sell securities under the Facility, we may be required to utilize more costly and time-consuming means of accessing the capital markets, which could have a material adverse effect on our liquidity and cash position.</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of common stock to be paid by Chardan for the common stock that we may elect to sell to Chardan under the Purchase Agreement, if any, will fluctuate based on the market prices of our common stock at the time we elect to sell shares to Chardan pursuant to the Purchase Agreement, if any, it is not possible for us to predict, as of the date of this prospectus and prior to any such sales, the number of shares of common stock that we will sell to Chardan under the Purchase Agreement, the purchase price per share that Chardan will pay for shares of common stock purchased from us under the Purchase Agreement, or the aggregate gross proceeds that we will receive from those purchases by Chardan under the Purchase Agreement.</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registering 8,727,049 Senti Common Shares under this prospectus, including the 100,000 Commitment Shares issued to Chardan as consideration for its execution and delivery of the Purchase Agreement on the Signing Date. The actual number of Senti Common Shares issuable will vary depending on the then current market price of Senti Common Shares sold to Chardan in this offering and the number of Senti Common Shares we ultimately elect to sell to Chardan under the Purchase Agreement. If it becomes necessary for us to issue and sell to the Selling Securityholder under the Purchase Agreement more than the 8,727,049 shares of Senti Common Shares being registered for resale under this prospectus in order to receive aggregate gross proceeds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equal to $50.0 million under the Purchase Agreement, we must file with the SEC one or more additional registration statements to register under the Securities Act the resale by the Selling Securityholder of any such additional Senti Common Shares we wish to sell from time to time under the Purchase Agreement, which the SEC must declare effective, in each case before we may elect to sell any additional Senti Common Shares under the Purchase Agreement. Under applicable Nasdaq rules, in no event may we issue to Chardan more than 19.99% of the total number of Senti Common Shares that were outstanding immediately prior to the execution of the Purchase Agreement, unless we obtain prior stockholder approval or if such approval is not required in accordance with the applicable Nasdaq rules. In addition, Chardan is not obligated to buy any common stock under the Purchase Agreement if such shares, when aggregated with all other common stock then beneficially owned by Chardan and its affiliates (as calculated pursuant to Section 13(d) of the Exchange Act and Rule 13d-3 promulgated thereunder), would result in Chardan beneficially owning common stock in excess of 4.99% of our outstanding shares of common stock. Our inability to access a portion or the full amount available under the Purchase Agreement, in the absence of any other financing sources, could have a material adverse effect on our business or results of operation.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common stock from Chardan at different times will likely pay different prices.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the timing, price and number of shares sold to Chardan will vary depending on when we choose to sell shares, if any, to Chardan. If and when we elect to sell common stock to Chardan pursuant to the Purchase Agreement, after Chardan has acquired such common stock, Chardan may resell all, some or none of such shares at any time or from time to time in its sole discretion and at different prices. As a result, investors who purchase shares from Chardan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Chardan in this offering as a result of future sales made by us to Chardan at prices lower than the prices such investors paid for their shares in this offering.</w:t>
      </w:r>
    </w:p>
    <w:p>
      <w:pPr>
        <w:spacing w:after="0" w:line="293"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Senti Common Shares to Chardan will result in additional outstanding shares and the resale of Senti Common Shares by Chardan that it acquires pursuant to the Purchase Agreement, or the perception that such sales may occur, could cause the price of Senti Common Shares to decrease.</w:t>
      </w:r>
    </w:p>
    <w:p>
      <w:pPr>
        <w:spacing w:after="0" w:line="6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On August 31, 2022, we entered into the Purchase Agreement with Chardan, pursuant to which Chardan shall purchase from us up to $50.0 million of Senti Common Shares, upon the terms and subject to the conditions and limitations set forth in the Purchase Agreement. We have issued 100,000 Commitment Shares to Chardan as consideration for its execution and delivery of the Purchase Agreement on the Signing Date. The Senti Common Shares issued under the Purchase Agreement may be sold by us to Chardan at our sole discretion, subject to the satisfaction of certain conditions in the Purchase Agreement, from time to time, until the earliest to occur of (i) the first day of the month next following the 36-month anniversary of the effectiveness of this registration statement, (ii) the date on which Chardan has purchased the Total Commitment pursuant to the Purchase Agreement,</w:t>
      </w:r>
    </w:p>
    <w:p>
      <w:pPr>
        <w:spacing w:after="0" w:line="5" w:lineRule="exact"/>
        <w:rPr>
          <w:sz w:val="20"/>
          <w:szCs w:val="20"/>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our common stock fails to be listed or quoted on Nasdaq or any successor market, and (iv) the date on which, pursuant to or</w:t>
      </w:r>
    </w:p>
    <w:p>
      <w:pPr>
        <w:spacing w:after="0" w:line="9"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meaning of any bankruptcy law, we commence a voluntary case or any Person commences a proceeding against us, a custodian is appointed for us or for all or substantially all of our property, or we make a general assignment for the benefit of our creditors. The purchase price for Senti Common Shares that we may sell to Chardan under the Purchase Agreement will fluctuate based on the trading price of Senti Common Shares. Depending on market liquidity at the time, sales of Senti Common Shares may cause the trading price of Senti Common Shares to decrease. We generally have the right to control the timing and amount of any future sales of Senti Common Shares to Chardan. Additional sales of Senti Common Shares, if any, to Chardan will depend upon market conditions and other factors to be determined by us. We may ultimately decide to sell to Chardan all, some or none of the additional Senti Common Shares that may be available for us to sell pursuant to the Purchase Agreement. If and when we do sell Senti Common Shares to Chardan, after Chardan has acquired Senti Common Shares, Chardan may resell all, some or none of such Senti Common Shares at any time or from time to time in its discretion. Therefore, sales to Chardan by us could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result in substantial dilution to the interests of other holders of Senti Common Shares. In addition, if we sell a substantial number of Senti Common Shares to Chardan under the Purchase Agreement, or if investors expect that we will do so, the actual sales of Senti Common Shares or the mere existence of our arrangement with Chardan may make it more difficult for us to sell equity or equity-related securities in the future at a time and at a price that we might otherwise wish to effect such sales.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proceeds from sales of our common stock made pursuant to the Purchase Agreement in ways with which you may not agree or in ways which may not yield a significant return.</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will have broad discretion over the use of proceeds from sales of our common stock made pursuant to the Purchase Agreement, including for any of the purposes described in the section entitled “Use of Proceeds,” and you will not have the opportunity, as part of your investment decision, to assess whether the proceeds are being used appropriately. Because of the number and variability of factors that will determine our use of the net proceeds, their ultimate use may vary substantially from their currently intended use. While we expect to use the net proceeds from this offering as set forth in “Use of Proceeds”, we are not obligated to do so. The failure by us to apply these funds effectively could harm our business, and the net proceeds may be used for corporate purposes that do not increase our operating results or enhance the value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and Financial Condition</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preclinical stage biotechnology company with a history of losses. We expect to continue to incur significant losses for the foreseeable future and may never achieve or maintain profitability.</w:t>
      </w:r>
    </w:p>
    <w:p>
      <w:pPr>
        <w:spacing w:after="0" w:line="5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a preclinical stage biotechnology company with a history of losses. Since our inception, we have devoted substantially all of our resources to research and development, preclinical studies, building our management team and building our intellectual property portfolio, and we have incurred significant operating losses. Our net losses were $23.4 million and $33.0 million for the six months ended June 30, 2022 and 2021, respectively. As of June 30, 2022, we had an accumulated deficit of $138.4 million. Substantially all of our losses have resulted from expenses incurred in connection with our research and development programs and from general and administrative costs associated with our operations. To date, we have not generated any revenue from product sales, and we have not sought or obtained regulatory approval for any product candidate. Furthermore, we do not expect to generate any revenue from product sales for the foreseeable future, and we expect to continue to incur significant operating losses for the foreseeable future due to the cost of research and development, preclinical studies, clinical trials, manufacturing and the regulatory approval process for our current and potential future product candidates.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expect our net losses to increase substantially as we:</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of our current and future product candidates and initiate additional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trials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organization relationships and building our internal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technologies aligned with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perfect, and defend our intellectual property portfolio;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However, the amount of our future losses is uncertain. Our ability to achieve or sustain profitability, if ever, will depend on, among other things, successfully developing product candidates, obtaining regulatory approvals to market and commercialize product candidates, manufacturing any approved products on commercially reasonable terms, entering into potential future alliances, establishing a sales and marketing organization or suitable third-party alternatives for any approved product and raising sufficient funds to finance business activities. If we, or our potential future collaborators, are unable to commercialize one or more of our product candidates, or if sales revenue from any product candidate that receives approval is insufficient, we will not achieve or sustain profitability, which could have a material adverse effect on our business, financial condition, results of operations and prospects.</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on acceptable terms, or at all, we may be forced to delay, reduce, or terminate our research and product development programs, future commercialization efforts or other operations.</w:t>
      </w:r>
    </w:p>
    <w:p>
      <w:pPr>
        <w:spacing w:after="0" w:line="5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will need substantial additional funds to advance development of product candidates and our gene circuit platform, and we cannot guarantee that we will have sufficient funds available in the future to develop and commercialize our current or potential future product candidates and technologies.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development of biotechnology product candidates is capital-intensive. If any of our current or potential future product candidates enter and advance through preclinical studies and clinical trials, we will need substantial additional funds to expand our development, regulatory, manufacturing, marketing and sales capabilities. We have used substantial funds to develop our gene circuit platform, SENTI-202, SENTI-301, SENTI-401 and other product candidates, and we will require significant funds to continue to develop our platform and conduct further research and development, including preclinical studies and clinical trials. In addition, we expect to incur significant additional costs associated with operating as a public company.</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of June 30, 2022, we had $139.8 million in cash and cash equivalents. Our future capital requirements and the period for which our existing resources will support our operations may vary significantly from what we expect. Our monthly spending levels vary based on new and ongoing research and development and other corporate activities. Because the length of time and activities associated with successful research and development of platform technologies and product candidates is highly uncertain, we are unable to estimate the actual funds we will require for development and any approved marketing and commercialization activities. Our future capital requirements and the timing and amount of our operating expenditures will depend largely on:</w:t>
      </w:r>
    </w:p>
    <w:p>
      <w:pPr>
        <w:spacing w:after="0" w:line="9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results and costs of preclinical and clinical development of our current and potential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development of our gene circuit platforms;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the number and development requirements of product candidates, and the number and types of indications for our product candidates that we decide to pursue;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building and operating our own dedicated Current Good Manufacturing Practice (“cGMP”) and Current Good Tissue Practice (“cGTP”) facility to support clinical and commercial-scale production of multiple allogeneic natural killer (NK) cell product candidates, and the terms of any third-party manufacturing contract or biomanufacturing partnership we may enter into;</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collaborations, conduct our research and development programs and establish new strategic partnerships and collaborations;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our existing strategic partners and third parties with whom we may in the future enter into collaboration and research and development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maintaining, enforcing, protecting and defending patents and other intellectual property rights;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 other payments we are required to make under our present or future license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and any approvals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developing our ability to establish sales and marketing capabilities, if any;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and maintain operational systems and hire and retain personnel, including personnel to support development of our platform technology and product candidates and to satisfy our obligations as a public company.</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equity securities. We may seek to raise any necessary additional capital through a combination of public or private equity offerings, debt financings, collaborations, strategic alliances, licensing arrangements, grants and other marketing and distribution arrangements. Any additional capital raising efforts may divert our management from their day-to-day activities, which may adversely affect our ability to develop and commercialize our current and future product candidates, if approved.</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be successful in acquiring additional funding at levels sufficient to fund our operations or on terms acceptable to us, if at all. If we are unable to obtain adequate financing when needed, our business, financial condition and results of operations will be harmed, and we may need to significantly modify our operational plans to continue as a going concern. For example, we may have to delay, reduce the scope of or suspend one or more of our preclinical studies, clinical trials, research and development programs or commercialization efforts. Further, if we are unable to continue as a going concern, we might have to liquidate our assets, and the values we receive for our assets in liquidation or dissolution could be significantly lower than the values reflected in our consolidated financial statements. Because of the numerous risks and uncertainties associated with the development and commercialization of our current and potential future product candidates and the extent to which we may enter into collaborations with third parties to participate in their development and commercialization, we are unable to estimate the amounts of increased capital outlays and operating expenditures associated with our current and anticipated preclinical studies and clinical trials, including related manufacturing costs.</w:t>
      </w:r>
    </w:p>
    <w:p>
      <w:pPr>
        <w:spacing w:after="0" w:line="188"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To the extent that we raise additional capital through collaborations, strategic alliances or licensing arrangements with third parties, we may have to relinquish valuable rights to our current and potential future product candidates, future revenue streams or research programs or grant licenses on terms that may not be favorable to us.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Moreover, the issuance of additional securities by us, whether equity or debt, or the market perception that such issuances are likely to occur, could cause the market price of our common stock to decline.</w:t>
      </w:r>
    </w:p>
    <w:p>
      <w:pPr>
        <w:spacing w:after="0" w:line="17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do not expect to realize revenue from product sales or royalties from licensed products for the foreseeable future, if at all, and unless and until our current and potential future product candidates are clinically tested, approved for commercialization and successfully marketed.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Senti Common Shares.</w:t>
      </w:r>
    </w:p>
    <w:p>
      <w:pPr>
        <w:spacing w:after="0" w:line="7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Prior to the closing of the Business Combination, we were a private company with limited accounting personnel and other resources with which to address our internal control over financial reporting. In connection with our preparation and the audit of our consolidated financial statements as of and for the year ended December 31, 2021, we and our independent registered public accounting firm identified a material weakness, as defined under the Exchange Act and by the Public Company Accounting Oversight Board (United States), in our internal control over financial reporting. The material weakness related to a lack of sufficient and adequate resources in the finance and accounting function that resulted in a lack of formalized risk assessment process, lack of segregation of duties, and ineffective process level control activities over the management review of journal entries, account reconciliations and non-routine transactions.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a risk assessment process and measures designed to improve our internal control over financial reporting and remediate the control deficiencies that led to the material weakness, including hiring additional accounting personnel.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For example, to maintain and improve the effectiveness of our financial reporting, we will need to commit significant resources, implement and strengthen existing disclosure processes, train personnel and provide additional management oversight.</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The rules governing the standards that must be met for our management to assess our internal control over financial reporting are complex and require significant documentation, testing and remediation. Testing internal controls may divert our management’s attention from other matters that are important to our business.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our management will be required to report upon the effectiveness of our internal control over financial reporting beginning with the annual report for our fiscal year ending December 31, 2022. Even if our management concludes that our internal control over financial reporting is effective, our independent registered public accounting firm when required may issue a report that is qualified if it is not satisfied with our controls or the level at which our controls are documented, designed, operated or reviewed.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procedures, and hire additional accounting and finance staff.</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When we lose our status as an “emerging growth company” and become an “accelerated filer” or a “large accelerated filer,” our independent registered public accounting firm will be required to attest to the effectiveness of our internal control over financial reporting pursuant to Section 404. Accordingly, you may not be able to depend on any attestation concerning our internal control over financial reporting from our independent registered public accountants for the foreseeable future.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controls over financial reporting that are deemed to be material weaknesses. A material weakness in internal controls could result in our failure to detect a material misstatement of our annual or quarterly consolidated financial statements or disclosures. We may not be able to conclude on an ongoing basis that we have effective internal controls over financial reporting in accordance with Section 404. If we are unable to conclude that we have effective internal controls over financial reporting, investors could lose confidence in our reported financial information, which could have a material adverse effect on the trading price of Senti Common Shares.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cannot be certain as to the timing of completion of our evaluation, testing and any remediation actions or the impact of the same on our operations.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If we are not able to implement the requirements of Section 404 in a timely manner or with adequate compliance, our independent registered public accounting firm when required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consolidated financial statements. In addition, we may be required to incur costs in improving our internal control system and the hiring of additional personnel. Any such action could negatively affect our results of operations and cash flows.</w:t>
      </w:r>
    </w:p>
    <w:p>
      <w:pPr>
        <w:spacing w:after="0" w:line="298"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our management team have limited experience in managing the day-to-day operations of a public company and, as a result, we may incur additional expenses associated with the management of our company.</w:t>
      </w:r>
    </w:p>
    <w:p>
      <w:pPr>
        <w:spacing w:after="0" w:line="5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Members of our management team have limited experience in managing the day-to-day operations of a public company. As a result, we may need to obtain outside assistance from legal, accounting, investor relations, or other professionals that could be more costly than planned. We also plan to hire additional personnel to comply with additional SEC reporting requirements. These compliance costs will make some activities significantly more time-consuming and costly. If we lack cash resources to cover these costs in the future, our failure to comply with reporting requirements and other provisions of securities laws could negatively affect our stock price and adversely affect our potential results of operations, cash flow and financial condition.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 NOLs”) and credits to offset future taxable income may be subject to certain limitations.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the Tax Cuts and Jobs Act of 2017 (the “Tax Act”), as modified by the Coronavirus Aid, Relief and Economic Security Act (the “CARES Act”), NOLs arising in tax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As of December 31, 2021, we had NOLs for U.S. federal and state income tax purposes of approximately $145.1 million, a portion of which expire beginning in 2031 if not utilized. NOLs generated in 2021 for U.S. federal tax reporting purposes of approximately $35.5 million have an indefinite life.</w:t>
      </w:r>
    </w:p>
    <w:p>
      <w:pPr>
        <w:spacing w:after="0" w:line="19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(defined under Section 382 of the Code and applicable Treasury Regulations as a greater than 50 percentage point change (by value) in a corporation’s equity ownership by certain stockholders over a rolling three-year period) is subject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limitations on its ability to utilize its pre-change NOLs to offset future taxable income. We have not determined whether our NOLs are limited under Section 382 of the Code. We may have experienced ownership changes in the past and may experience ownership changes in the future, including as a result of the Business Combination or subsequent shifts in our stock ownership (some of which are outside our control).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Clinical Testing of Our Product Candidates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preclinical development and have never been tested in humans. One or all of our current product candidates may fail in clinical development or suffer delays that materially and adversely affect their commercial viability.</w:t>
      </w:r>
    </w:p>
    <w:p>
      <w:pPr>
        <w:spacing w:after="0" w:line="5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have no products on the market or that have gained regulatory approval or that have entered clinical trials. None of our product candidates has ever been tested in humans. Our ability to achieve and sustain profitability depends on obtaining regulatory approvals for and successfully commercializing product candidates, either alone or with collaborators.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 for the commercial distribution of our product candidates, we or a collaborator must conduct extensive preclinical studies, followed by clinical trials to demonstrate the safety, purity and potency, or efficacy of our product candidates in humans. There is no guarantee that the U.S. Food and Drug Administration (the “FDA”) will permit us to conduct clinical trials. Further, we cannot be certain of the timely completion or outcome of our preclinical studies and cannot predict if the FDA or other regulatory authorities will accept our proposed clinical programs, our clinical protocols or if the outcome of our preclinical studies will ultimately support the further development of our preclinical programs or testing in humans. As a result, we cannot be sure that we will be able to submit IND or similar applications for our proposed clinical programs on the timelines we expect, if at all, and we cannot be sure that submission of INDs or similar applications will result in the FDA or other regulatory authorities allowing clinical trials for any of our product candidates to begin.</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current product candidates are in preclinical development and we are subject to the risks of failure inherent in the development of product candidates based on novel approaches, targets and mechanisms of action. Although we anticipate initiating clinical trials for our lead product candidates, there is no guarantee that we will be able to proceed with clinical development of any of these product candidates or that any product candidate will demonstrate a clinical benefit once we advance these candidates to testing in patients. Accordingly, you should consider our prospects in light of the costs, uncertainties, delays and difficulties frequently encountered by preclinical stage biotechnology companies such as ours.</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may not be able to access the financial resources to continue development of, or to enter into any collaborations for, any of our current or potential future product candidates. This may be exacerbated if we experience any issues that delay or prevent regulatory approval of, or our ability to commercialize, a product candidate, such as:</w:t>
      </w:r>
    </w:p>
    <w:p>
      <w:pPr>
        <w:spacing w:after="0" w:line="81" w:lineRule="exact"/>
        <w:rPr>
          <w:sz w:val="20"/>
          <w:szCs w:val="20"/>
          <w:color w:val="auto"/>
        </w:rPr>
      </w:pPr>
    </w:p>
    <w:p>
      <w:pPr>
        <w:ind w:left="1080" w:right="4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p>
      <w:pPr>
        <w:spacing w:after="0" w:line="45" w:lineRule="exact"/>
        <w:rPr>
          <w:rFonts w:ascii="Times New Roman" w:cs="Times New Roman" w:eastAsia="Times New Roman" w:hAnsi="Times New Roman"/>
          <w:sz w:val="17"/>
          <w:szCs w:val="17"/>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or by individuals using therapeutics similar to our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failures to obtain the necessary approvals from regulatory authorities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other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chemistry, manufacturing and control (“CMC”) challenges associated with manufacturing and scaling up biologic product candidates to ensure consistent quality, stability, purity and potency among different batches used in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greater-than-anticipated clinical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potency 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or manufacturing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the COVID-19 pandemic or events associated with the pandemic;</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interpreting our data differently than we do.</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 we and any existing or potential future collaborator may never receive approval to market and commercialize any product candidate. Even if we or any existing or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 We or an existing or potential future collaborator may also be subject to post-marketing testing requirements to maintain regulatory approval.</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potential future product candidates is ever tested in humans, it may not demonstrate the safety, purity and potency, or efficacy, necessary to become approvable or commercially viable.</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None of our current product candidates have ever been tested in humans. We may ultimately discover that our current product candidates do not possess certain properties that we believe are helpful for therapeutic effectiveness and safety or would otherwise support the submission of an IND on the timelines we expect, or at all. We do not know if the observations we have made regarding our gene circuits generally and our product candidates in particular will translate into any clinical response when tested in humans. As an example, while the Tumor-Associated Antigen (“TAA”) CD33 has been clinically validated as a target for an approved antibody-drug conjugate therapy, it has not been clinically validated as a target for CAR-NK or CAR-T therapies, and may not prove to be a clinically sufficient target for the CAR-NK therapies we are developing. As a result of these uncertainties related to our gene circuit platform technologies and our product candidates, we may never succeed in developing a marketable product based on our current product candidates. If any of our current or potential future product candidates prove to be ineffective, unsafe or commercially unviable, our entire pipeline could have little, if any, value, which could have a material adverse effect on our business, financial condition, results of operations and prospects.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seeking to identify and develop a broad pipeline of product candidates using our gene circuit platform technologies. The scientific research that forms the basis of our efforts to develop product candidates with our platforms is still ongoing. We are not aware of any FDA approved therapeutics utilizing similar technologies as ours. Further, the scientific evidence to support the feasibility of developing therapeutic treatments based on our platform technologies is preliminary. As a result, we are exposed to a number of unforeseen risks and it is difficult to predict the types of challenges and risks that we may encounter during development of our product candidates. For example, we have not tested any of our current product candidates in humans, and our current data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efficacy of our product candidates. In addition, our gene circuit technologies have potential safety risks. For example, if the NOT GATE gene circuit, as described below, engineered into one of our product candidates, such as SENTI-202, does not provide a clinically sufficient level of inhibition, it may kill healthy cells that it has been designed to preserve or may cause systemic immune cytotoxicity. As another example, if the small-molecular regulator dial does not achieve a clinically sufficient level of control over IL-12 secretion, either leaky IL-12 production in the uninduced state or overproduction of IL-12 in the induced state may result in systemic immune toxicity. It is possible that safety events or concerns such as these or others could negatively affect the development of our product candidates, including adversely affecting patient enrollment among the patient populations that we intend to treat.</w:t>
      </w:r>
    </w:p>
    <w:p>
      <w:pPr>
        <w:spacing w:after="0" w:line="19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and comparable foreign regulatory authorities to evaluate our proposed approaches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gene circuit platform to expand our pipeline of product candidates.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and advance our gene circuit platform to design, test and build our portfolio of product candidates focused on allogeneic gene circuit-equipped CAR-NK cell therapies for the treatment of cancer. Although our research and development efforts to date have resulted in our discovery and preclinical development of SENTI-202, SENTI-301, SENTI-401 and other potential product candidates, none of these product candidates has advanced to clinical development. We cannot assure you that any of our existing product candidates will advance to clinical trials or, if they do, that such trials will demonstrate these product candidates to be safe or effective therapeutics, and we may not be able to successfully develop any product candidates. Even if we are successful in expanding our pipeline of product candidates, any additional product candidates that we identify may not be suitable for clinical development or generate acceptable clinical data, including as a result of being shown to have unacceptable effects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67"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Although a substantial amount of our efforts will focus on the planned clinical trials and potential approval of the current and potential future product candidates we are evaluating, a key element of our strategy is to discover, develop, manufacture and globally commercialize additional targeted therapies beyond our current product candidates to treat various conditions and in a variety of therapeutic areas. Even if we identify investigational therapies that initially show promise, we may fail to successfully develop and commercialize such products for many reasons, including the following:</w:t>
      </w:r>
    </w:p>
    <w:p>
      <w:pPr>
        <w:spacing w:after="0" w:line="70"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investigational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investigational therapies obsolete;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therapies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investigational therapy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investigational therapy may not be capable of being produced in clinical or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Identifying new investigational therapies requires substantial technical, financial and human resources, whether or not any investigational therapies are ultimately identified. Because we have limited financial and human resources, we may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if we do not accurately evaluate the commercial potential or target market for a particular product candidate or technology, we may relinquish valuable rights to that product candidate or technology through collaborations, licensing or other royalty arrangements in cases in which it would have been more advantageous for us to retain sole development and commercialization rights to such product candidate or technology.</w:t>
      </w:r>
    </w:p>
    <w:p>
      <w:pPr>
        <w:spacing w:after="0" w:line="19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80"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market, physicians, patients, regulators and potential investors, may not be receptive to our current or potential future product candidates and may be skeptical of the viability and benefits of our gene circuit pipeline technology because it is based on a relatively novel and complex technology.</w:t>
      </w:r>
    </w:p>
    <w:p>
      <w:pPr>
        <w:spacing w:after="0" w:line="2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market, physicians, patients, regulators and potential investors, may be skeptical of the viability and benefits of our gene circuit pipeline technology or our product candidates because they are based on a relatively novel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complex technology and there can be no assurance that our product candidates or platform technologies will be understood, approved, or accepted. If potential investors are skeptical of the success of our pipeline products, our ability to raise capital and the value of our stock may be adversely affected. If physicians, patients, or regulators do not understand or accept our gene circuit platform technologies or our product candidates, we may be delayed in or unable to develop our product candidates.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including SENTI-202, SENTI-301 and SENTI-401, we may not generate or sustain revenue from sales of approved products. Market acceptance of our gene circuit platform technologies and our current and potential future product candidates, if approved, will depend on, among other factors:</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and gene circuit technologies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government and third-party payor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adverse effect on our business, financial condition, results of operations and prospects.</w:t>
      </w:r>
    </w:p>
    <w:p>
      <w:pPr>
        <w:spacing w:after="0" w:line="266"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applications for new indications, which could severely harm our business, prospects, operating results and financial condition.</w:t>
      </w:r>
    </w:p>
    <w:p>
      <w:pPr>
        <w:spacing w:after="0" w:line="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any of our current or potential future product candidates could cause regulatory authorities to interrupt, delay or halt clinical trials and could result in a more restrictive label or the delay or denial of regulatory approval by the FDA or other regulatory authorities. While we have not yet initiated clinical trials for SENTI-202, SENTI-301, SENTI-401 or any other product candidate, it is likely that there will be side effects associated with their use. Results of our clinical trials could reveal a high and unacceptable severity and prevalence of these side effects. For example, if the NOT GATE gene circuit engineered into one of our product candidates, such as SENTI-202, does not provide a clinically sufficient level of inhibition, it may kill healthy cells that it has been designed to preserve or may cause systemic immune cytotoxicity. As another example, if the small-molecular regulator dial does not achieve a clinically sufficient level of control over IL-12 secretion, either leaky IL-12 production in the uninduced state or overproduction of IL-12 in the induced state may result in systemic immune toxicity. It is possible that safety events or concerns such as these or others could negatively affect the development of our product candidates, including adversely affecting patient enrollment among the patient populations that we intend to treat. In such an event, our trials could be suspended or terminated, and the FDA or other regulatory authorities could order us to cease further development of or deny approval of a product candidate for any or all targeted indications. Such side effects could also affect patient recruitment or the ability of enrolled patients to complete the trial or result in potential product liability claims. To date, we have not observed any such effects in our preclinical studies, but there can be no guarantee that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current or future product candidates will not cause such effects in clinical trials. Any of these occurrences may materially and adversely affect our business and financial condition and impair our ability to generate revenues.</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the event that any of our current or potential future product candidates receives regulatory approval and we or others identify undesirable side effects caused by one of these products, any of the following events could occur, which could result in the loss of significant revenue to us and materially and adversely affect our results of operations and business:</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the product is administered to patients;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believe our pipeline will yield multiple INDs, we may not be able to file INDs to commence clinical trials on the timelines we expect, and even if we are able to, the FDA may not permit us to proceed.</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expect our pipeline to yield multiple INDs beginning as early as 2023, including INDs for SENTI-202 and SENTI-301. We cannot be sure that submission of an IND will result in the FDA allowing testing and clinical trials to begin, or that, once begun, issues will not arise that suspend or terminate such clinical trials. The manufacturing of our product candidates, including SENTI-202, SENTI-301 and SENTI-401,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National Institutes of Health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w:t>
      </w:r>
    </w:p>
    <w:p>
      <w:pPr>
        <w:spacing w:after="0" w:line="1" w:lineRule="exact"/>
        <w:rPr>
          <w:sz w:val="20"/>
          <w:szCs w:val="20"/>
          <w:color w:val="auto"/>
        </w:rPr>
      </w:pPr>
    </w:p>
    <w:p>
      <w:pPr>
        <w:ind w:left="120" w:hanging="4"/>
        <w:spacing w:after="0" w:line="25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94"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that we announce or publish from time to time for any clinical trials that we initiate may change as more patient data become available or as additional analyses are conducted, and as the data are subject to audit and verification procedures that could result in material changes in the final data.</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interim, preliminary or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5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From time to time, we expect that we will make public statements regarding the expected timing of certain milestones and key events, such as the commencement and completion of preclinical and IND-enabling studies in our product candidate discovery programs with collaborators as well as the commencement and completion of planned clinical trials in those programs. The actual timing of these events can vary dramatically due to a number of factors such as delays or failures in our or any future collaborators’ product candidate discovery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development programs, the amount of time, effort and resources committed by us and any future collaborators, and the numerous uncertainties inherent in the development of therapies. As a result, there can be no assurance that our or any future collaborators’ programs will advance or be completed in the time frames we or they announce or expect. If we or any collaborators fail to achieve one or more of these milestones or other key events as planned, our business could be materially adversely affected, and the price of our common stock could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Human clinical trials are expensive and difficult to design and implement, in part because they are subject to rigorous regulatory requirements. Because our current and potential future product candidates are based on new technologies and discovery approaches, we expect that they will require extensive research and development and have substantial manufacturing and processing costs. In addition, the FDA or other regulatory authorities may require us to perform additional testing before commencing clinical trials and be hesitant to allow us to enroll patients impacted with our targeted disease indications in our future clinical trials. If we are unable to enroll patients impacted by our targeted disease indications in our future clinical trials, we would be delayed in obtaining potential proof-of-concept data in humans, which could extend our development timelines. In addition, costs to treat patients and to treat potential side effects that may result from our product candidates may be significant. Accordingly, our clinical trial costs are likely to be high and could have a material adverse effect on our business, financial condition, results of operations and prospects.</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any clinical trials for our current or potential future product candidates if we are unable to locate and enroll a sufficient number of eligible patients to participate in these trials as required by the FDA or other regulatory authorities. We cannot predict how difficult it will be to enroll patients for trials in the indications we are studying. We may experience difficulties in patient enrollment in our clinical trials for a variety of reasons. The enrollment of patients depends on many factors, including:</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refer their patients to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current or potential pandemics, including the ongoing COVID-19 pandemic, that may limit the availability of patients, principal investigators or staff or clinical sites to participate in our clinical trials.</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our future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Additionally, because some of our clinical trials will be in patients with advanced disease who may experience disease progression or adverse events independent from our product candidates, such patients may be unevaluable for purposes of the trial and, as a result, we may require additional enrollment.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293"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for our product candidates are prolonged, delayed or stopped, we may be unable to seek or obtain regulatory approval and commercialize our product candidates on a timely basis, or at all, which would require us to incur additional costs and delay our receipt of any product revenue.</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or completion of these clinical trials could be substantially delayed or prevented by many factors, including:</w:t>
      </w:r>
    </w:p>
    <w:p>
      <w:pPr>
        <w:spacing w:after="0" w:line="81" w:lineRule="exact"/>
        <w:rPr>
          <w:sz w:val="20"/>
          <w:szCs w:val="20"/>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discussions with the FDA or comparable foreign regulatory authorities regarding the scope or design of our clinical trials, including the endpoint measures required for regulatory approval and our statistical plan;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and competition for, suitable study sites and investigators to conduct our clinical trials, many of which may already be engaged in other clinical trial programs with similar patients, including some that may be for the same indications as our product candidates;</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to obtain timely approval or agreement to commence a clinical trial in any of the countries where enrollment is planned;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funds required for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or other regulatory objections to, a new or ongoing clinical trial;</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or inability to produce quantities of consistent quality, purity and potency of the product candidate for our clinical trials;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agreement on acceptable clinical trial agreement terms or clinical trial protocols with prospective sites or CROs, the terms of which can be subject to extensive negotiation and may vary significantly among different sites or CROs;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institutional review board (“IRB”) or ethics committee approval to conduct a clinical trial at a prospective site;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require us to submit additional data or impose other requirements before permitting us to initiate a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the clinical trial;</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severe or unexpected drug-related adverse effects experienced by patients, including possible deaths;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or failure to measure a statistically significant clinical benefit within the dose range with an acceptable safety margin during clinical trials;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clinical trials by one or more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clinical investigators to follow our clinical trial protocols;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by us or our CROs;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address any noncompliance with regulatory requirements or safety concerns that arise during the course of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delays related to, health epidemics such as the COVID-19 pandemic;</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suspend, repeat or terminate clinical trials as a result of non-compliance with regulatory requirements, inconclusive or negative results or unforeseen complications in testing;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upon a breach or pursuant to the terms of any agreement with, or for any other reason by, any future strategic collaborator that has responsibility for the clinical development of any of our product candidates.</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Changes in regulatory requirements, policies and guidelines may also occur and we may need to significantly modify our clinical development plans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us, the FDA, other regulatory authorities, the IRB overseeing the clinical trial at issue, any of our clinical trial sites with respect to that site, or us.</w:t>
      </w:r>
    </w:p>
    <w:p>
      <w:pPr>
        <w:spacing w:after="0" w:line="183"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Any failure or significant delay in commencing or completing clinical trials for our product candidates, any failure to obtain positive results from clinical trials, any safety concerns related to our product candidates, or any requirement to conduct additional clinical trials or other testing of our product candidates beyond those that we currently contemplate would adversely affect our ability to obtain regulatory approval and our commercial prospects and ability to generate product revenue will be diminished.</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for one or more of our product candidates, we may be unsuccessful or may be unable to maintain the benefits associated with orphan drug designation for our current or future product candidates that we may develop.</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product intended to treat a rare disease or condition, which is generally defined as a patient population of fewer than 200,000 individuals annually in the United States, or where there is no reasonable expectation that the cost of developing the product will be recovered from sales in the United States. We may seek orphan drug designation for certain indications for our product candidates in the future. Orphan drug designation neither shortens the development time or regulatory review time of a drug nor gives the drug any advantage in the regulatory review or approval process. Orphan drug designation can entitle a party to financial incentives such as opportunities for grant funding towards clinical trial costs, tax advantages and user-fee waivers.</w:t>
      </w:r>
    </w:p>
    <w:p>
      <w:pPr>
        <w:spacing w:after="0" w:line="18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addition, if a product candidate with an orphan drug designation receives the first marketing approval for the indication for which it has such designation, the product is entitled to a period of marketing exclusivity, which precludes the FDA from approving another marketing application for the same drug for the same indication for seven years. The FDA may reduce the seven-year exclusivity if the same drug from a competitor demonstrates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Even if one of our product candidates receives orphan exclusivity, the FDA can still approve other drugs that have a different active ingredient for use in treating the same indication or disease.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and while we may seek orphan drug designation for our product candidates, we may never receive such designations. In addition, 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with others to conduct, animal testing in the future, which could harm our research and development activities.</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plan to rely on third parties to conduct clinical trials, and those third parties may not perform satisfactorily.</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expect to rely on third-party clinical investigators, CROs, clinical data management organizations and consultants to design, conduct, supervise and monitor certain preclinical studies and any clinical trials. Because we intend to rely on these third parties and will not have the ability to conduct certain preclinical studies or clinical trials independently, we will have less control over the timing, quality and other aspects of such preclinical studies and clinical trials than we would have had we conducted them on our own. These investigators, CROs and consultants will not be our employees and we will have limited control over the amount of time and resources that they dedicate to our programs. Some of these third parties may terminate their engagements with us at any time. We also expect to have to negotiate budgets and contracts with CROs, clinical trial sites and contract manufacturing organizations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 These third parties may have contractual relationships with other entities, some of which may be our competitors, which may draw time and resources from our programs. The third parties with which we may contract might not be diligent, careful or timely in conducting our preclinical studies or clinical trials, resulting in the preclinical studies or clinical trials being delayed or unsuccessful.</w:t>
      </w:r>
    </w:p>
    <w:p>
      <w:pPr>
        <w:spacing w:after="0" w:line="19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will be responsible for ensuring that each of our studies and trials is conducted in accordance with applicable protocol, legal and regulatory requirements and scientific standards, including good laboratory practice (“GLP”), good clinical practice (“ GCP”), cGMP, and cGTP and our reliance on third parties does not relieve us of our regulatory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responsibilities. For example, we will remain responsible for ensuring that each of our clinical trials is conducted in accordance with the general investigational plan and protocols for the trial. Moreover, the FDA and other regulatory authorities require us to comply with GCP standards, regulations for conducting, recording and reporting the results of clinical trials to assure that data and reported results are reliable and accurate and that the rights, integrity and confidentiality of trial participants are protected. Regulatory authorities enforce these GCP requirements through periodic inspections of trial sponsors, principal investigators and trial sites. If we or any of our CROs, clinical sites and investigators fail to comply with applicable GCP requirements, the clinical data generated in our clinical trials may be deemed unreliable and the FDA, European Medicines Agency (“EMA”), or other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candidates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FDA regulatory requirements as well as federal or state healthcare laws and regulations or healthcare privacy and security laws.</w:t>
      </w:r>
    </w:p>
    <w:p>
      <w:pPr>
        <w:spacing w:after="0" w:line="17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our efforts to, successfully commercialize our product candidates. As a result, our financial results and the commercial prospects for our product candidates would be harmed, our costs could increase and our ability to generate revenue could be delayed.</w:t>
      </w:r>
    </w:p>
    <w:p>
      <w:pPr>
        <w:spacing w:after="0" w:line="287"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strategic partnerships and collaboration arrangements, such as our collaboration arrangements with Spark Therapeutics, Inc. (“Spark”), and Bluerock Therapeutics, Inc. (“Bluerock”), for the application of our gene circuit platform technology to the development and commercialization of potential product candidates in certain indications, and if these arrangements are unsuccessful, this could impair our ability to generate revenues and materially harm our results of operations.</w:t>
      </w:r>
    </w:p>
    <w:p>
      <w:pPr>
        <w:spacing w:after="0" w:line="72"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Our business strategy for exploiting the potential of our gene circuit platform technology is dependent upon maintaining our current arrangements and establishing new arrangements with strategic partners, research collaborators and other third parties. We currently have collaboration agreements with Spark and Bluerock. These collaboration agreements provide for, among other things, research funding and significant future payments should certain development, regulatory and commercial milestones be achieved. Under these arrangements, our collaborators are typically responsible for:</w:t>
      </w:r>
    </w:p>
    <w:p>
      <w:pPr>
        <w:spacing w:after="0" w:line="85"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preclinical and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these collaborations in the manner or on the time schedule we currently contemplate, which may negatively impact our business operations.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Additionally, the development and commercialization of potential product candidates under our collaboration agreements could be substantially delayed, and our ability to receive future funding could be substantially impaired if one or more of our collaborators:</w:t>
      </w:r>
    </w:p>
    <w:p>
      <w:pPr>
        <w:spacing w:after="0" w:line="67" w:lineRule="exact"/>
        <w:rPr>
          <w:sz w:val="20"/>
          <w:szCs w:val="20"/>
          <w:color w:val="auto"/>
        </w:rPr>
      </w:pPr>
    </w:p>
    <w:p>
      <w:pPr>
        <w:ind w:left="1080" w:right="4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preclinical development, clinical development, or subsequent clinical development into a marketed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or otherwise withdraws support for, or otherwise impairs development under the collaboration;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research and development activities for such product candidate;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the termination of our existing collaborations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287"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enter into additional strategic transactions on acceptable terms, if at all, which could adversely affect our ability to develop and commercialize current and potential future product candidates and technologies, impact our cash position, increase our expenses and present significant distractions to our management.</w:t>
      </w:r>
    </w:p>
    <w:p>
      <w:pPr>
        <w:spacing w:after="0" w:line="6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From time to time, we consider strategic transactions, such as collaborations, regional partnerships for the co-development and/or co-commercialization of our product candidates in selected territories, acquisitions of companies, asset purchases, joint ventures, out- or in-licensing of product candidates or technologies and biomanufacturing partnerships involving our manufacturing facilities and gene circuit platform technology. For example, we will evaluate and, if strategically attractive, seek to enter into collaborations, including with biotechnology or biopharmaceutical companies, contract development manufacturing organizations or hospitals. The competition for collaborators is intense, and the negotiation process is time-consuming and complex. If we are not able to enter into strategic transactions, we may not have access to required liquidity or expertise to further develop our potential future product candidates or our gene circuit platform. Any such collaboration, or other strategic transaction, may require us to incur non-recurring or other charges, increase our near- and long-term expenditures and pose significant integration or implementation challenges or disrupt our management or business.</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also may acquire additional technologies and assets, form strategic alliances or create joint ventures with third parties that we believe will complement or augment our existing business, but we may not be able to realize the benefit of acquiring such assets. Conversely, any new collaboration that we do enter into may be on terms that are not optimal for us, our product candidates or our technologies. These transactions would entail numerous operational and financial risks, including:</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negotiate and manage a collaboration or develop acquired products, product candidates or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transaction consideration or costs;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collaboration, acquisition or integration costs, write-downs of assets or goodwill or impairment charges, increased amortization expenses;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facilitating the collaboration or combining the operations and personnel of any acquired business;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manufacturers or customers of any acquired business due to changes in management and ownership;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key employees of any acquired business.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our business could be materially harmed by such transactions. Conversely, any failure to enter any collaboration or other strategic transaction that would be beneficial to us could delay the development and potential commercialization of our product candidates and technologies and have a negative impact on the competitiveness of any product candidate or technology that reaches market.</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to the extent that any future collaborators terminate a collaboration agreement, we may be forced to independently develop our current and future product candidates and technologies, including funding preclinical studies or clinical trials, assuming marketing and distribution costs and maintaining, enforcing and defending intellectual property rights, or, in certain instances, abandon product candidates and technologies altogether, any of which could result in a change to our business plan and have a material adverse effect on our business, financial condition, results of operations and prospects.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our product candidates is complex. We may encounter difficulties in production. If we encounter any such difficulties, our ability to supply our product candidates for clinical trials or, if approved, for commercial sale, could be delayed or halted entirely.</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manufacture of biopharmaceutical products is complex and requires significant expertise, including the development of advanced manufacturing techniques and process controls. The process of manufacturing our product candidates is also extremely susceptible to product loss due to contamination, equipment failure or improper installation or operation of equipment,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the manufacturing facilities in which they are made, the facilities may need to be closed for an extended period of time to investigate and remedy the contamination. As a result of the complexities, the cost to manufacture biologics in general, and our cell-based product candidates in particular, is generally higher than traditional small molecule chemical compounds, and the manufacturing process is less reliable and is more difficult to reproduce.</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it is too early to estimate our cost of goods sold. The actual cost to manufacture our product candidates could be greater than we expect because we are early in our development efforts.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82"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Construction of our planned in-house manufacturing may be delayed or, even if completed, supply of our product candidates for preclinical and clinical development may become limited or interrupted or may not be of satisfactory quantity or quality, and we will experience delays if we are unable to operate our own manufacturing facility and are required to relay on third party back-up manufacturers.</w:t>
      </w:r>
    </w:p>
    <w:p>
      <w:pPr>
        <w:spacing w:after="0" w:line="6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 key to our strategy is operating our own manufacturing facility. We initiated construction in June 2021 of a dedicated in-house facility to support clinical and commercial-scale production of allogeneic NK cell product candidates in accordance with cGMP and cGTP requirements. We anticipate that this facility will become operational in time to support initial clinical trials for our lead product candidates. Initial manufacturing efforts at our planned facility will focus on product candidates from our two lead programs, SENTI-202 and SENTI-301.</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construction and commissioning of our planned facility may be delayed or may not be completed. As such, we cannot assure that our preclinical or future clinical development product supplies and commercial supplies will not be limited or interrupted. In particular, any change in our plans to construct and operate our own facility, including any decision to rely on third party back-up manufacturers, could require significant effort and expertise because there may be a limited number, if any, of qualified third-party replacements. We do not currently have arrangements in place for a redundant or second-source supply in the event our planned facility does not become operational. Any delays in manufacturing our product candidates could impede, delay, limit or prevent our drug development efforts, which could harm our business, results of operations, financial condition and prospects. Additionally, we may pursue a biomanufacturing partnership in which we grant a third party certain rights to use our manufacturing facility for the manufacture of third parties’ products or product candidates, which could divert our manufacturing capacity and management resources from the manufacture of our product candidates.</w:t>
      </w:r>
    </w:p>
    <w:p>
      <w:pPr>
        <w:spacing w:after="0" w:line="188"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We do not currently produce our product candidates in quantities sufficient for preclinical and clinical development, and we do not currently have arrangements with any third parties to produce them for us. We cannot be sure that the manufacturing processes employed by us or the technologies that we incorporate for manufacturing will result in viable or scalable yields of our product candidates that will be safe, effective, and meet market demand.</w:t>
      </w:r>
    </w:p>
    <w:p>
      <w:pPr>
        <w:spacing w:after="0" w:line="158"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other regulatory authority review. We and any third-party manufacturers we may contract with must meet applicable manufacturing requirements and undergo rigorous facility and process validation tests required by regulatory authorities in order to comply with regulatory standards, such as cGMP and cGTP. In the event that we or any third-party manufacturer fails to comply with such requirements or to perform obligations in relation to quality, timing or otherwise, or if our supply of components or other materials becomes limited or interrupted for other reasons, we may be forced to or enter into an agreement with another third party, which we may not be able to do on reasonable terms, or at all. In some cases, the technical skills or technology required to manufacture our current and future product candidates may be difficult or impossible to transfer to a third party and a feasible alternative may not exist. If we are required to change manufacturing facilities or manufacturers for any reason, we will be required to verify that the new facilities and procedures comply with quality standards and with all applicable regulations and guidelines.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manufacturing could negatively affect our ability to develop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we receive regulatory approval for any product candidate and we are unable to for any reason to produce sufficient quantities of the product in our own facility, and we are unable to obtain or maintain third-party manufacturing on commercially reasonable terms, we may not be able to commercialize the product candidate successfully. Our or a third party’s failure to execute on our manufacturing requirements and comply with cGMP and cGTP could adversely affect our business in a number of ways, including:</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potential future collaborators;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potential future manufacturing facilities to additional inspections by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future in-house manufacturing facility and any third-party manufacturers that we use may be unable to successfully scale the manufacturing of our current or potential future product candidates in sufficient quality and quantity, which would delay or prevent us from developing our current and potential future product candidates and commercializing approved products candidates, if any. We have never operated a cGMP facility before.</w:t>
      </w:r>
    </w:p>
    <w:p>
      <w:pPr>
        <w:spacing w:after="0" w:line="4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for our current and potential future product candidates or to commercialize any approved product candidates, we will need to manufacture large quantities of these product candidates. We expect to use our in-house manufacturing facility to produce required quantities of our product candidates upon its planned completion in 2022. We, or any manufacturing partners, may be unable to successfully increase the manufacturing capacity for any current or potential future product candidate in a timely or cost-effective manner, or at all. In addition, quality issues may arise during scale-up activities and may result in lower yields than initially expected. While we believe our planned cGMP facility will be sufficiently scalable to produce commercial quantities, any significant revisions to the manufacturing process may create delays, which could negatively impact our overall development timelines. In addition, we have never operated a cGMP facility before. We may encounter difficulties in operating the facility or meeting the requirements of the FDA or other regulatory authorities that we have not anticipated. If we cannot successfully scale the manufacture of any current or potential future product candidate in sufficient quality and quantity, the development, testing, clinical trials and commercialization of that product candidate may be delayed or infeasible and regulatory approval or commercial launch of any potential resulting product may be delayed or not obtained, which could significantly harm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a number of risks related to our supply chain for the materials required to manufacture our product candidates.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Manufacturing our product candidates is highly complex and requires sourcing specialty materials. Many of the risks associated with the complexity of manufacturing our final products are applicable to the manufacture and supply of the raw materials. In particular, these starting materials are subject to inconsistency in yields, variability in characteristics, contamination, difficulties in scaling the production process and defects. Similar minor deviations in the manufacturing process for these starting materials could result in supply disruption and reduced production yields for our final product. In addition, we rely on third parties for the supply of these materials exposing us to similar risks of reliance on third parties as described above with respect to the manufacturing and supply of our drug products.</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manufacturing processes requires many reagents, some of which are drug substance intermediates used in our manufacturing processes to bring about chemical or biological reactions, and other specialty materials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equipment, some of which are manufactured or supplied by small companies with limited resources and experience to support commercial production. We currently depend on a limited number of vendors for certain materials and equipment used in the manufacture of our product candidates.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 Additionally, in response to governmental shelter-in-place orders resulting from the ongoing COVID-19 pandemic, third-party suppliers and manufacturers on whom we rely may from time to time be required to limit their on-site staff’s availability to conduct activities at their respective facilities, and may encounter problems with shortages of qualified personnel and key contractors, and delays or pauses in the production and delivery of laboratory equipment, materials and supplies necessary for the manufacture of our product candidates. These problems may include workforce reductions, employee absenteeism and attrition, and supply chain failures or delays relating to the ongoing COVID-19 pandemic or other events affecting raw material supply or manufacturing capabilities.</w:t>
      </w:r>
    </w:p>
    <w:p>
      <w:pPr>
        <w:spacing w:after="0" w:line="19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comparability studies and to collect additional data from patients prior to undertaking more advanced clinical trials.</w:t>
      </w:r>
    </w:p>
    <w:p>
      <w:pPr>
        <w:spacing w:after="0" w:line="27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the need to perform new clinical trials, which would require additional costs and cause delay.</w:t>
      </w:r>
    </w:p>
    <w:p>
      <w:pPr>
        <w:spacing w:after="0" w:line="5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current and potential future product candidates, including SENTI-202, SENTI-301 and SENTI-401, are smaller than we believe they are, our future product revenues may be adversely affected, and our business may suffer.</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understanding of the number of people who suffer from diseases that our current product candidates may be able to treat are based on estimates. These estimates may prove to be incorrect, and new studies may reduce the estimated incidence or prevalence of these diseases. The number of patients in the United States or elsewhere may turn out to be lower than expected, may not be otherwise amenable to treatment with our current or potential future product candidates or patients may become increasingly difficult to identify and access, all of which would adversely affect our business prospects and financial condition. In particular, the treatable population for our candidates may further be reduced if our estimates of addressable populations are erroneous or sub-populations of patients do not derive benefit from our product candidates.</w:t>
      </w:r>
    </w:p>
    <w:p>
      <w:pPr>
        <w:spacing w:after="0" w:line="187" w:lineRule="exact"/>
        <w:rPr>
          <w:sz w:val="20"/>
          <w:szCs w:val="20"/>
          <w:color w:val="auto"/>
        </w:rPr>
      </w:pPr>
    </w:p>
    <w:p>
      <w:pPr>
        <w:jc w:val="both"/>
        <w:ind w:left="120" w:right="560"/>
        <w:spacing w:after="0" w:line="266"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making the actual number of patients who receive our current or potential future product candidates less than the potentially addressable market. These include the lack of widespread availability of, and limited reimbursement for, new therapies in many underdeveloped markets.</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 if their platform technologies or product candidates are more effective or have fewer side effects, our ability to develop and successfully commercialize product candidates may be adversely affected.</w:t>
      </w:r>
    </w:p>
    <w:p>
      <w:pPr>
        <w:spacing w:after="0" w:line="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cell and gene therapies is highly competitive.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Our competitors are often larger and better funded than we are. Our competitors have developed, are developing or will develop product candidates and processes competitive with ours. Competitive therapeutic treatments include those that have already been approved and accepted by the medical community and any new treatments that are currently in development or that enter the market. We believe that a significant number of product candidates are currently under development, and may become commercially available in the future, for the treatment of conditions for which we may try to develop product candidates. There is intense and rapidly evolving competition in the biotechnology and biopharmaceutical fields. We believe that while our gene circuit platform, its associated intellectual property, the characteristics of our current and potential future product candidates and our scientific and technical know-how together give us a competitive advantage in this space, competition from many sources remains.</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 candidates, the ease with which our product candidates can be administered, the timing and scope of regulatory approvals for these product candidates, the availability and cost of manufacturing, marketing and sales capabilities, price, reimbursement coverage and patent position. Competing products and product candidates could present superior treatment alternatives, including by being more effective, safer, less expensive or marketed and sold more effectively than any products we may develop. Competitive products and product candidates may make any product we develop obsolete or noncompetitive before we recover the expense of developing and commercializing such product. Such competitors could also recruit our employees, which could negatively impact our level of expertise and our ability to execute our business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technical personnel and employees would impair our ability to implement our business plan.</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executive management, advisors and other specialized personnel, including Timothy Lu, our Chief Executive Officer, Philip Lee, our Chief Technology Officer, Kanya Rajangam, our Chief Medical and Development Officer, and Deborah Knobelman, our Chief Financial Officer. Our senior management may terminate their employment with us at any time. We do not maintain “key person” insurance for any of our employees. The loss of one or more members of our executive team, management team or other key employees or advisors could delay our research and development programs and have a material adverse effect on our business, financial condition, results of operations and prospects.</w:t>
      </w:r>
    </w:p>
    <w:p>
      <w:pPr>
        <w:spacing w:after="0" w:line="18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limited experience in therapeutic development. As our current and potential future product candidates enter and advance through preclinical studies and any clinical trials, we will need to expand our development, regulatory and manufacturing capabilities or contract with other organizations to provide these capabilities for us.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manage our anticipated future growth, we will continue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In addition, we have limited experience in managing the manufacturing processes necessary for making cell and gene therapies. The expansion of our operations may lead to significant costs and may divert our management and business development resources. Any inability to manage growth could delay the execution of our business plans or disrupt our operations.</w:t>
      </w:r>
    </w:p>
    <w:p>
      <w:pPr>
        <w:spacing w:after="0" w:line="187"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In addition, future growth imposes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our operational, financial and management controls, reporting systems and procedures.</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may also experience difficulties in the discovery and development of potential future product candidates using our gene circuit platform if we are unable to meet demand as we grow our operations. In the future, we also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expect to have to manage additional relationships with collaborators, suppliers and other organizations. Our ability to manage our operations and future growth will require us to continue to improve our operational, financial and management controls, reporting systems and procedures and secure adequate facilities for our operational needs. We may not be able to implement improvements to our management information and control systems in an efficient or timely manner and may discover deficiencies in existing systems and controls.</w:t>
      </w:r>
    </w:p>
    <w:p>
      <w:pPr>
        <w:spacing w:after="0" w:line="284"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in the future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We will need to develop internal sales, marketing and distribution capabilities to commercialize each current and potential future product candidate that gains, if ever, FDA or other regulatory authority approval, which would be expensive and time-consuming, or enter into collaborations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any approved products or decide to co-promote products with third parties,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either on our own or through third parties, our business and results of operations could be materially and adversely affected.</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future international operations may expose us to business, political, operational and financial risks associated with doing business outside of the United States.</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future clinical trials may be conducted outside of the United States and we may enter into key supply arrangements or do other business with persons outside of the United States. Furthermore, if we or any future collaborator succeeds in developing any products, we anticipate marketing them in the European Union and other jurisdictions in addition to the United States. If approved, we or any future collaborator may hire sales representatives and conduct physician and patient association outreach activities outside of the United States. Doing business internationally involves a number of risks, including but not limited to:</w:t>
      </w:r>
    </w:p>
    <w:p>
      <w:pPr>
        <w:spacing w:after="0" w:line="89" w:lineRule="exact"/>
        <w:rPr>
          <w:sz w:val="20"/>
          <w:szCs w:val="20"/>
          <w:color w:val="auto"/>
        </w:rPr>
      </w:pPr>
    </w:p>
    <w:p>
      <w:pPr>
        <w:ind w:left="1080" w:right="48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those relating to privacy, data protection and cybersecurity, tax laws, export and import restrictions, employment laws, regulatory requirements and other governmental approvals, permits and licenses;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commercialization of our product candidates in various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or qualification of foreign clinical trial data by the competent authorities of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maintaining, protecting and enforcing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(including the COVID-19 pandemic), boycotts, curtailment of trade and other business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of these factors could harm our ongoing international operations and supply chain, as well as any future international expansion and operations and, consequently, our business, financial condition, prospects and results of operations.</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inability to obtain sufficient insurance coverage could have a material adverse effect on our business, financial condition, results of operations and prospects.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we conduct preclinical studies and future clinical trials of our current and potential future product candidates, we will be exposed to significant product liability risks inherent in the development, testing, manufacturing and marketing of these product candidates.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Any insurance we have or may obtain may not provide sufficient coverage against potential liabilities. Furthermore, clinical trial and product liability insurance is becoming increasingly expensive. As a result, we or any future collaborators may be unable to obtain sufficient insurance at a reasonable cost to protect us against losses caused by product liability claims that could have a material adverse effect on our business, financial condition, results of operations and prospects.</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collaborators may engage in misconduct or other improper activities, including noncompliance with regulatory standards and requirements.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collaborators.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investigations or other actions or lawsuits stemming from a failure to be in compliance with such laws or regulations. If any such actions are instituted against us, and we are not successful in defending ourselves or asserting our rights, those actions could have a material adverse effect on our business and financial condition, including the imposition of significant criminal, civil and administrative fines or other sanctions, such as monetary penalties, damages, fines, disgorgement, imprisonment, exclusion from participation in government-funded healthcare programs, such as Medicare and Medicaid, integrity obligations, reputational harm and the curtailment or restructuring of our operations.</w:t>
      </w:r>
    </w:p>
    <w:p>
      <w:pPr>
        <w:spacing w:after="0" w:line="28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sophisticated information technology systems and data processing to operate our business. If we experience security or data privacy breaches or other unauthorized or improper access to, use of, or destruction of our proprietary or confidential data, employee data or personal data, we may face costs, significant liabilities, harm to our brand and business disruption.</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and data processing that we or our service providers, collaborators, consultants, contractors or partners operate to collect, process, transmit and store electronic information in our day-to-day operations, including a variety of personal data, such as name, mailing address, email addresses, phone number and potentially clinical trial information. Additionally, we, and our service providers, collaborators, consultants, contractors or partners, do or will collect, receive, store, process, generate, use, transfer, disclose, make accessible, protect and share personal information, health information and other information to host or otherwise process some of our anticipated future clinical data and that of users, develop our products, to operate our business, for clinical trial purposes, for legal and marketing purposes, and for other business-related purposes. Our internal computer systems and data processing and those of our third-party vendors, consultants, collaborators, contractors or partners, including future CROs may be vulnerable to a cyber-attack (including supply chain cyber-attacks), malicious intrusion, breakdown, destruction, loss of data privacy, actions or inactions by our employees or contractors that expose security vulnerabilities, theft or destruction of intellectual property or other confidential or proprietary information, business interruption or other significant security incidents. As the cyber-threat landscape evolves, these attacks are growing in frequency, level of persistence, sophistication and intensity, and are becoming increasingly difficult to detect. In addition to traditional computer “hackers,” threat actors, software bugs, malicious code (such as viruses and worms), employee theft or misuse, denial-of-service attacks (such as credential stuffing), phishing and ransomware attacks, sophisticated nation-state and nation-state supported actors now engage in attacks (including advanced persistent threat intrusions). These risks may be increased as a result of COVID-19, owing to an increase in personnel working remotely and higher reliance on internet technology.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19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our service providers, collaborators, consultants, contractors or partners will be successful in efforts to detect, prevent or fully recover systems or data from all breakdowns, service interruptions, attacks or breaches of systems that could adversely affect our business and operations and/or result in the loss of critical or sensitive data. Any failure by us or our service providers, collaborators, consultants, contractors or partners to detect, prevent, respond to or mitigate security breaches or improper access to, use of, or inappropriate disclosure of any of this information or other confidential or sensitive information, including patients’ personal data, or the perception that any such failure has occurred, could result in claims, litigation, regulatory investigations and other proceedings, significant liability under state, federal and international law, and other financial, legal or reputational harm to us. Further, such failures or perceived failures could result in liability and a material disruption of our development programs and our business operations, which could lead to significant delays or setbacks in our research, delays to commercialization of our product candidates, lost revenues or other adverse consequences, any of which could have a material adverse effect on our business, results of operations, financial condition, prospects and cashflow. For example, the loss or alteration of clinical trial data from future clinical trials could result in delays in our regulatory approval efforts and significantly increase our costs to recover or reproduce the data.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Additionally, applicable laws and regulations relating to privacy, data protection or cybersecurity, external contractual commitments and internal privacy and security policies may require us to notify relevant stakeholders if there has been a security breach, including affected individuals, business partners and regulators. Such disclosures are costly, and the disclosures or any actual or alleged failure to comply with such requirements could lead to a materially adverse impact on the business, including negative publicity, a loss of confidence in our services or security measures by our business partners or breach of contract claims. There can be no assurance that the limitations of liability in our contracts would be enforceable or adequate or would otherwise protect us from liabilities or damages if we fail to comply with applicable data protection laws, privacy policies or other data protection obligations related to information security or security breaches.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Our research, development and manufacturing involve the use of hazardous materials and various chemicals.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in our facilities comply with the relevant guidelines of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Although we have some environmental liability insurance covering certain of our facilities, we may not maintain adequate insurance for all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30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including the ongoing COVID-19 pandemic, on the manufacturing, clinical trial and other business activities performed by us or by third parties with whom we may conduct business, including our anticipated contract manufacturers, CROs, shippers and others.</w:t>
      </w:r>
    </w:p>
    <w:p>
      <w:pPr>
        <w:spacing w:after="0" w:line="67"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Health epidemics could cause significant disruption in our operations and the operations of third-party manufacturers, CROs and other third parties upon whom we rely. For example, in March 2020, the World Health Organization declared the COVID-19 outbreak a pandemic. Since then, COVID-19 has spread to most countries and all 50 states within the United States, and the U.S. government has, at various times, ordered the closure of all non-essential businesses, imposed social distancing measures, “shelter-in-place” orders and restrictions on travel between the United States, Europe and certain other countries. The global pandemic and government measures taken in response have also had a significant impact on businesses and commerce worldwide, as worker shortages have occurred, supply chains have been disrupted, facilities and production have been suspended across a variety of industries, and demand for certain goods and services, such as medical services and supplies, has spiked, while demand for other goods and services, such as travel, has fallen. In connection with COVID-19, we implemented work-from-home policies for most employees. The effects of government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our preclinical studies and future clinical trials may be affected by the COVID-19 pandemic. Clinical site initiation, patient enrollment and activities that require visits to clinical sites, including data monitoring,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to COVID-19 or experience additional restrictions by their institutions, city or state, our preclinical studies and future clinical trial operations could be adversely impacted.</w:t>
      </w:r>
    </w:p>
    <w:p>
      <w:pPr>
        <w:spacing w:after="0" w:line="18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has resulted in significant volatility for global financial markets, resulting in economic uncertainty that could continue to significantly impact our business and operations and may reduce our ability to access capital, which could in the future negatively affect our liquidity. In addition, a recession or market correction resulting from the spread of COVID-19 could materially affect our business and the value of our common stock. In addition, any recurrence or new increases in the rates and severity of COVID-19 infection could cause other widespread or more severe impacts depending on where infection rates are highest.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we may experience additional disruptions that could severely impact our business and future clinical trials, including: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regulatory authorities to accept data from clinical trials in these affected geographies.</w:t>
      </w:r>
    </w:p>
    <w:p>
      <w:pPr>
        <w:spacing w:after="0" w:line="22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particular, since the beginning of the COVID-19 pandemic, the FDA has granted Emergency Use Authorization to several vaccines for COVID-19, and some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product candidates needed for our clinical trials, which could lead to delays in these trials. These and similar, and perhaps more severe, disruptions in our operations could have a material adverse effect on our business, results of operations, cash flows, financial condition and/or prospects.</w:t>
      </w:r>
    </w:p>
    <w:p>
      <w:pPr>
        <w:spacing w:after="0" w:line="162"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As a result of the COVID-19 public health emergency, we may be required to develop and implement additional clinical trial policies and procedures designed to help protect subjects from the COVID-19 virus. The ultimate impact of the COVID-19 pandemic on our business operations is highly uncertain and subject to change and will depend on future developments, including new regulatory requirements and changes to existing regulations.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global pandemic of COVID-19 continues to evolve rapidly. We do not yet know the full extent of potential delays or impacts on our business, our future clinical trials, healthcare systems or the global economy as a whole that may result from the ongoing COVID-19 pandemic. However, these effects could have a material impact on our operations, and we continue to monitor the COVID-19 situation closely. To the extent the COVID-19 pandemic adversely affects our business, results of operations, cash flows, financial condition and/or prospects, it may also have the effect of heightening many of the other risks described in this “Risk Factors” section.</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financial position and clinical development plans and timelines could be materially adversely affected by the continuing military action in Ukraine.</w:t>
      </w:r>
    </w:p>
    <w:p>
      <w:pPr>
        <w:spacing w:after="0" w:line="5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a result of the military action commenced in February 2022 by the Russian Federation and Belarus in Ukraine, and related economic sanctions imposed by certain governments and our financial position and operations may be materially and adversely affected. As our ability to continue to operate will be dependent on raising debt and equity finance, any adverse impact to those markets as a result of this military action, including due to increased market volatility, decreased availability in third-party financing and/or a deterioration in the terms on which it is available (if at all), could negatively impact our business, operations or financial position. The extent of any potential impact is not yet determinable, however.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current economic downturn may harm our business and results of operations and negatively affect our stock price.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overall demand for goods and services, leading to reduced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borrowing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credit, equity and foreign exchange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225"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These developments could lead to supply chain disruption, inflation, higher interest rates, and uncertainty about business continuity, which may adversely affect our business and our results of operations and negatively affect our stock price.</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482"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6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93"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consumer spending results in lower sales. In addition, if our costs increase and we are not able to pass along these price increases to our customers, our net income would be adversely affected, and the adverse impact may be material.</w:t>
      </w:r>
    </w:p>
    <w:p>
      <w:pPr>
        <w:spacing w:after="0" w:line="6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Inflation rates, particularly in the United States, have increased recently to levels not seen in years. Increased inflation may result in decreased demand for our products and services,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our technology and current or future product candidates, or if our intellectual property rights are inadequate, our competitors could develop and commercialize products and technology similar or identical to ours, and we may not be able to compete effectively in our market or successfully commercialize any product candidates we may develop.</w:t>
      </w:r>
    </w:p>
    <w:p>
      <w:pPr>
        <w:spacing w:after="0" w:line="6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and biologic materials of others, to protect our current or future platform technologies, product candidates, methods used to manufacture our current or future product candidates and methods for treating patients using our current or future product candidates.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own or in-license patents and patent applications relating to our platform technologies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83"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in-license may fail to result in issued patents, and, even if they do issue as patents,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17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absolutely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Moreover, the patent positions of biotechnology companies like ours are generally uncertain because they may involve complex legal and factual considerations that have, in recent years, been the subject of legal development and change. The relevant patent laws and their interpretation, both inside and outside of the United States, is also uncertain. Changes in either the patent laws or their interpretation in the United States and other jurisdictions may diminish our ability to protect our platform technology or product candidates and could affect the value of such intellectual property. In particular,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57" w:lineRule="auto"/>
        <w:rPr>
          <w:sz w:val="20"/>
          <w:szCs w:val="20"/>
          <w:color w:val="auto"/>
        </w:rPr>
      </w:pPr>
      <w:r>
        <w:rPr>
          <w:rFonts w:ascii="Times New Roman" w:cs="Times New Roman" w:eastAsia="Times New Roman" w:hAnsi="Times New Roman"/>
          <w:sz w:val="18"/>
          <w:szCs w:val="18"/>
          <w:color w:val="auto"/>
        </w:rPr>
        <w:t>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Moreover, issued patents do not guarantee the right to practice our technology in relation to the commercialization of our products. Issued patents only allow us to block—in some cases—potential competitors from practicing the claimed inventions of the issued patents.</w:t>
      </w:r>
    </w:p>
    <w:p>
      <w:pPr>
        <w:spacing w:after="0" w:line="18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 candidate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Even if patents do successfully issue from our owned or in-licensed patent application, and even if such patents cover our current or any future technologies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technologies or product candidates that we may develop. Likewise, if patent applications we own or have in-licensed with respect to our development programs and current or future technologies or product candidates fail to issue, if their breadth or strength is threatened, or if they fail to provide meaningful exclusivity, other companies could be dissuaded from collaborating with us to develop current or future technologies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We may be unable to prevent competitors from entering the market with a product that is similar or identical to any of our current or potential future product candidates or from utilizing technologies similar to those in our gene circuit platform technologies.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The filing of a patent application or the issuance of a patent is not conclusive as to its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in-licensed patent rights, result in the loss of exclusivity, limit our ability to stop others from using or commercializing similar or identical platforms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platforms or product candidates. Any of the foregoing could have a material adverse effect on our business, financial condition, results of operations and prospects.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Moreover, we currently co-own certain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83"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and technologies may be dependent on third parties.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and technologies, there may be times when the filing and prosecution activities for patents and patent applications relating to our product candidates and technologies are controlled by our licensors or collaborators.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any of our licensors or collaborators fail to prosecute, maintain and enforce such patents and patent applications in a manner consistent with the best interests of our business, including by payment of all applicable fees for patents covering our product candidates and technologies, we could lose our rights to the intellectual property or our exclusivity with respect to those rights, our ability to develop and commercialize those product candidates and technologies may be adversely affected and we may not be able to prevent competitors from making, using and selling competing product candidates.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Further, we may have limited control over the manner in which our licensors initiate an infringement proceeding against a third-party infringer of the intellectual property rights, or defend certain of the intellectual property that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is licensed to us. It is possible that the licensors’ infringement proceeding(s) or defense activities may be less vigorous than had we conducted them ourselves.</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acquire or in-license any relevant third-party intellectual property rights that we identify as necessary or important to our business operations.</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Even if we are able to obtain a license, it may be non-exclusive, thereby giving our competitors access to the same technologies licensed to us.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Any of the foregoing could harm our competitive position, business, financial condition, results of operations and prospects.</w:t>
      </w:r>
    </w:p>
    <w:p>
      <w:pPr>
        <w:spacing w:after="0" w:line="19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Further,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Additionally, some intellectual property that we have in-licensed or that we own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 As a result, the U.S. government may have certain rights to intellectual property embodied in our current or future product candidates pursuant to the Bayh-Dole Act of 1980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may have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More specifically, certain currently in-licensed patents that cover certain split, universal and programmable chimeric antigen receptor technology may be subject to march-in-rights. This technology is not embodied in any of our current product candidates. In addition, certain currently in-licensed patents that cover certain components and process for regulating the expression of a fusion protein with the use of a protease inhibitor are subject to march-in-rights, which technology can be embodied in certain regulator dial gene circuits. We also own a patent family claiming an invention made under research partially funded by the federal government. Such invention covers mesenchymal stem cells that express combinations of immune effectors for autoimmunity. While the foregoing invention is not embodied in any current product candidates, it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is subject to march-in-rights. The U.S. government also has the right to take title to these inventions made through government funded programs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6"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and in the future may continue to, enter into agreements involving licenses or collaborations that provide for access or sharing of intellectual property. These intellectual property-related agreements may impose certain obligations and restrictions on our ability to develop and commercialize our product candidates and technologies that are the subject of such licenses.</w:t>
      </w:r>
    </w:p>
    <w:p>
      <w:pPr>
        <w:spacing w:after="0" w:line="6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license rights from third parties to use certain intellectual property relevant to one or more of our current and future product candidates. In the future, we may need to obtain additional licenses from others to advance our research and development activities or allow the commercialization of our current and future product candidates we may identify and pursue. These existing license agreements impose, and any future license agreements we enter into are likely to impose, various development, commercialization, funding, milestone, royalty, diligence, sublicensing, insurance, patent prosecution and enforcement or other obligations on us. For example, we are a party to three license agreements with the U.S. Department of Health and Human Services, as represented by the National Cancer Institute (“NCI”), for intellectual property relevant to our product candidates. For a more detailed description of the license agreements with NCI, see the section titled “</w:t>
      </w:r>
      <w:r>
        <w:rPr>
          <w:rFonts w:ascii="Times New Roman" w:cs="Times New Roman" w:eastAsia="Times New Roman" w:hAnsi="Times New Roman"/>
          <w:sz w:val="18"/>
          <w:szCs w:val="18"/>
          <w:i w:val="1"/>
          <w:iCs w:val="1"/>
          <w:color w:val="auto"/>
        </w:rPr>
        <w:t>Business—Material License and Collaboration Agreements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Further, we or our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conditions, results of operations and prospects.</w:t>
      </w:r>
    </w:p>
    <w:p>
      <w:pPr>
        <w:spacing w:after="0" w:line="188"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Furthermore, we may not have the right to control the preparation, filing, prosecution, maintenance, enforcement and defense of patents and patent applications that we license from third parties. In certain circumstances, our licensed patent rights are subject to our reimbursing our licensors for their patent prosecution and maintenance costs. If our licensors and future licensors fail to prosecute, maintain, enforce and defend patents we may license,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 lose rights to licensed patents or patent applications, our licensed rights may be reduced or eliminated. In such circumstances, our right to develop and commercialize any of our products or product candidates that is the subject of such licensed rights could be materially adversely affected. Even where we have the right to control prosecution of patents and patent applications under license from third parties, we may still be adversely affected or prejudiced by actions or inactions of our predecessors or licensors and their counsel that took place prior to us assuming control over patent prosecution.</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technology acquired or licensed currently or in the future from various third parties is or may be subject to retained rights. Our predecessors or licensors do and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we are limited in our ability to utilize acquired or licensed technologies, or if we lose our rights to critical in-licensed technology, we may be unable to successfully develop, out-license, market and sell our product candidates, which could prevent or delay new product introductions. Our business strategy depends on the successful development of acquired technologies and licensed technology into commercial product candidates. Therefore, any limitations on our ability to utilize these technologies may impair our ability to develop, out-license or market and sell our product candidates.</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existing or future license, collaboration or other intellectual property-related agreements, we may be required to pay damages and could lose intellectual property rights that may be necessary for developing, commercializing and protecting our current or future technologies or product candidates or we could lose certain rights to grant sublicenses.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certain obligations to third-party licensors from whom we license certain patent rights that are relevant to one or more current and future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 candidates. In the future, we may need to obtain additional licenses from other third parties to advance our research and development activities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allow the commercialization of our current and future product candidates. Our existing license agreements impose, and any future license agreements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enter into are likely to impose, various development, commercialization, funding, milestone, royalty, diligence, sublicensing, insurance, patent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prosecution and enforcement or other obligations on us. For a more detailed description of our existing license agreements, see the section 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Business—Material License and Collaboration Agreements</w:t>
      </w:r>
      <w:r>
        <w:rPr>
          <w:rFonts w:ascii="Times New Roman" w:cs="Times New Roman" w:eastAsia="Times New Roman" w:hAnsi="Times New Roman"/>
          <w:sz w:val="18"/>
          <w:szCs w:val="18"/>
          <w:color w:val="auto"/>
        </w:rPr>
        <w:t>.” If we breach any of these obligations, including diligence obligations with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development and commercialization of product candidates covered by the intellectual property licensed to us, or use the intellectual property licensed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in an unauthorized manner or we are subject to bankruptcy-related proceedings, we may be required to pay damages and the licensor may have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terminate the respective agreement or materially modify the terms of the license, such as by rendering currently exclusive licenses non-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exclusive. License termination or modification could result in our inability to develop, manufacture and sell products that are covered by the licensed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intellectual property or could enable a competitor to gain access to the licensed intellectual property.</w:t>
      </w:r>
    </w:p>
    <w:p>
      <w:pPr>
        <w:spacing w:after="0" w:line="2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 that are the subject of such licensed rights could be materially adversely affected.</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current or future licensors may own or control intellectual property that has not been licensed to us and, as a result, we may be subject to claims, regardless of their merit, that we are infringing, misappropriating or otherwise violating the licensor’s intellectual property rights. In addition, while we cannot currently determine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amount of the royalty obligations we would be required to pay on sales of future products if infringement or misappropriation were found, those amounts could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Disputes may arise between us and our present and future licensors regarding intellectual property subject to a licensing agreement, including: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including but not limited to our right to transfer or assign the license;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 candidates,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 including the terms and conditions thereof;</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development and commercialization of our product candidates that are covered by the license agreement, and what activities satisfy those diligence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 financial condition, results of operations and prospects.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the National Cancer Institute (“NCI”) and other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9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addition, while we currently do not have any liens, security interests, or other encumbrances on the intellectual property that we own, we may, in the future, need to obtain a loan or a line of credit that will require that we put up our intellectual property as collateral to our lenders or creditors. If we do so, and we violate the terms of any such loan or credit agreement, our lenders or creditors may take possession of such intellectual property, including the rights to receive proceeds derived from such intellectual property.</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not be able to protect our competitive position for an adequate period of time with respect to our current or future technologies or product candidates.</w:t>
      </w:r>
    </w:p>
    <w:p>
      <w:pPr>
        <w:spacing w:after="0" w:line="5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Patents have a limited lifespan. The term of individual patents and applications in our portfolio depends upon the legal term of patents in the countries in which they are obtained. In most countries in which we file, including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United States, the patent term is 20 years from the earliest date of filing a non-provisional patent application. Extensions of patent term may be available, but there is no guarantee that we would have patents eligible for extension, or that we would succeed in obtaining any particular extension, and no guarantee any such extension would confer a patent term for a sufficient period of time to exclude others from commercializing product candidates similar or identical to ours.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drug—and only those claims covering the approved drug, a method for using it or a method for manufacturing it—may be extended under the Hatch-Waxman Act. Similar provisions are available in Europe and other foreign jurisdictions to extend the term of a patent that covers an approved drug. In the future, if and when our products receive FDA approval or applicable approval in other jurisdictions, we expect to apply for patent term extensions on issued patents covering those products in the United States and other jurisdiction where such extensions are available; however, there is no guarantee that the applicable authorities, including the FDA in the United States, will agree with our assessment of whether such extensions should be granted, and if granted, the length of such extensions. We also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launch their products earlier by taking advantage of our investment in development and clinical trials along with our clinical and preclinical data. This could have a material adverse effect on our business and ability to achieve profitability.</w:t>
      </w:r>
    </w:p>
    <w:p>
      <w:pPr>
        <w:spacing w:after="0" w:line="189"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7"/>
          <w:szCs w:val="17"/>
          <w:color w:val="auto"/>
        </w:rPr>
        <w:t>The life of a patent and the protection it affords are limited. As a result, our owned and in-licensed patent portfolio provides us with limited rights that may not last for a sufficient period of time to exclude others from commercializing product candidates similar or identical to ours. Even if patents covering our product candidates are obtained, once the patent life has expired, we may be open to competition from competitive products, including generics or biosimilars. For example, given the large amount of time required for the research,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current or any future technologies or product candidates.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elsewhere could increase the uncertainties and costs surrounding the prosecution of patent applications and the enforcement or defense of issued patents. The United States has enacted and implemented wide-ranging patent reform legislation. On September 16, 2011, the Leahy-Smith America Invents Act (the “Leahy-Smith Act”) was signed into law, which could increase the uncertainties and costs surrounding the prosecution of our owned or in-licensed patent applications and the enforcement or defense of any future owned or in-licensed issued patents.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 xml:space="preserve">patentability are met, the first inventor to file a patent application generally will be entitled to the patent on an invention regardless of whether another inventor had made the invention earlier. A third party that files a patent application in the USPTO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 The Leahy-Smith Act also allows third-party submission of prior art to the USPTO during patent prosecution and sets forth additional procedures to challenge the validity of a patent by USPTO-administered post-grant proceedings, including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interference proceedings. The USPTO developed additional regulations and procedures to govern administration of the Leahy-Smith Act, and many of the substantive changes to patent law associated with the Leahy-Smith Act, and, in particular, the first-to-file provisions, became effective on March 16, 2013. Accordingly, it is not clear what, if any, impact the Leahy-Smith Act will have on the operation of our business. The Leahy-Smith Act and its implementation could increase the uncertainties and costs surrounding the prosecution of our owned or in-licensed patent applications and the enforcement or defense of our issued owned or in-licensed patents, all of which could have a material adverse impact on our business prospects and financial condition.</w:t>
      </w:r>
    </w:p>
    <w:p>
      <w:pPr>
        <w:spacing w:after="0" w:line="19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referenced above, for example, courts in the U.S. continue to refine the heavily fact-and-circumstance-dependent jurisprudence defining the scope of patent protection available for therapeutics, narrowing the scope of patent protection available in certain circumstances or weakening the rights of patent owners in certain situations. This creates uncertainty about our ability to obtain patents in the future and the value of such patents. 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We cannot provide assurance that future developments in U.S. Congress, the federal courts and the USPTO will not adversely impact our owned or in-licensed patents or patent applications. The laws and regulations governing patents could change in unpredictable ways that could weaken our and our licensors’ ability to obtain new patents or to enforce our existing owned or in-licensed patents and patents that we might obtain or in-license in the future. Similarly, changes in patent law and regulations in other countries or jurisdictions or changes in the governmental bodies that enforce them or changes in how the relevant governmental authority enforces patent laws or regulations may have a material adverse effect on our and our licensors’ ability to obtain new patents or to protect and enforce our owned or in-licensed patents or patents that we may obtain or in-license in the future.</w:t>
      </w:r>
    </w:p>
    <w:p>
      <w:pPr>
        <w:spacing w:after="0" w:line="30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lawsuits or litigation to protect or enforce our patents or other intellectual property, which could result in substantial costs and liability and prevent us from commercializing our potential products.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Third parties may attempt to invalidate our or our licensors’ intellectual property rights via procedures including but not limited to patent infringement lawsuits, declaratory judgment actions,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reexamination proceedings before the USPTO, U.S. courts and foreign patent offices or foreign courts.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USPTO procedures to invalidate our patent claims that would not have been invalidated if first challenged by the third party in a district court action. Even if such rights are not directly challenged, disputes could lead to the weakening of our or our licensors’ intellectual property rights. Our defense against any attempt by third parties to circumvent or invalidate our intellectual property rights could be costly to us, could require significant time and attention of our management, and could have a material and adverse impact on our profitability, financial condition and prospects or ability to successfully compete.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or our licensors may find it necessary to pursue claims or to initiate lawsuits to protect or enforce our owned or in-licensed patent or other intellectual property rights. The cost to us in defending or initiating any litigation or other proceeding relating to our owned or in-licensed patent or other intellectual property rights, even if resolved in our favor, could be substantial, particularly in a foreign jurisdiction, and any litigation or other proceeding would divert our management’s attention. Such litigation or proceedings could materially increase our operating losses and reduce the resources available for development activities or any future sales, marketing or distribution activities. Some of our competitors may be able to more effectively sustain the costs of complex patent litigation because they have substantially greater resources. Uncertainties resulting from the initiation and continuation of patent litigation or other proceedings could delay our research and development efforts and materially limit our ability to continue our operations.</w:t>
      </w:r>
    </w:p>
    <w:p>
      <w:pPr>
        <w:spacing w:after="0" w:line="19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If we or our licensors were to initiate legal proceedings against a third party to enforce a patent covering one of our product candidates or our technology,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for example, claiming patent-ineligible subject matter, lack of novelty, indefiniteness, lack of written description, non-enablement, anticipation or obviousness. Grounds for an unenforceability assertion could be an allegation that someone connected with prosecution of the patent withheld relevant information from the USPTO or made a misleading statement during prosecution. The outcome of such invalidity and unenforceability claims is unpredictable. With respect to the validity question, for example, we cannot be certain that there is no invalidating prior art of which we or our licensors and the patent examiner were unaware during prosecution. If a defendant were to prevail on a legal assertion of invalidity or unenforceability, we could lose at least part, and perhaps all, of the patent protection for one or more of our product candidates or certain aspects of our platform technologies. Such a loss of patent protection could have a material adverse effect on our business, financial condition, results of operations and prospects. Patents and other intellectual property rights also will not protect our product candidates and technologies if competitors or third parties design around such product candidates and technologies without legally infringing, misappropriating or violating our owned or in-licensed patents or other intellectual property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ind w:left="120" w:right="220"/>
        <w:spacing w:after="0" w:line="272" w:lineRule="auto"/>
        <w:rPr>
          <w:sz w:val="20"/>
          <w:szCs w:val="20"/>
          <w:color w:val="auto"/>
        </w:rPr>
      </w:pPr>
      <w:r>
        <w:rPr>
          <w:rFonts w:ascii="Times New Roman" w:cs="Times New Roman" w:eastAsia="Times New Roman" w:hAnsi="Times New Roman"/>
          <w:sz w:val="17"/>
          <w:szCs w:val="17"/>
          <w:color w:val="auto"/>
        </w:rPr>
        <w:t>Filing, prosecuting and defending patents on current or future technologies or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or other third parties may use our technologies in jurisdictions where we have not obtained patent protection to develop their own products and, further, may export infringing product candidates to territories where we have patent protection or licenses, but enforcement is not as strong as that in the United States. These product candidates may compete with our products, and our patents or other intellectual property rights may not be effective or sufficient to prevent them from competing.</w:t>
      </w:r>
    </w:p>
    <w:p>
      <w:pPr>
        <w:spacing w:after="0" w:line="17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Many companies have encountered significant difficulties in protecting and defending such rights in such jurisdictions. The legal systems of certain countries, including certain developing countries, do not favor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enforcement of patents and other intellectual property protection, particularly those relating to biotechnology, which could make it difficult for us to stop the infringement of any owned and in-licensed patents we may obtain in other countries, or the marketing of competing products in violation of our intellectual property and proprietary rights generally. Proceedings to enforce our owned or in-licensed intellectual property and proprietary rights in foreign jurisdictions could result in substantial costs and could divert our efforts and attention from other aspects of our business. Such proceedings could also put any owned or in-licensed patents at risk of being invalidated or interpreted narrowly, could put our owned or in-licensed patent applications at risk of not issuing, and could provoke third parties to assert claims against us or our licensors. We or our licensors may not prevail in any lawsuits or other adversarial proceedings that we or our licensors initiate, and the damages or other remedies awarded, if any, may not be commercially meaningful. Accordingly, our and our licensors’ efforts to enforce such intellectual property and proprietary rights around the world may be inadequate to obtain a significant commercial advantage from the intellectual property that we develop or in-license.</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its patents. If we or any of our licensors are forced to grant a license to third parties with respect to any patents relevant to our business, our competitive position in the relevant jurisdiction may be impaired and our business prospects may be materially adversely affected.</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violating their intellectual property rights, the outcome of which would be uncertain and could have a material adverse impact on the success of our business.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upon our ability or the ability of our potential future collaborators to develop, manufacture, market and sell our current or any future product candidates and to use our proprietary technologies without infringing, misappropriating or violating the proprietary and intellectual property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U.S. courts, foreign patent offices or foreign courts. As the field of gene and cell therapies advances, patent applications are being processed by national patent offices around the world. There is uncertainty about which patents will issue, and, if they do, there is uncertainty as to when, to whom, and with what claims. Any claims of patent infringement asserted by third parties would be time consuming and could:</w:t>
      </w:r>
    </w:p>
    <w:p>
      <w:pPr>
        <w:spacing w:after="0" w:line="9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not infringed in a court of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or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Because patent applications can take many years to issue, there may also be currently pending patent applications that may later result in issued patents that our technology or product candidates may infringe. Further, we cannot guarantee that we are aware of all patents and patent applications potentially relevant to our technology or products. We may not be aware of potentially relevant third-party patents or applications for several reasons. For example, U.S. applications filed before November 29, 2000, and certain U.S. applications filed after that date that will not be filed outside the U.S. remain confidential until a patent issues. Patent applications filed in the United States (after November 29, 2000) and elsewhere are published approximately 18 months after the earliest filing for which priority is claimed, with such earliest filing date being commonly referred to as the priority date. Therefore, patent applications covering our product candidates or platform technologies could have been filed by others without our knowledge. Any such patent application may have priority over our patent applications or patents, which could require us to obtain rights to issued patents covering such technologies. Additionally, claims pending in patent applications that have been published can, subject to certain limitations, be later amended in a manner that could cover our platform, our product candidates or the use of our technologies.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Although no third party has asserted a claim of patent infringement against us as of the date of this prospectus, others may hold proprietary rights that could prevent our product candidates from being marketed. We or our licensors, or any future strategic collaborator, may be party to, or be threatened with, adversarial proceedings or litigation regarding intellectual property rights with respect to our current or any potential future product candidates and technologies, including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before the USPTO and similar proceedings in jurisdictions outside of the United States such as opposition proceedings. In some instances, we may be required to indemnify our licensors for the costs associated with any such adversarial proceedings or litigation. Third parties may assert infringement claims against us, our licensors or our strategic collaborators based on existing patents or patents that may be granted in the future, regardless of their merit. There is a risk that third parties may choose to engage in litigation or other adversarial proceedings with us, our licensors or our strategic collaborators to enforce or otherwise assert their patent rights. Even if we believe such claims are without merit, a court of competent jurisdiction could hold that these third-party patents are not invalid, enforceable and infringed, which could have a material adverse impact on our ability to utilize our platform technologies or to commercialize our current or any future product candidates. In order to successfully challenge the validity of any such U.S. patent in federal court, we would need to overcome a presumption of validity by presenting clear and convincing evidence of invalidity. There is no assurance that a court of competent jurisdiction, even if presented with evidence we believe to be clear and convincing, would invalidate the claims of any such U.S. patent.</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we cannot guarantee that we will be able to successfully settle or otherwise resolve such adversarial proceedings or litigation. If we are unable to successfully settle future claims on terms acceptable to us, we may be required to engage in or to continue costly, unpredictable and time-consuming litigation and may be prevented from or experience substantial delays in marketing our product candidates. If we, or our licensors, or any future strategic collaborators are found to infringe, misappropriate or violate a third-party patent or other intellectual property rights, we could be required to pay damages, including treble damages and attorney’s fees, if we are found to have willfully infringed. In addition, we, or our licensors, or any future strategic collaborators may choose to seek, or be required to seek, a license from a third party, which may not be available on commercially reasonable terms, if at all. Even if a license can be obtained on commercially reasonable terms, the rights may be non-exclusive, which could give our competitors access to the same technology or intellectual property rights licensed to us, and we could be required to make substantial licensing and royalty payments. Parties making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claims against us may obtain injunctive or other equitable relief, which could effectively block our ability to further develop and commercialize our current or future product candidates. We could be forced, including by court order, to cease utilizing, developing, manufacturing and commercializing our platform technologies or product candidates deemed to be infringing. We may be forced to redesign current or future technologies or products. Defense of these claims, regardless of their merit, would involve substantial litigation expense and would be a substantial diversion of employee resources from our business. Any of the foregoing could have a material adverse effect on our ability to generate revenue or achieve profitability and possibly prevent us from generating revenue sufficient to sustain our operations.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Thus, it is possible that one or more third parties will hold patent rights to which we will need a license, which may not be available on reasonable terms or at all. If such third parties refuse to grant us a license to such patent rights on reasonable terms or at all, we may be required to expend significant time and resources to redesign our technology, product candidates or the methods for manufacturing our product candidates, or to develop or license replacement technology, all of which may not be commercially or technically feasible. In such case, we may not be able to market such technology or product candidates and may not be able to perform research and development or other activities covered by these patents. This could have a material adverse effect on our ability to commercialize our product candidates and our business and financial condition.</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Lastly, if our technology or products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Senti Common Shares to decline.</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Senti Common Shares may decline. Such announcements could also harm our reputation or the market for our future products, which could have a material adverse effect on our business.</w:t>
      </w:r>
    </w:p>
    <w:p>
      <w:pPr>
        <w:spacing w:after="0" w:line="287"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current or future technologies or product candidates, and we might be required to litigate or obtain licenses from third parties to develop or market our current or future technologies or product candidates, which may not be available on commercially reasonable terms or at all.</w:t>
      </w:r>
    </w:p>
    <w:p>
      <w:pPr>
        <w:spacing w:after="0" w:line="6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Because the gene and cell therapy landscape is still evolving, it is difficult to conclusively assess our freedom to operate without infringing, misappropriating or violating third-party rights.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w:t>
      </w:r>
    </w:p>
    <w:p>
      <w:pPr>
        <w:spacing w:after="0" w:line="187"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There are numerous companies that have pending patent applications and issued patents broadly covering gene and cell therapy generally or covering related inventions that may be relevant for product candidates that we wish to develop. We are aware of third-party patents and patent applications that claim aspects of our current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potential future product candidates and modifications that we may need to apply to our current or potential future product candidates. There are also many issued patents that claim inventions that may be relevant to products we wish to develop. The holders of such patents may be able to block our ability to develop and commercialize the applicable product candidate unless we obtain a license or until such patent expires. In either case, such a license may not be available on commercially reasonable terms or at all, or it may be non-exclusive, which could result in our competitors gaining access to the same intellectual property.</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competitive position may materially suffer if patents issued to third parties or other third-party intellectual property rights cover our current or future technologies, product candidates or elements thereof or our manufacture or uses relevant to our development plans. In such cases, we may not be in a position to develop or commercialize current or future technologies or product candidates unless we successfully pursue litigation to narrow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current or future technologies or product candidates. There also may be pending patent applications of which we are not aware that may result in issued patents, which could be alleged to be infringed by our current or future technologies or product candidates. If such an infringement claim should successfully be brought, we may be required to pay substantial damages or be forced to abandon our current or future technologies or product candidates or to seek a license from any patent holders. No assurances can be given that a license will be available on commercially reasonable terms, if at all.</w:t>
      </w:r>
    </w:p>
    <w:p>
      <w:pPr>
        <w:spacing w:after="0" w:line="19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Third-party intellectual property right holders may also actively bring infringement, misappropriation, or other claims alleging violations of intellectual property rights against us. We cannot guarantee that we will be able to successfully settle or otherwise resolve such claims. If we are unable to successfully settle future claims on terms acceptable to us, we may be required to engage in or to continue costly, unpredictable and time-consuming litigation and may be prevented from or experience substantial delays in marketing our product candidates. If we fail in any such dispute, in addition to being forced to pay damages, we may be temporarily or permanently prohibited from commercializing any of our current or future technologies or product candidates that are held to be infringing, misappropriating or otherwise violating third-party intellectual property rights. We might, if possible, also be forced to redesign current or future technologies or product candidates so that we no longer infringe, misappropriate or violate the third-party intellectual property rights. Any of these events, even if we were ultimately to prevail, could require us to divert substantial financial and management resources that we would otherwise be able to devote to our business, which could have a material adverse effect on our financial condition and results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current or future technologies and product candidates, we rely on trade secrets, including confidential and unpatented know-how, technology and other proprietary information, to maintain our competitive position and to protect aspects of our business that are not amenable to, or that we do not consider appropriate for, patent protection.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Our trade secrets include, for example, certain program specific synthesis, formulations, patient selection strategies and certain aspects of our research.</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Trade secrets and know-how can be difficult to protect. We seek to protect trade secrets and confidential and unpatented know-how, in part, by entering into non-disclosure and confidentiality agreements with parties who have access to such knowledge,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which they are obligated to maintain confidentiality and to assign their inventions to us. However, we cannot be certain that such agreements have been entered into with all relevant parties, and we cannot be certain that our trade secrets and other confidential proprietary information will not be disclosed or that competitors will not otherwise gain access (such as through a cybersecurity breach) to our trade secrets or independently develop substantially equivalent information and techniques. Moreover, individuals with whom we have such agreements may not comply with their terms. Any of these parties may breach such agreements and disclose our proprietary information, including our trade secrets, and we may not be able to obtain adequate remedies for any such breaches. In addition, we take other appropriate precautions, such as physical and technological security measures, to guard against misappropriation of our proprietary technology by third parties.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also become involved in inventorship disputes relating to inventions and patents developed by our employees or consultants under such agreements. Enforcing a claim that a party illegally disclosed or misappropriated a trade secret, or securing title to an employee- or consultant-developed invention if a dispute arises, is difficult, expensive and time-consuming, and the outcome is unpredictable. In addition, some courts in the United States and certain foreign jurisdictions disfavor or are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we would have no right to prevent that competitor from using the technology or information to compete with us. If, in the future, any of our trade secrets were to be disclosed to or independently developed by a competitor, our competitive position would be materially and adversely harmed.</w:t>
      </w:r>
    </w:p>
    <w:p>
      <w:pPr>
        <w:spacing w:after="0" w:line="292"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or other proprietary information of third parties, including our employees’ or consultants’ former employers or their clients.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are party to various contracts under which we are obligated to maintain the confidentiality of trade secrets or other confidential and proprietary information of third parties, including our licensors and strategic partners. In addition, many of our employees or consultants and our licensors’ employees or consultants were previously employed at universities or biotechnology or biopharmaceutical companies, including our competitors or potential competitors. We may be subject to claims that one or more of these employees or consultants or we have inadvertently or otherwise used or disclosed trade secrets or other proprietary information of third parties, including former employers of our employees and consultants. Litigation or arbitration may be necessary to defend against these claims. If we fail in defending such claims, in addition to paying monetary damages, we may lose valuable intellectual property rights or personnel or may be enjoined from using such intellectual property. Any such proceedings and possible aftermath would likely divert significant resources from our core business, including distracting our technical and management personnel from their normal responsibilities. A loss of key research personnel or their work product could limit our ability to commercialize, or prevent us from commercializing, our current or future technologies or product candidates, which could materially harm our business. Even if we are successful in defending against any such claims, litigation or arbitration could result in substantial costs and could be a distraction to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as an inventor or co-inventor, or in our trade secrets or other intellectual property as a contributor to its development.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co-ownership of potential joint inventions.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Alternatively, or additionally, we may enter into agreements to clarify the scope of our rights in such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Also, 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1"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or applications will be due to be paid to the USPTO and various government patent agencies outside of the United States over the lifetime of our owned and in-licensed patents or applications and any patent rights we may own or in-license in the future. The USPTO and various non-U.S. patent offices require compliance with several procedural, documentary, fee payment and other similar provisions during the patent application process. We employ reputable law firms and other professionals to help us comply with these requirements, and we are also dependent on our licensors to take the necessary action to comply with these requirements with respect to our in-licensed intellectual property. In many cases, an inadvertent lapse, including due to the effect of the COVID-19 on us, our patent counsel or other applicable patent maintenance vendors,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 candidates or platforms, which could have a material adverse effect on our business prospects and financial condition.</w:t>
      </w:r>
    </w:p>
    <w:p>
      <w:pPr>
        <w:spacing w:after="0" w:line="29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declared generic or determined to be infringing on other marks. We may not be able to protect our rights to these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trademarks and trade names or may be forced to stop using these names, which we use for name recognition by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materially adversely affected.</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67" w:lineRule="exact"/>
        <w:rPr>
          <w:sz w:val="20"/>
          <w:szCs w:val="20"/>
          <w:color w:val="auto"/>
        </w:rPr>
      </w:pPr>
    </w:p>
    <w:p>
      <w:pPr>
        <w:ind w:left="1080" w:right="5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create gene circuit technologies that are similar to our technologies or our product candidates, but that are not covered by the claims of any patents that we own, license or control;</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strategic collaborators might not have been the first to make the inventions covered by the issued patents or pending patent applications that we own, license or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owned and in-licensed inventions;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the same, similar, or alternative technologies without infringing, misappropriating or violating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in-license, or control may not provide us with any competitive advantages, or may be narrowed or held invalid or unenforceable, including as a result of legal challenges;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trade secrets or know-how;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impact on our business, financial condition, results of operations and prospects.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includes a lengthy and expensive process with an uncertain outcome, and results of earlier studies and trials may not be predictive of future trial results.</w:t>
      </w:r>
    </w:p>
    <w:p>
      <w:pPr>
        <w:spacing w:after="0" w:line="5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All of our current product candidates are in preclinical development and their risk of failure is high. It is impossible to predict when or if our candidates or any potential future product candidates will prove effective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8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humans or will receive regulatory approval. Before obtaining marketing approval from regulatory authorities for the sale of any product candidate, we must complete preclinical studies for our current product candidates and then conduct extensive clinical trials to demonstrate the safety, purity and potency, or efficacy of that product candidate in humans. Clinical testing is expensive and can take many years to complete, and its outcome is inherently uncertain. Failure can occur at any time during the development process. The results of preclinical studies and clinical trials of any of our current or potential future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safety profiles, notwithstanding promising results in earlier trials.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currently conducting IND-enabling studies for our current product candidates. We may experience delays in completing our preclinical studies and initiating or completing our clinical studies. We do not know whether planned preclinical studies and clinical trials will be completed on schedule or at all, or whether planned clinical trials will begin on time, need to be redesigned, enroll patients on time or be completed on schedule, if at all. Our development programs may be delayed for a variety of reasons, including delays related to:</w:t>
      </w:r>
    </w:p>
    <w:p>
      <w:pPr>
        <w:spacing w:after="0" w:line="85" w:lineRule="exact"/>
        <w:rPr>
          <w:sz w:val="20"/>
          <w:szCs w:val="20"/>
          <w:color w:val="auto"/>
        </w:rPr>
      </w:pPr>
    </w:p>
    <w:p>
      <w:pPr>
        <w:ind w:left="1080" w:right="4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placing the clinical trial on hold;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 for which we are developing or other product candidates, or participating in competing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for use in clinical trials.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Furthermore, we expect to rely on our CROs and clinical trial sites to ensure the proper and timely conduct of our clinical trials and, while we expect to enter into agreements governing their committed activities, we have limited influence over their actual performance.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could encounter delays if prescribing physicians encounter unresolved ethical issues associated with enrolling patients in clinical trials of our current or potential future product candidates in lieu of prescribing existing treatments that have established safety and efficacy profiles. Further, a clinical trial may be suspended or terminated by us, our collaborators, the IRBs of the institutions in which such trials are being conducted, the Data Safety Monitoring Board for such trial or by the FDA or other regulatory authorities due to a number of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any of our current or potential future product candidates, the commercial prospects of such product candidate will be harmed, and our ability to generate product revenue from such product candidates will be delayed. In addition, any delays in completing our clinical trials will increase our costs, slow our product development and approval process and jeopardize our ability to commence product sales and generate revenue. Any of these occurrences may have a material adverse effect on our business, financial condition, results of operations and prospects. In addition, many of the factors that cause, or lead to, a delay in the commencement or completion of clinical trials may also ultimately lead to the denial of regulatory approval of our current or potential future product candidates.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be unable to commercialize our current or potential future product candidates.</w:t>
      </w:r>
    </w:p>
    <w:p>
      <w:pPr>
        <w:spacing w:after="0" w:line="5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current and any potential future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time-consuming, uncertain and subject to unanticipated delays. It is possible that none of the product candidates we may develop will obtain the regulatory approvals necessary for us or our potential future collaborators to begin selling them.</w:t>
      </w:r>
    </w:p>
    <w:p>
      <w:pPr>
        <w:spacing w:after="0" w:line="189"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We have very limited experience in conducting and managing the clinical trials necessary to obtain regulatory approvals, including approval by the FDA and other regulatory authorities.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regulatory policy during the period of product development, clinical trials and FDA regulatory review in the United States and other jurisdictions. It is impossible to predict whether legislative changes will be enacted, or whether FDA or foreign regulations, guidance or interpretations will be changed, or what the impact of such changes, if any, may be.</w:t>
      </w:r>
    </w:p>
    <w:p>
      <w:pPr>
        <w:spacing w:after="0" w:line="17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adverse effect on our ability to generate revenue from the particular product candidate for which we are seeking approval. Further, we and our potential future collaborators may never receive approval to market and commercialize any product candidate.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Even if we or a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Once a product obtains regulatory approval, numerous post 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cGMP.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position, results of operations and future growth prospects will be negatively impacted and we or our partners may be subject to sanctions. If any of our product candidates prove to be ineffective, unsafe or commercially unviable, we may have to re-engineer our current or potential future product candidates, and our entire pipeline could have little, if any, value, which could require us to change our focus and approach to product candidate discovery and therapeutic development, which would have a material adverse effect on our business, financial condition, results of operations and prospects.</w:t>
      </w:r>
    </w:p>
    <w:p>
      <w:pPr>
        <w:spacing w:after="0" w:line="19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also be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the United States as well as the European Union and other foreign jurisdictions. In order to market and sell our products in other jurisdictions, we must obtain separate marketing approvals and comply with numerous and varying regulatory requirements.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in the future choose to conduct one or more of our clinical trials for our product candidates outside the United States. Although the FDA may accept data from clinical trials conducted outside the United States, acceptance of this data is subject to certain conditions imposed by the FDA. In cases where data from foreign clinical trials are intended to serve as the basis for marketing approval in the United States, the FDA will not approve the application on the basis of foreign data alone unless (i) those data are applicable to the U.S. population and U.S. medical practice; (ii) the studies were performed by clinical investigators of recognized competence; and (iii)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requires the clinical trial to have been conducted in accordance with GCPs, and the FDA must be able to validate the data from the clinical trial through an on-site inspection if it deems such inspection necessary. For such studies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329"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potential future product candidates, we will be subject to ongoing regulatory obligations and continued regulatory review, which may result in significant additional expense. Additionally, our current or potential future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or potential future collaborators obtain for any of our current or potential future product candidates will be subject to limitations on the approved indicated uses for which a product may be marketed or may be subject to the conditions of approval, or contain requirements for potentially costly post-marketing testing, and surveillance to monitor the safety and efficacy of such product candidate. In addition, if the FDA or any other regulatory authority approves any of our current or potential future product candidates,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manufacturing processes, labeling, packaging, distribution, adverse event reporting, storage, import, export, advertising, promotion and recordkeeping for such product will be subject to extensive and ongoing regulatory requirements. These requirements include submissions of safety and other post-marketing information and reports, registration, as well as continued compliance with cGMP and good clinical practices for any clinical trials that we conduct post-approval. In addition, manufacturers and manufacturers’ facilities are required to comply with extensive FDA and comparable foreign regulatory authority requirements, including ensuring that quality control and manufacturing procedures conform to cGMP and cGTP regulations and applicable product tracking and tracing requirements.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67" w:lineRule="exact"/>
        <w:rPr>
          <w:sz w:val="20"/>
          <w:szCs w:val="20"/>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candidate, withdrawal of the product candidate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letters or holds on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 monetary fines.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FDA has the authority to require a risk evaluation and mitigation strategy (“REMS”) as part of a biologics license application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 treated patients to enroll in a registry.</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Furthermore, the FDA strictly regulates marketing, labeling, advertising and promotion of products that are placed on the market. Products may be promoted only for the approved indications and in accordance with the provisions of the approved label. While physicians may prescribe, in their independent professional medical judgment, products for off-label uses as the FDA does not regulate the behavior of physicians in their choice of drug treatments, the FDA does restrict a manufacturer’s communications on the subject of off-label use of their products. Companies may only share truthful and not misleading information that is otherwise consistent with a product’s FDA approved labeling. The FDA and other authorities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The federal government has levied large civil and criminal fines against companies for alleged improper promotion of off-label use and has enjoined companies from engaging in off-label promotion. The FDA and other regulatory authorities have also required that companies enter into consent decrees or permanent injunctions under which specified promotional conduct is changed or curtailed.</w:t>
      </w:r>
    </w:p>
    <w:p>
      <w:pPr>
        <w:spacing w:after="0" w:line="19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Occurrence of any of the foregoing could have a material adverse effect on our business and results of operations. The FDA’s and other regulatory authorities’ policies may change, and additional government regulations may be enacted that could prevent, limit or delay regulatory approval of our product candidates. We cannot predict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The BPCIA could have a material adverse effect on the future commercial prospects for our biological products.</w:t>
      </w:r>
    </w:p>
    <w:p>
      <w:pPr>
        <w:spacing w:after="0" w:line="19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believe that any of our future product candidates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(the “ACA”) was enacted, which substantially changed the way healthcare is financed by both governmental and private insurers, and significantly impacted the U.S. pharmaceutical industry. Among the provisions of the ACA, of greatest importance to the pharmaceutical and biotechnology industry are the following:</w:t>
      </w:r>
    </w:p>
    <w:p>
      <w:pPr>
        <w:spacing w:after="0" w:line="85" w:lineRule="exact"/>
        <w:rPr>
          <w:sz w:val="20"/>
          <w:szCs w:val="20"/>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certain drugs and biologics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(and 70% as of January 1, 2019)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program;</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Innovation at the Centers for Medicare &amp; Medicaid Services (“CMS”) to test innovative payment and service delivery models to lower Medicare and Medicaid spending;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federal physician payment transparency requirements, sometimes referred to as the “Physician Payments Sunshine Act.”</w:t>
      </w:r>
    </w:p>
    <w:p>
      <w:pPr>
        <w:spacing w:after="0" w:line="16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94" w:lineRule="exact"/>
        <w:rPr>
          <w:sz w:val="20"/>
          <w:szCs w:val="20"/>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will remain in effect through 2030.</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2013,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8"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conditions, results of operation and prospects.</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Further, it is possible that additional governmental action is taken in response to the COVID-19 pandemic.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products. It is not clear how other future potential changes to the ACA will change the reimbursement model and market outlook for our current and future product candidates.</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or adverse publicity and could negatively affect our operating results and business.</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collect, receive, store, process, generate, use, transfer, disclose, make accessible, protect and share personal information, health information and other sensitive information to develop our products, to operate our business, for clinical trial purposes, for legal and marketing purposes, and for other business-related purposes.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and any potential future collaborators, partners or service providers may be subject to federal, state and foreign data protection laws, regulations and regulatory guidance, the number and scope of which is changing, subject to differing applications and interpretations, and which may be inconsistent among jurisdictions, or in conflict with other rules, laws or contractual obligations. In the United States, numerous federal and state laws and regulations, including federal health information privacy laws, such as the Health Insurance Portability and Accountability Act (“HIPAA”), state data breach notification laws, state health information privacy laws and federal and state consumer protection laws, that govern the collection, use, disclosure and protection of health-related and other personal information could apply to our operations or the operations of any future potential collaborators or service providers.</w:t>
      </w:r>
    </w:p>
    <w:p>
      <w:pPr>
        <w:spacing w:after="0" w:line="18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addition, we may obtain health information from third parties (including research institutions from which we obtain clinical trial data) that are subject to privacy and security requirements under HIPAA, or other privacy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data security laws. Depending on the facts and circumstances, we could be subject to civil or criminal penalties if we obtain, use, or disclose individually identifiable health information maintained by a HIPAA-covered entity in a manner that is not authorized or permitted by HIPAA, or if we otherwise violate applicable privacy and data security laws.</w:t>
      </w:r>
    </w:p>
    <w:p>
      <w:pPr>
        <w:spacing w:after="0" w:line="176"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International data protection laws, including the EU’s General Data Protection Regulation (“GDPR”), may also apply to health-related and other personal information obtained outside of the United States. The GDPR went into effect on May 25, 2018, and imposes stringent data protection requirements for processing of personal data of individuals within the European Economic Area (“EEA”) as well as potential fines for noncompliant companies of up to the greater of €20 million or 4% of annual global revenue. The GDPR imposes numerous requirements for the collection, use and disclosure of personal data, including stringent requirements relating to consent and the information that must be shared with data subjects about how their personal information is used, the obligation to notify regulators and affected individuals of personal data breaches, extensive internal privacy governance obligations and obligations to honor expanded rights of individuals in relation to their personal information.</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the GDPR places restrictions on cross-border data transfers. A decision by the Court of Justice of the European Union (“CJEU”) in 2020 invalidated the EU-U.S. Privacy Shield Framework, which was one of the primary mechanisms used by U.S. companies to import personal information from Europe in compliance with the GDPR’s cross-border data transfer restrictions, and raised questions about whether the European Commission’s Standard Contractual Clauses, one of the primary alternatives to the Privacy Shield, can lawfully be used for personal information transfers from Europe to the United States or most other countries. Similarly, the Swiss Federal Data Protection and Information Commissioner has opined that the Swiss-U.S. Privacy Shield is inadequate for transfers of data from Switzerland to the U.S. Furthermore, on June 4, 2021, the European Commission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9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GDPR has increased our responsibilities and potential liability in relation to personal data processed subject to the GDPR, and we may be required to put in place additional mechanisms to ensure compliance with the GDPR, including as implemented by individual countries. Companies now have to comply with the GDPR and also the United Kingdom GDPR (“UK GDPR”), which, together with the amended UK Data Protection Act 2018, retains the GDPR in UK national law. The UK GDPR mirrors the fines under the GDPR, i.e., fines up to the greater of €20 million (£17.5 million) or 4% of global turnover. In addition, on June 28, 2021, the European Commission adopted an adequacy decision in respect of transfers of personal data to the UK for a four-year period (until June 27, 2025). Similarly, the UK has determined that it considers all of the EEA to be adequate for the purposes of data protection. This ensures that data flows between the UK and the EEA remain unaffected. Compliance with the GDPR and applicable laws and regulations relating to privacy and data protection of EEA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Member States and the UK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In addition, any failure by us (or our business partners who handle personal data) to comply with GDPR and applicable laws and regulations relating to privacy and data protection of EEA member states and the UK may result in regulators prohibiting our processing of the personal data of EEA data subjects, which could impact our operations and ability to develop our products and provide our services, including interrupting or ending EEA clinical trials.</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states are constantly adopting new laws or amending existing laws, requiring attention to frequently changing regulatory requirements. For example, California enacted the California Consumer Privacy Act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and statutory damages, which is expected to increase data breach class action litigation and result in significant exposure to costly legal judgments and settlements. Although the law includes limited exceptions for health-related information, including clinical trial data, such exceptions may not apply to all of our operations and processing activities. As we expand our operations and trials (both preclinical and clinical), the CCPA may increase our compliance costs and potential liability. Some observers have noted that the CCPA could mark the beginning of a trend toward more stringent privacy legislation in the United States. In November 2020, California passed the California Privacy Rights Act (the “CPRA”) which amends and expands the CCPA.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CPRA has created additional uncertainty and may increase our cost of compliance. Other states are beginning to pass similar laws. In the event that we are subject to or affected by HIPAA, the GDPR, the CCPA, the CPRA or other domestic privacy and data protection laws, any liability from failure to comply with the requirements of these laws could adversely affect our financial condition.</w:t>
      </w:r>
    </w:p>
    <w:p>
      <w:pPr>
        <w:spacing w:after="0" w:line="19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Laws and regulations worldwide relating to privacy, data protection and cybersecurity are, and are likely to remain, uncertain for the foreseeable future. While we strive to comply with applicable laws and regulations relating to privacy, data protection and cybersecurity, external and internal privacy and security policies and contractual obligations relating to privacy, data protection and cybersecurity to the extent possible, we may at times fail to do so, or may be perceived to have failed to do so. Moreover, despite our efforts, we may not be successful in achieving compliance if our personnel, collaborators, partners or vendors do not comply with applicable laws and regulations relating to privacy, data protection and cybersecurity, external and internal privacy and security policies and contractual obligations relating to privacy, data protection and cybersecurity. Actual or perceived failure to comply with any laws and regulations relating to privacy, data protection or cybersecurity in the U.S. or foreign jurisdictions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or service providers obtain information, as well as the providers who share this information with us, may contractually limit our ability to use and disclose the information. Claims that we have violated individuals’ privacy rights, failed to comply with applicable laws or regulations, or breached our contractual obligations, even if we are not found liable, could be expensive and time consuming to defend, result in regulatory actions and proceedings, in addition to private claims and litigation, and could result in adverse publicity that could harm our business.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also are, or may be asserted to be, subject to the terms of our external and internal privacy and security policies, representations, certifications, publications and frameworks and contractual obligations to third parties related to privacy, data protection, information security and processing. Failure to comply or the perceived failure to comply with any of these, or if any of these policies or any of our representations, certifications, publications or frameworks are, in whole or part, found or perceived to be inaccurate, incomplete, deceptive, unfair or misrepresentative of our actual practices, could result in reputational harm, result in litigation, cause a material adverse impact to business operations or financial results and otherwise result in other material harm to our business.</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existing or potential future collaborators, manufacturers or service providers fail to comply with healthcare laws and regulations, we or they could be subject to enforcement actions, which could affect our ability to develop, market and sell our product candidates and may harm our reputation.</w:t>
      </w:r>
    </w:p>
    <w:p>
      <w:pPr>
        <w:spacing w:after="0" w:line="6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among others, will play a primary role in the prescription and recommendation of any product candidates for which we obtain marketing approval. Our current and future arrangements with third-party payors, providers and customers, among others,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 the United States and other countries, include the following:</w:t>
      </w:r>
    </w:p>
    <w:p>
      <w:pPr>
        <w:spacing w:after="0" w:line="89" w:lineRule="exact"/>
        <w:rPr>
          <w:sz w:val="20"/>
          <w:szCs w:val="20"/>
          <w:color w:val="auto"/>
        </w:rPr>
      </w:pPr>
    </w:p>
    <w:p>
      <w:pPr>
        <w:ind w:left="1080" w:right="4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provides for civil whistleblower or qui tam actions, and civil monetary penalties laws, that impose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referral made in violation of the federal Anti-Kickback Statute constitutes a false or fraudulent claim for purposes of the False Claims Act;</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including the Final Omnibus Rule published in January 2013, which impose obligations on certain covered entity healthcare providers, health plans and healthcare clearinghouses as well as their business associates and their subcontractors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340"/>
        <w:spacing w:after="0" w:line="266" w:lineRule="auto"/>
        <w:rPr>
          <w:sz w:val="20"/>
          <w:szCs w:val="20"/>
          <w:color w:val="auto"/>
        </w:rPr>
      </w:pPr>
      <w:r>
        <w:rPr>
          <w:rFonts w:ascii="Times New Roman" w:cs="Times New Roman" w:eastAsia="Times New Roman" w:hAnsi="Times New Roman"/>
          <w:sz w:val="18"/>
          <w:szCs w:val="18"/>
          <w:color w:val="auto"/>
        </w:rPr>
        <w:t>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1" w:lineRule="exact"/>
        <w:rPr>
          <w:sz w:val="20"/>
          <w:szCs w:val="20"/>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73" w:lineRule="auto"/>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transparency requirements, sometimes referred to as the “Sunshine Act” under the Affordable Care Act, require certain manufacturers of drugs, devices, biologics and medical supplies that are reimbursable under Medicare, Medicaid, or the Children’s Health Insurance Program to report to the CMS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extend to include payments and transfers of value, made during the previous year to certain non-physician providers, including physician assistants, nurse practitioners, clinical nurse specialists, certified registered nurse anesthetists, anesthesiologist assistants and certified nurse midwives; and</w:t>
      </w:r>
    </w:p>
    <w:p>
      <w:pPr>
        <w:spacing w:after="0" w:line="76" w:lineRule="exact"/>
        <w:rPr>
          <w:rFonts w:ascii="Times New Roman" w:cs="Times New Roman" w:eastAsia="Times New Roman" w:hAnsi="Times New Roman"/>
          <w:sz w:val="17"/>
          <w:szCs w:val="17"/>
          <w:color w:val="auto"/>
        </w:rPr>
      </w:pPr>
    </w:p>
    <w:p>
      <w:pPr>
        <w:ind w:left="1080" w:right="280" w:hanging="424"/>
        <w:spacing w:after="0" w:line="254"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local, state and foreign laws and regulations, such as state anti-kickback and false claims laws that may apply to healthcare items or services reimbursed by third party payors, including private insurers, local, state and foreign transparency laws that require manufacturers to report information related to payments and transfers of value to other healthcare providers and healthcare entities, marketing expenditures, or drug pricing, state laws that require pharmaceutical companies to register certain employees engaged in marketing activities in the location and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 agency guidance or case law involving applicable fraud and abuse or other healthcare laws and regulations. If our operations are found to be in violation of any such requirements, we may be subject to penalties, including criminal and significant civil monetary penalties, damages, fines, imprisonment, disgorgement, contractual damages, reputational harm, exclusion from participation in government healthcare programs, integrity obligations, injunctions, recall or seizure of products, total or partial suspension of production, denial or withdrawal of pre-marketing product approvals, private qui tam actions brought by individual whistleblowers in the name of the government, refusal to allow us to enter into supply contracts, including government contracts, additional reporting requirements and oversight if subject to a corporate integrity agreement or similar agreement to resolve allegations of non-compliance with these laws, and the curtailment or restructuring of our operations, any of which could adversely affect our ability to operate our business and our results of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Therefore, even if we are successful in defending against any such actions that may be brought against us, our business may be impaired. If any of the above occur, our ability to operate our business and our results of operations could be adversely affected. In addition, achieving and sustaining compliance with applicable laws and regulations may be costly to us in terms of money, time and resources.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left="120" w:right="680"/>
        <w:spacing w:after="0" w:line="261"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clinical results that are reported after a product is made commercially available, both in the United States and any foreign jurisdiction in which we seek regulatory approval. The FDA and other regulatory authorities have significant post- market authority, including the authority to require labeling changes based on new safety information and to require post-market studies or clinical trials to evaluate safety risks related to the use of a product or to require withdrawal of the product candidate from the market. The FDA and other regulatory authorities also have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authorities, including for continued compliance with cGMP and cGTP requirements. The discovery of any new or previously unknown problems with our third-party manufacturers, manufacturing processes or facilities may result in restrictions on the product candidate, manufacturer or facility, including withdrawal of the product candidate from the market. We intend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or other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Further, due to the COVID-19 pandemic, millions of individuals have lost/will be losing employer-based insurance coverage, which may adversely affect our ability to commercialize our products. It is unclear what effect, if any, the American Rescue Plan will have on the number of covered individuals.</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an agency within the U.S. Department of Health and Human Services.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third-party payors, such as government authorities, private health insurers and health maintenance organizations. Patients who are prescribed medications for the treatment of their conditions generally rely on third-party payors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future products, if any, unless coverage is provided and reimbursement is adequate to cover a significant portion of the cost. Obtaining coverage and adequate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reimbursement for our product candidates may be particularly difficult because of the higher prices often associated with drugs administered under the supervision of a physician. Similarly, because our product candidates are physician-administered, separate reimbursement for the product itself may or may not be available. Instead, the administering physician may or may not be reimbursed for providing the treatment or procedure in which our product is used.</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Cost-containment is a priority in the U.S. healthcare industry and elsewhere. As a result,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Third-party payors also may request additional clinical evidence beyond the data required to obtain marketing approval, requiring a company to conduct expensive pharmacoeconomic studies in order to demonstrate the medical necessity and cost-effectiveness of its product. Commercial third-party payors often rely upon Medicare coverage policy and payment limitations in setting their reimbursement rates, but also have their own methods and approval process apart from Medicare determinations. Therefore, coverage and reimbursement for pharmaceutical products in the U.S. can differ significantly from payor to payor. We cannot be sure that coverage and adequate reimbursement will be available for any product that we commercialize and, if reimbursement is available, that the level of reimbursement will be adequate.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Additionally, 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with respect to our operations and non-compliance with such laws can subject us to criminal or civil liability and harm our business.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 §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interact with officials and employees of government agencies and government-affiliated hospitals, universities and other organizations. In addition, we may engage third-party intermediaries to promote our clinical research activities abroad or to obtain necessary permits, licenses and other regulatory approvals. We can be held liable for the corrupt or other illegal activities of these third-party intermediaries, our employees, representatives, contractors, collaborators and agents, even if we do not explicitly authorize or have actual knowledge of such activities.</w:t>
      </w:r>
    </w:p>
    <w:p>
      <w:pPr>
        <w:spacing w:after="0" w:line="188"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We adopted a Code of Business Conduct and Ethics and we expect to prepare and implement policies and procedures to ensure compliance with such code. The Code of Business Conduct and Ethics mandates compliance with the FCPA and other anti-corruption laws applicable to our business throughout the world. However, we cannot assure you that our employees and third-party intermediaries will comply with this code or such anti-corruption laws. Noncompliance with anti-corruption and anti-money laundering laws could subject 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to whistleblower complaints, investigations, sanctions, settlements, prosecution,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Senti and the Senti 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Senti stock price may be volatile.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Senti stock price is likely to be volatile. The market price for Senti Common Shares may be influenced by many factors, including the other risks described in this section of the 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following:</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current or potential future product candidates into the clinic;</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for our current or potential future product candidates, or those of our competitors or potential future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construct and operate our planned cGMP and cGTP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collaborators, or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future products, clinical trials,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any sources of manufacturing supply and future commercialization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sentiment involving companies that have recently completed a business combination with a special purpose acquisition company (“SPAC”);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alliances, joint ventures or capital commitments;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it is raised;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Senti Common Shares, other comparable companies or the industry generally;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Senti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Senti Common Shares by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Senti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crises and other calamities;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SPAC post-business combination businesses, pharmaceutical, biopharmaceutical and biotechnology stocks in particular, have experienced extreme volatility, including since the public announcement of the Business Combination Agreement in December 2021. This volatility can often be unrelated to the operating performance of the underlying business. These broad market and industry factors may seriously harm the market price of Senti Common Shares, regardless of our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the expected stock volatility.</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development efforts for our platform and product candidates, the development efforts of future collaborators or competitors, the addition or departure of key personnel, variations in quarterly operating results and changes in market valuations of biopharmaceutical and biotechnology companies. This risk is especially relevant to us because biopharmaceutical and biotechnology companies have experienced significant stock price volatility in recent years, including since the public announcement of the Business Combination Agreement in December 2021. In addition, recently there has been significant stock price volatility involving the shares of companies that have recently completed a business combination with a SPAC. When the market price of a stock has been volatile as our stock price may be, holders of that stock have occasionally brought securities class action litigation against the company that issued the stock. Additionally, there has recently been a general increase in litigation against companies that have recently completed a business combination with a SPAC alleging fraud and other claims based on inaccurate or misleading disclosures. If any of our stockholders were to bring a lawsuit of this type against us, even if the lawsuit is without merit, we could incur substantial costs defending the lawsuit. The lawsuit could also divert the time and attention of management.</w:t>
      </w:r>
    </w:p>
    <w:p>
      <w:pPr>
        <w:spacing w:after="0" w:line="296"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it cannot be certain if the reduced disclosure requirements applicable to emerging growth companies will make the Senti Common Shares less attractive to investors and may make it more difficult to compare performance with other public companies.</w:t>
      </w:r>
    </w:p>
    <w:p>
      <w:pPr>
        <w:spacing w:after="0" w:line="28"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periodic reports and proxy statements, and exemptions from the requirements of holding a nonbinding advisory vote on executive compensation and stockholder approval of any golden parachute payments not previously approved. Investors may find the Senti Common Shares less attractive because we will continue to rely on these exemptions. If some investors find the Senti Common Shares less attractive as a result, there may be a less active trading market for their common stock, and the stock price may be more volatile.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 emerging growth company may elect to delay the adoption of new or revised accounting standards. With DYNS making this election, Section 102(b)</w:t>
      </w:r>
    </w:p>
    <w:p>
      <w:pPr>
        <w:spacing w:after="0" w:line="39" w:lineRule="exact"/>
        <w:rPr>
          <w:sz w:val="20"/>
          <w:szCs w:val="20"/>
          <w:color w:val="auto"/>
        </w:rPr>
      </w:pPr>
    </w:p>
    <w:p>
      <w:pPr>
        <w:ind w:left="120" w:right="80" w:hanging="4"/>
        <w:spacing w:after="0" w:line="255" w:lineRule="auto"/>
        <w:tabs>
          <w:tab w:leader="none" w:pos="3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JOBS Act allows us to delay adoption of new or revised accounting standards until those standards apply to non-public business entities. As a result, the financial statements contained in this prospectus and those that we will file in the future may not be comparable to companies that comply with public business entities revised accounting standards effective dates.</w:t>
      </w:r>
    </w:p>
    <w:p>
      <w:pPr>
        <w:spacing w:after="0" w:line="29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common stock sell a significant portion of their securities, it may negatively impact the market price of the shares of our common stock and such holders still may receive significant proceeds.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the market price of our common stock is below $10.00 per share, which was the price per share of Class A Common Stock sold in the initial public offering of our predecessor, DYNS, the per share price of the 5,060,000 Senti Common Shares sold to certain investors in connection with our PIPE financing and also the per share value of the consideration issued to former stockholders of Senti Sub I, Inc. (formerly Senti Biosciences, Inc.) upon consummation of our Business Combination. However, certain of our stockholders who hold shares of our common stock that were (i) originally purchased by our predecessor’s sponsor, Dynamics Sponsor LLC, in a private placement prior to our predecessor’s initial public offering (the “Founder Shares”) or (ii) issued to the Anchor Investors in consideration for their agreement not to redeem their shares of Class A Common Stock of DYNS in connection with the Business Combination. In particular, 4,878,972 of the Founder Shares registered for resale in our prospectus dated August 8, 2022 filed pursuant to Rule 424(b)(3) (Registration No. 333-265873), as supplemented from time to time (the “Prior Resale Prospectus”), were purchased at an effective price of $0.004 per share, and 871,028 of the Senti Common Shares held by the Anchor Investors and registered for resale in the Prior Resale Prospectus were issued solely in consideration for the Anchor Investors’ agreement not to redeem their shares of Class A Common Stock as described above. Accordingly, holders of these 5,750,000 Senti Common Shares could sell their securities at a per share price that is less than $10.00 and still realize a significant return from the sale of those securities that could not be realized by our other stockholders. On September 7, 2022, the closing price of our common stock as reported on the Nasdaq Global Market was $1.96 per share. Based on this closing price, the aggregate sales price of the Founder Shares would be approximately $9.56 million and the aggregate sales price of the Senti Common Shares held by the Anchor Investors would be approximately $1.71 million.</w:t>
      </w:r>
    </w:p>
    <w:p>
      <w:pPr>
        <w:spacing w:after="0" w:line="30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could result in additional dilution of the percentage ownership of our stockholders and could cause our stock price to fall.</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Significant additional capital will be needed in the future to continue our planned operations, including further development of our gene circuit platform,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as determined from time to time. If we sell common stock, convertible securities or other equity securities, investors may be materially diluted by subsequent sales. Such sales may also result in material dilution to existing stockholders, and new investors could gain rights, preferences and privileges senior to the holders of Senti Common Shares.</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Incentive Plan, our board of directors or compensation committee is authorized to grant stock options to our employees, directors and consultants. Initially, the maximum aggregate number of Senti Common Shares that may be issued pursuant to stock awards under the Incentive Plan is 2,492,735 Senti Common Shares. Additionally, the number of Senti Common Shares reserved for issuance under the Incentive Plan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automatically increase on January 1 of each year, beginning on January 1, 2023 and continuing through and including January 1, 2032, by 5% of the total number of Senti Common Shares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 In addition, on August 5, 2022, our board of directors adopted the 2022 Inducement Plan, pursuant to which an aggregate of 2,000,000 Senti Common Shares have been reserved for issuance. Our issuance of additional shares of common stock or other equity securities of equal or senior rank would, all else being equal, have the following effects:</w:t>
      </w:r>
    </w:p>
    <w:p>
      <w:pPr>
        <w:spacing w:after="0" w:line="93"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would be diminished;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Senti Common Shares may decline.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Senti Common Shares.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currently expect that securities research analysts will establish and publish their own periodic financial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us downgrades our stock or publishes inaccurate or unfavorable research about our business, our stock price could decline. If one or more of these analysts ceases coverage of us or fails to publish reports on us regularly, our stock price or trading volume could decline. While we expect research analyst coverage, if no analysts commence coverage of us, the trading price and volume for Senti Common Shares could be adversely affected.</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rules and regulations will result in us incurring substantial legal and financial compliance costs and will make some activities more time-consuming and costly. For example, these rules and regulations will likely make it more difficult and more expensive for us to obtain director and officer liability insurance, and we may be required to accept reduced policy limits and coverage or incur substantially higher costs to obtain the same or similar coverage. As a result, it may be difficult for us to attract and retain qualified people to serve on our board of directors, our board committees or as executive officers.</w:t>
      </w:r>
    </w:p>
    <w:p>
      <w:pPr>
        <w:spacing w:after="0" w:line="287"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second amended and restated certificate of incorporation (“Charter”), our amended and restated bylaws (“Bylaws”) and Delaware law may have anti-takeover effects that could discourage an acquisition of us by others, even if an acquisition would be beneficial to our stockholders, and may prevent attempts by our stockholders to replace or remove our current management, which could depress the trading price of Senti Common Shares.</w:t>
      </w:r>
    </w:p>
    <w:p>
      <w:pPr>
        <w:spacing w:after="0" w:line="7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Our Charter,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Charter and Bylaws include provisions that:</w:t>
      </w:r>
    </w:p>
    <w:p>
      <w:pPr>
        <w:spacing w:after="0" w:line="81" w:lineRule="exact"/>
        <w:rPr>
          <w:sz w:val="20"/>
          <w:szCs w:val="20"/>
          <w:color w:val="auto"/>
        </w:rPr>
      </w:pPr>
    </w:p>
    <w:p>
      <w:pPr>
        <w:ind w:left="1080" w:right="2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make, alter, amend or repeal our Bylaws;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225"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Senti Common Shares.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Senti Common Shares, and could also affect the price that some investors are willing to pay for Senti Common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Court of Chancery of the State of Delaware as the exclusive forum for certain state law litigation that may be initiated by our stockholders and the U.S. federal district courts as the exclusive forum for certain securities law actions, which could limit our stockholders’ ability to litigate disputes with us in a different judicial forum and increase the costs for our stockholders to pursue certain claims against us.</w:t>
      </w:r>
    </w:p>
    <w:p>
      <w:pPr>
        <w:spacing w:after="0" w:line="4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General Corporation Law of the State of Delaware, our Charter or our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securities.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60"/>
          </w:cols>
          <w:pgMar w:left="320" w:top="482"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has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Our current operations are located in the San Francisco Bay Area. Any unplanned event, such as earthquake, flood, fire, explosion,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outbreak could further disrupt our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adverse effect on our business, financial condition, results of operations and prospects.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82"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or that we caused an employee to breach the terms of his or her non-competition or non-solicitation agreement.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financial condition and prospects. Even if we are successful in defending against such claims, litigation could result in substantial costs and be a distraction to management.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COMMITTED EQUITY FINANCING</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August 31, 2022, we entered into the Purchase Agreement with Chardan establishing the Facility. Pursuant to and upon the terms and subject to the conditions and limitations set forth in the Purchase Agreement, beginning on the date of this prospectus (the “Commencement Date”), we have the right from time to time at our option to direct Chardan to purchase up to $50.0 million of shares of our common stock. Sales of our common stock to Chardan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sales under the Facility will depend on the frequency with, and prices at, which the common stock are sold to Chardan. To the extent we sell shares under the Purchase Agreement, we currently plan to use any proceeds therefrom for working capital and other general corporate purposes. Pending other uses, we intend to invest the net proceeds to us in investment-grade, interest-bearing securities such as money market funds, certificates of deposit, or direct or guaranteed obligations of the U.S. government, or hold as cash. We cannot predict whether the net proceeds invested will yield a favorable return.</w:t>
      </w:r>
    </w:p>
    <w:p>
      <w:pPr>
        <w:spacing w:after="0" w:line="194" w:lineRule="exact"/>
        <w:rPr>
          <w:sz w:val="20"/>
          <w:szCs w:val="20"/>
          <w:color w:val="auto"/>
        </w:rPr>
      </w:pPr>
    </w:p>
    <w:p>
      <w:pPr>
        <w:ind w:left="120"/>
        <w:spacing w:after="0" w:line="242" w:lineRule="auto"/>
        <w:rPr>
          <w:sz w:val="20"/>
          <w:szCs w:val="20"/>
          <w:color w:val="auto"/>
        </w:rPr>
      </w:pPr>
      <w:r>
        <w:rPr>
          <w:rFonts w:ascii="Times New Roman" w:cs="Times New Roman" w:eastAsia="Times New Roman" w:hAnsi="Times New Roman"/>
          <w:sz w:val="18"/>
          <w:szCs w:val="18"/>
          <w:color w:val="auto"/>
        </w:rPr>
        <w:t>In accordance with our obligations under the Purchase Agreement, we have filed the registration statement of which this prospectus forms a part in order to register: (i) the 100,000 Commitment Shares that we issued to Chardan as consideration for its execution and delivery of the Purchase Agreement on the Signing Date and (ii) the resale by Chardan of up to 8,627,049 shares of common stock, consisting of shares of common stock that we may elect, in our sole discretion, to issue and sell to Chardan, from time to time from and after the Commencement Date upon the terms and subject to the conditions and limitations of the Purchase Agreement. Unless earlier terminated, the Purchase Agreement will remain in effect until the earliest to occur of (i)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the month next following the 36-month anniversary of the effectiveness of the registration statement, (ii) the date on which Chardan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 (the “Termination Provisions”).</w:t>
      </w:r>
    </w:p>
    <w:p>
      <w:pPr>
        <w:spacing w:after="0" w:line="19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$50.0 million of our Senti Common Shares to the Selling Securityholder, only 8,727,049 Senti Common Shares are being registered for resale under the registration statement that includes this prospectus. If it becomes necessary for us to issue and sell to the Selling Shareholder under the Purchase Agreement more shares than are being registered for resale under this prospectus in order to receive aggregate gross proceeds equal to $50.0 million under the Purchase Agreement, we must first file with the SEC one or more additional registration statements to register under the Securities Act the resale by the Selling Shareholder of any such additional Senti Common Shares we wish to sell from time to time under the Purchase Agreement, which the SEC must declare effective, in each case, before we may elect to sell any additional Senti Common Shares to the Selling Shareholder under the Purchase Agreement. Under applicable Nasdaq rules, in no event may we issue to Chardan more than 19.99% of the total number of our common stock that were outstanding immediately prior to the execution of the Purchase Agreement, unless we obtain prior stockholder approval (the “Exchange Cap”) or if such approval is not required in accordance with the applicable Nasdaq rules. In addition, Chardan is not obligated to buy any common stock under the Purchase Agreement if such shares, when aggregated with all other common stock then beneficially owned by Chardan and its affiliates (as calculated pursuant to Section 13(d) of the Exchange Act and Rule 13d-3 promulgated thereunder), would result in Chardan beneficially owning common stock in excess of 4.99% of our outstanding shares of common stock (the “Beneficial Ownership Limitation”).</w:t>
      </w:r>
    </w:p>
    <w:p>
      <w:pPr>
        <w:spacing w:after="0" w:line="187"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The Purchase Agreement and Chardan Registration Rights Agreement contain customary registration rights, representations, warranties, conditions and indemnification obligations by each party. The representations, warranties and covenants contained in such agreements were made only for purposes of such agreements and as of specific dates, were solely for the benefit of the parties to such agreements and are subject to certain important limitations.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VWAP Purchase of Shares of Common Stock Under the Purchase Agreement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at any time we do not have material non-public information, but not the obligation, from time to time at our sole discretion, until the earliest to occur of the Termination Provisions, to direct Chardan to purchase a number of Shares equal to the applicable VWAP Purchase Share Amount, at the applicable VWAP Purchase Price therefor on such VWAP Purchase Date in accordance with the Purchase Agreement (each such purchase, a “VWAP Purchase”) by delivering written notice to Chardan (such notice, a “VWAP Purchase Notice”) on any trading day, so long as all shares of common stock subject to all prior VWAP Purchases by Chardan have been delivered to Chardan as required by the Purchase Agreement.</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maximum number of shares of common stock that Chardan is required to purchase in any single VWAP Purchase under the Purchase Agreement is equal to the lessor of:</w:t>
      </w:r>
    </w:p>
    <w:p>
      <w:pPr>
        <w:spacing w:after="0" w:line="67" w:lineRule="exact"/>
        <w:rPr>
          <w:sz w:val="20"/>
          <w:szCs w:val="20"/>
          <w:color w:val="auto"/>
        </w:rPr>
      </w:pPr>
    </w:p>
    <w:p>
      <w:pPr>
        <w:ind w:left="1080" w:right="4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common stock which, when aggregated with all other shares of common stock then beneficially owned by Chardan and its affiliates (as calculated pursuant to Section 13(d) of the Exchange Act and Rule 13d-3 promulgated thereunder), would result in the beneficial ownership by Chardan of more than the Beneficial Ownership Limitation; and</w:t>
      </w:r>
    </w:p>
    <w:p>
      <w:pPr>
        <w:spacing w:after="0" w:line="81"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common stock which would result in the total aggregate VWAP Purchase Price to be paid by Chardan for the total VWAP Purchase Share Amount purchased by Chardan in such VWAP Purchase made on one VWAP Purchase Date exceed $3,000,000; and</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common stock equal to (a) the VWAP Purchase Share Percentage multiplied by (b) the total number (or volume) of shares of common stock traded on the Principal Market (or successor Principal Market) during the applicable VWAP Purchase Period on the applicable VWAP Purchase Date for such VWAP Purchase;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Purchase Share Amount.</w:t>
      </w:r>
    </w:p>
    <w:p>
      <w:pPr>
        <w:spacing w:after="0" w:line="225"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per share purchase price for the common stock that we elect to sell to Chardan in a VWAP Purchase pursuant to the Purchase Agreement, if any, will be equal to ninety-seven percent (97.0%) of the VWAP over the applicable period on such VWAP Purchase Date for such VWAP Purchase (such price, the “VWAP Purchase Price”), subject to certain adjustments.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define “VWAP” as, for the common stock for a specified period, the dollar volume-weighted average price for the common stock on the Principal Market, for such period, as reported by Bloomberg through its “VWAP” function. All such determinations shall be appropriately adjusted for any sales of shares of common stock through Block transactions, any reorganization, non-cash dividend, stock split, reverse stock split, stock combination, recapitalization or other similar transaction during such period. There is no upper limit on the price per share that Chardan could be obligated to pay for common stock we elect to sell to Chardan in any VWAP Purchase under the Purchase Agreement.</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At or prior to 5:30 p.m., New York City time, on the VWAP Purchase Date for each VWAP Purchase, Chardan will provide us with a written confirmation for such VWAP Purchase setting forth, among other items, the applicable VWAP Purchase Price per share to be paid by Chardan, the total number of Shares being purchased by the Investor in such VWAP Purchase and the total aggregate VWAP Purchase Price to be paid by Chardan for the total number of shares of common stock purchased by Chardan in such VWAP Purchase.</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payment for, against delivery of, common stock purchased by Chardan in a VWAP Purchase under the Purchase Agreement is required to be fully settled by 1:00 p.m., New York City time, on the trading day immediately following the applicable date of such VWAP Purchase Date, as set forth in the Purchase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82"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to Commencement and Each VWAP Purchase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right to commence delivering VWAP Purchase Notices under the Purchase Agreement and Chardan’s obligation to accept VWAP Purchase Notices that are timely delivered by us under the Purchase Agreement and to purchase shares of our common stock in VWAP Purchases under the Purchase Agreement, are subject to the initial satisfaction, at the Commencement Date, of the conditions precedent thereto set forth in the Purchase Agreement, which conditions include, among others, the following:</w:t>
      </w:r>
    </w:p>
    <w:p>
      <w:pPr>
        <w:spacing w:after="0" w:line="85"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included in the Purchase Agreement;</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having performed, satisfied and complied in all material respects with all covenants, agreements and conditions required by the Purchase Agreement and the Chardan Registration Rights Agreement to be performed, satisfied or complied with by us;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having been declared effective under the Securities Act, and Chardan being able to utilize this prospectus to resell all of the Commitment Shares and the common stock included in this prospectus;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material misstatement or omission in the registration statement that includes this prospectus;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the Current Report, and all reports, schedules, registrations, forms, statements, information and other documents required to have been filed by the Company with the SEC pursuant to the reporting requirements of the Exchange Act having been filed with the SEC;</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not having been suspended by the SEC, the Principal Market or FINRA and there not having been imposed any suspension of, or restriction on, accepting additional deposits of common stock by the depository;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Purchase Agreement) shall have occurred and be continuing;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compliance with laws and bankruptcy-related conditions;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Chardan of customary legal opinions, auditor comfort letters and bring-down legal opinions, and auditor comfort letters as required under the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the month next following the 36-month anniversary of the Effective Date of the Initial Registration Statement;</w:t>
      </w:r>
    </w:p>
    <w:p>
      <w:pPr>
        <w:spacing w:after="0" w:line="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Chardan has purchased the Total Commitment pursuant to the Purchase Agreement;</w:t>
      </w:r>
    </w:p>
    <w:p>
      <w:pPr>
        <w:spacing w:after="0" w:line="11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our common stock fails to be listed or quoted on Nasdaq or any successor market;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ten (10) trading days’ prior written notice to Chardan. We and Chardan may also terminate the Purchase Agreement at any time by mutual written consent. Chardan also has the right to terminate the Purchase Agreement upon ten (10) trading days’ prior written notice to us, but only upon the occurrence of certain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customary events as listed in the Purchase Agreement. No termination of the Purchase Agreement by us or by Chardan will become effective prior to the second trading day immediately following the date on which any pending (or not fully settled) VWAP Purchase has been fully settled in accordance with the terms and conditions of the Purchase Agreement, and will not affect any of our respective rights and obligations under the Purchase Agreement with respect to any pending (or not fully settled) VWAP Purchase, and both we and Chardan have agreed to complete our respective obligations with respect to any such pending (or not fully settled) VWAP Purchase under the Purchase Agreement. Furthermore, no termination of the Purchase Agreement will affect the payment of the Commitment Shares or our or Chardan’s respective rights or obligations under the Chardan Registration Rights Agreement, which will survive any termination of the Purchase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Short-Selling or Hedging by Chardan</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Chardan has agreed that neither it nor any entity managed or controlled by it, will engage in, directly or indirectly, any (i) “short sale” (as such term is defined in Rule 200 of Regulation SHO of the Exchange Act) of the common stock or (ii) hedging transaction, which, with respect to items (i) and (ii), establishes a net short position with respect to the common stock, during the term of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Purchase Agreement on our Stockholders</w:t>
      </w:r>
    </w:p>
    <w:p>
      <w:pPr>
        <w:spacing w:after="0" w:line="121"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The common stock being registered for resale in this offering may be issued and sold by us to Chardan from time to time at our discretion over a period until the earliest to occur of the Termination Provisions. The resale by Chardan of a significant quantity of shares registered for resale in this offering at any given time, or the perception that these sales may occur, could cause the market price of our common stock to decline and to be highly volatile.</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Sales of our common stock, if any, to Chardan under the Purchase Agreement will be determined by us in our sole discretion, subject to the satisfaction of certain conditions in the Purchase Agreement, and will depend upon market conditions and other factors. We may ultimately decide to sell to Chardan all, some or none of the common stock that may be available for us to sell to Chardan pursuant to the Purchase Agreement. If we elect to sell common stock to Chardan pursuant to the Purchase Agreement, after Chardan has acquired such shares, Chardan may resell all, some or none of such common stock at any time or from time to time in its discretion and at different prices. As a result, investors who purchase common stock from Chardan in this offering at different times will likely pay different prices for those shares of common stock, and so may experience different levels of dilution and in some cases substantial dilution and different outcomes in their investment results. See “</w:t>
      </w:r>
      <w:r>
        <w:rPr>
          <w:rFonts w:ascii="Times New Roman" w:cs="Times New Roman" w:eastAsia="Times New Roman" w:hAnsi="Times New Roman"/>
          <w:sz w:val="18"/>
          <w:szCs w:val="18"/>
          <w:i w:val="1"/>
          <w:iCs w:val="1"/>
          <w:color w:val="auto"/>
        </w:rPr>
        <w:t>Risk Factors—Risks Related to the Facility—Investors who buy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from Chardan at different times will likely pay different prices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Investors may experience a decline in the value of the common stock they purchase from Chardan in this offering as a result of future sales made by us to Chardan at prices lower than the prices such investors paid for their shares in this offering. In addition, if we sell a substantial number of shares of common stock to Chardan under the Purchase Agreement, or if investors expect that we will do so, the actual sales of common stock or the mere existence of our arrangement with Chardan may make it more difficult for us to sell equity or equity-related securities in the future at a time and at a price that we might otherwise wish to effect such sales.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Because the purchase price per share to be paid by Chardan for the common stock that we may elect to sell to Chardan under the Purchase Agreement, if any, will fluctuate based on the market prices of our common stock during the applicable period for each VWAP Purchase made pursuant to the Purchase Agreement, if any, as of the date of this prospectus it is not possible for us to predict the number of common stock that we will sell to Chardan under the Purchase Agreement, the actual purchase price per share to be paid by Chardan for those shares of common stock, or the actual gross proceeds to be raised by us from those sales, if any. As of September 1, 2022, there were 43,757,077 shares of common stock outstanding. If all of the 8,727,049 Senti Common Shares offered for resale by the Selling Securityholder under this prospectus were issued and outstanding as of September 1, 2022, such shares would represent approximately 19.94% of total number of shares of our common stock outstanding. The actual number of Senti Common Shares issuable will vary depending on the then current market price of Senti Common Shares sold to Chardan in this offering.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ultimately offered for sale by Chardan for resale under this prospectus is dependent upon the number of shares of common stock, if any, we ultimately sell to Chardan under the Purchase Agreement. Further, if and when we elect to sell shares of common stock to Chardan pursuant to the Purchase Agreement, after Chardan has acquired such shares, Chardan may resell all, some or none of such shares of common stock at any time or from time to time in its discretion and at different prices.</w:t>
      </w:r>
    </w:p>
    <w:p>
      <w:pPr>
        <w:spacing w:after="0" w:line="18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issuance of our shares of common stock to Chardan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at varying purchase prices assuming we sell all 8,627,049 shares of common stock being registered for resale under this prospectus to Chardan under the Purchase Agreement:</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2"/>
          </w:tcPr>
          <w:p>
            <w:pPr>
              <w:jc w:val="center"/>
              <w:ind w:right="85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 Trading</w:t>
            </w:r>
          </w:p>
        </w:tc>
        <w:tc>
          <w:tcPr>
            <w:tcW w:w="1960" w:type="dxa"/>
            <w:vAlign w:val="bottom"/>
          </w:tcPr>
          <w:p>
            <w:pPr>
              <w:spacing w:after="0"/>
              <w:rPr>
                <w:sz w:val="12"/>
                <w:szCs w:val="12"/>
                <w:color w:val="auto"/>
              </w:rPr>
            </w:pPr>
          </w:p>
        </w:tc>
        <w:tc>
          <w:tcPr>
            <w:tcW w:w="2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 common stock Sold</w:t>
            </w:r>
          </w:p>
        </w:tc>
        <w:tc>
          <w:tcPr>
            <w:tcW w:w="0" w:type="dxa"/>
            <w:vAlign w:val="bottom"/>
          </w:tcPr>
          <w:p>
            <w:pPr>
              <w:spacing w:after="0"/>
              <w:rPr>
                <w:sz w:val="1"/>
                <w:szCs w:val="1"/>
                <w:color w:val="auto"/>
              </w:rPr>
            </w:pPr>
          </w:p>
        </w:tc>
      </w:tr>
      <w:tr>
        <w:trPr>
          <w:trHeight w:val="146"/>
        </w:trPr>
        <w:tc>
          <w:tcPr>
            <w:tcW w:w="334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jc w:val="center"/>
              <w:ind w:right="830"/>
              <w:spacing w:after="0" w:line="146"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Price of common stock</w:t>
            </w: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2"/>
          </w:tcPr>
          <w:p>
            <w:pPr>
              <w:jc w:val="center"/>
              <w:ind w:right="850"/>
              <w:spacing w:after="0"/>
              <w:rPr>
                <w:sz w:val="20"/>
                <w:szCs w:val="20"/>
                <w:color w:val="auto"/>
              </w:rPr>
            </w:pP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0"/>
                <w:szCs w:val="10"/>
                <w:b w:val="1"/>
                <w:bCs w:val="1"/>
                <w:color w:val="auto"/>
              </w:rPr>
              <w:t>(1)(3)</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$1.96</w:t>
            </w:r>
            <w:r>
              <w:rPr>
                <w:rFonts w:ascii="Times New Roman" w:cs="Times New Roman" w:eastAsia="Times New Roman" w:hAnsi="Times New Roman"/>
                <w:sz w:val="24"/>
                <w:szCs w:val="24"/>
                <w:color w:val="auto"/>
                <w:vertAlign w:val="superscript"/>
              </w:rPr>
              <w:t>(2)</w:t>
            </w:r>
          </w:p>
        </w:tc>
        <w:tc>
          <w:tcPr>
            <w:tcW w:w="1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5"/>
              </w:rPr>
              <w:t>16.4</w:t>
            </w:r>
          </w:p>
        </w:tc>
        <w:tc>
          <w:tcPr>
            <w:tcW w:w="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21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41.8 million</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$7.50</w:t>
            </w:r>
          </w:p>
        </w:tc>
        <w:tc>
          <w:tcPr>
            <w:tcW w:w="21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940"/>
              <w:spacing w:after="0" w:line="216" w:lineRule="exact"/>
              <w:rPr>
                <w:sz w:val="20"/>
                <w:szCs w:val="20"/>
                <w:color w:val="auto"/>
              </w:rPr>
            </w:pPr>
            <w:r>
              <w:rPr>
                <w:rFonts w:ascii="Times New Roman" w:cs="Times New Roman" w:eastAsia="Times New Roman" w:hAnsi="Times New Roman"/>
                <w:sz w:val="17"/>
                <w:szCs w:val="17"/>
                <w:color w:val="auto"/>
              </w:rPr>
              <w:t>50.0</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million</w:t>
            </w: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$10.00</w:t>
            </w:r>
          </w:p>
        </w:tc>
        <w:tc>
          <w:tcPr>
            <w:tcW w:w="21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7"/>
              </w:rPr>
              <w:t>50.0</w:t>
            </w:r>
            <w:r>
              <w:rPr>
                <w:rFonts w:ascii="Times New Roman" w:cs="Times New Roman" w:eastAsia="Times New Roman" w:hAnsi="Times New Roman"/>
                <w:sz w:val="26"/>
                <w:szCs w:val="26"/>
                <w:color w:val="auto"/>
                <w:w w:val="97"/>
                <w:vertAlign w:val="superscript"/>
              </w:rPr>
              <w:t>(4)</w:t>
            </w:r>
            <w:r>
              <w:rPr>
                <w:rFonts w:ascii="Times New Roman" w:cs="Times New Roman" w:eastAsia="Times New Roman" w:hAnsi="Times New Roman"/>
                <w:sz w:val="18"/>
                <w:szCs w:val="18"/>
                <w:color w:val="auto"/>
                <w:w w:val="97"/>
              </w:rPr>
              <w:t xml:space="preserve"> million</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right="140" w:hanging="424"/>
        <w:spacing w:after="0" w:line="257"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prices represent the illustrative aggregate purchase price to be received from the sale of all of the shares of common stock issued and sold to Chardan under the Facility, multiplied by the VWAP Purchase Price, assuming for illustrative purposes that the VWAP Purchase Price is equal to 97% of the assumed trading price of common stock listed in the first column.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of our common stock on Nasdaq on September 7, 2022.</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Senti Common Shares offered by this prospectus may not cover all the Senti Common Shares we ultimately may sell to Chardan under the Purchase Agreement. We have included in this column only those Senti Common Shares being offered for resale by Chardan under this prospectus, without regard to the Beneficial Ownership Limitation.</w:t>
      </w:r>
    </w:p>
    <w:p>
      <w:pPr>
        <w:spacing w:after="0" w:line="1"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amount available to be sold to Chardan under the Purchase Agreement. At this price, fewer than the entire 8,627,049 shares registered hereby would be sold.</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40"/>
          </w:cols>
          <w:pgMar w:left="320" w:top="482"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All of the Senti Common Shares offered by the Selling Securityholder will be solely for the Selling Securityholder’s account. We will not receive any of the proceeds from these sales. We may receive up to $50.0 million in aggregate gross proceeds from the Selling Securityholder under the Purchase Agreement in connection with sales of our Senti Common Shares to the Selling Securityholder pursuant to the Purchase Agreement after the date of this prospectus. However, the actual proceeds may be less than this amount depending on the number of share of our Senti Common Shares sold and the price at which the Senti Common Shares are sold.</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intend to use any proceeds from any sales of Senti Common Shares to Chardan under the Facility for working capital and other general corporate purposes. Pending other uses, we intend to invest the net proceeds to us in investment-grade, interest-bearing securities such as money market funds, certificates of deposit, or direct or guaranteed obligations of the U.S. government, or hold as cash. We cannot predict whether the net proceeds invested will yield a favorable return. We will have broad discretion in the way we use these proceeds. See “</w:t>
      </w:r>
      <w:r>
        <w:rPr>
          <w:rFonts w:ascii="Times New Roman" w:cs="Times New Roman" w:eastAsia="Times New Roman" w:hAnsi="Times New Roman"/>
          <w:sz w:val="18"/>
          <w:szCs w:val="18"/>
          <w:i w:val="1"/>
          <w:iCs w:val="1"/>
          <w:color w:val="auto"/>
        </w:rPr>
        <w:t>Risk Factors—Risks Related to the Facility—We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 proceeds from sales of our common stock made pursuant to the Purchase Agreement in ways with which you may not agree or in ways which may not yield a significant return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Chardan will pay any underwriting fees, discounts, selling commissions, stock transfer taxes and certain legal expenses incurred by Chardan in disposing of its shares of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the Senti Common Shares may be sold by Chardan under this prospectus. Our Common Shares are listed on Nasdaq under the symbol “SNTI.”</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Price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Senti Common Shares are listed on Nasdaq under the symbol “SNTI”. Prior to the consummation of the Business Combination our common shares were traded on Nasdaq under the symbol “DYNS”.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price of the Senti Common Shares on September 7, 2022 was $1.96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September 1, 2022, there were 156 holders of record of the Senti Common Shares. The number of holders of record does not include for example a substantially greater number of “street name” holders or beneficial holders whose Senti Common Shares are held of record by banks, brokers and other financial institutions.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to date. The payment of cash dividends in the future will be dependent upon our revenues and earnings, if any, capital requirements and general financial condition. The payment of any cash dividends will be within the discretion of our Board at such time. Our ability to declare dividends may also be limited by restrictive covenants pursuant to any future debt financing agreements.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for purposes of this section, the terms “we,” “us,” “the Company” or “Senti” refer to Senti and its subsidiaries.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We are a preclinical biotechnology company developing next-generation cell and gene therapies engineered with our gene circuit platform technologies to fight challenging diseases. Our mission is to create a new generation of smarter medicines that outmaneuver complex diseases using novel and unprecedented approaches. To accomplish this mission, we have built a synthetic biology platform that we believe may enable us to program next-generation cell and gene therapies with what we refer to as “gene circuits.” These gene circuits, which we created from novel and proprietary combinations of genetic parts, are designed to reprogram cells with biological logic to sense inputs, compute decisions and respond to their respective cellular environments. We aim to design and optimize gene circuits through our Design-Build-Test-Learn Engine, or DBTL Engine, to improve the “intelligence” of cell and gene therapies in order to enhance their therapeutic effectiveness against a broad range of diseases that conventional medicines are unable to address. Our gene circuit platform technologies are designed to be applied in a modality-agnostic manner, with applicability to natural killer (NK) cells, T cells, tumor infiltrating lymphocytes (TILs), stem cells including Hematopoietic Stem Cells (HSCs),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and messenger ribonucleic acid (mRNA). All of our current product candidates are in preclinical development. Our lead product candidates utilize off-the-shelf chimeric antigen receptor (CAR) NK cells outfitted with our gene circuit technologies in several oncology indications with currently high unmet need. Subject to the successful completion of IND- enabling studies, we expect to file investigational new drug applications, or INDs, for multiple product candidates starting in 2023.</w:t>
      </w:r>
    </w:p>
    <w:p>
      <w:pPr>
        <w:spacing w:after="0" w:line="18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field of synthetic biology has evolved rapidly over the past few decades, and we believe that we are uniquely positioned to harness its potential to drive significant advances in medicine. Our scientific team is comprised of leaders in the space, and we have leveraged their expertise to create our scalable DBTL Engine and develop a proprietary knowledge database for therapeutic gene circuits. Our founders, Dr. Tim Lu, Dr. Philip Lee, Prof. James Collins, and Prof. Wilson Wong are pioneers in synthetic biology, gene circuits and cell and gene therapy, each having spent over twenty years advancing next-generation technologies in these areas. Our scientific founders and advisors are among the foremost leaders in their respective fields, having collectively published many of the seminal scientific papers in synthetic biology in top journals such as Nature, Science and Cell. Integrating disciplines from biology, chemistry and computer science, we have leveraged recent advances in DNA sequencing and synthesis, high-throughput experimentation and computational design, together with our intellectual property, to design, build and test gene circuits. We believe these are novel technologies, and we are not aware of U.S. Food and Drug Administration, or FDA, approved therapeutics utilizing similar technologies. As a result, these technologies may require significant resources in order to achieve regulatory approval. In preclinical studies, we have shown that our gene circuits are capable of carrying out sophisticated biological functions in a variety of disease models and we are preparing to advance our product candidates to clinical studies. We believe in the potential of gene circuits to enhance efficacy, precision and control of numerous cell and gene therapy products. Ultimately, we envision that cells running computations using our gene circuits in the human body will be able to outsmart a myriad of complex diseases.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figure illustrates how our gene circuit platform technologies may enable the creation of smarter medicines that can “sense inputs,” “compute decisions” and “respond with outputs” to impact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131445</wp:posOffset>
            </wp:positionV>
            <wp:extent cx="5109210" cy="2520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0921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right="49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Key Challenges to Existing Disease Treatments and Our Gene Circuit Solutions </w:t>
      </w:r>
      <w:r>
        <w:rPr>
          <w:rFonts w:ascii="Times New Roman" w:cs="Times New Roman" w:eastAsia="Times New Roman" w:hAnsi="Times New Roman"/>
          <w:sz w:val="18"/>
          <w:szCs w:val="18"/>
          <w:b w:val="1"/>
          <w:bCs w:val="1"/>
          <w:i w:val="1"/>
          <w:iCs w:val="1"/>
          <w:color w:val="auto"/>
        </w:rPr>
        <w:t>Key Challenges to Existing Disease Treatments</w:t>
      </w: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Diseases often involve complex biological interactions, which limit the effectiveness of existing therapeutics that only have single mechanisms of action and are unable to adapt to dynamic disease states. We characterize these key challenges in the following four categories:</w:t>
      </w:r>
    </w:p>
    <w:p>
      <w:pPr>
        <w:spacing w:after="0" w:line="185" w:lineRule="exact"/>
        <w:rPr>
          <w:sz w:val="20"/>
          <w:szCs w:val="20"/>
          <w:color w:val="auto"/>
        </w:rPr>
      </w:pPr>
    </w:p>
    <w:p>
      <w:pPr>
        <w:ind w:left="144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Target Heterogeneity: </w:t>
      </w:r>
      <w:r>
        <w:rPr>
          <w:rFonts w:ascii="Times New Roman" w:cs="Times New Roman" w:eastAsia="Times New Roman" w:hAnsi="Times New Roman"/>
          <w:sz w:val="18"/>
          <w:szCs w:val="18"/>
          <w:color w:val="auto"/>
        </w:rPr>
        <w:t>Many diseases are heterogeneous and express antigens that are also present on healthy cells. The overlap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antigen expression on diseased and healthy cells limits the ability of existing therapies to target diseased cells at therapeutically relevant doses due to undesirable effects against healthy cells. For example, most cancers do not have a single antigen target that is uniformly expressed on all cancer cells with limited to no expression on non-cancerous cells. Thus, the ability to precisely distinguish between diseased cells and healthy cells has been a central challenge to date with current therapeutic approaches that do not encode logic, such as monoclonal antibodies, antibody-drug conjugates and single-target CAR therapies. Modalities that can respond to multiple biomarkers, rather than just a single one, have the potential to open up the opportunity for more precise and efficacious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-751205</wp:posOffset>
            </wp:positionV>
            <wp:extent cx="377190"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57" w:lineRule="exact"/>
        <w:rPr>
          <w:sz w:val="20"/>
          <w:szCs w:val="20"/>
          <w:color w:val="auto"/>
        </w:rPr>
      </w:pPr>
    </w:p>
    <w:p>
      <w:pPr>
        <w:ind w:left="1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Disease Evasion: </w:t>
      </w:r>
      <w:r>
        <w:rPr>
          <w:rFonts w:ascii="Times New Roman" w:cs="Times New Roman" w:eastAsia="Times New Roman" w:hAnsi="Times New Roman"/>
          <w:sz w:val="18"/>
          <w:szCs w:val="18"/>
          <w:color w:val="auto"/>
        </w:rPr>
        <w:t>Disease pathologies are multifaceted. For example, diseases can evade the immune system or acquire resistance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single-target treatments by activating other biological pathways. The tumor microenvironment (TME) of many solid tumors suppresses cancer-fighting immune cells via multiple pathways. To overcome these complex barriers, combination therapies that utilize multiple individual drugs are being explored clinically. However, manufacturing issues, regulatory aspects, pharmacology complexities and clinical challenges of using multiple individual drugs together can be difficult. A gene or cell therapy with the ability to activate multiple anti-tumor pathways within a single product could help limit disease evasion and may improve the durability of responses to treatment, while simplifying the translational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-683895</wp:posOffset>
            </wp:positionV>
            <wp:extent cx="394335" cy="386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4335" cy="386080"/>
                    </a:xfrm>
                    <a:prstGeom prst="rect">
                      <a:avLst/>
                    </a:prstGeom>
                    <a:noFill/>
                  </pic:spPr>
                </pic:pic>
              </a:graphicData>
            </a:graphic>
          </wp:anchor>
        </w:drawing>
      </w:r>
    </w:p>
    <w:p>
      <w:pPr>
        <w:spacing w:after="0" w:line="55" w:lineRule="exact"/>
        <w:rPr>
          <w:sz w:val="20"/>
          <w:szCs w:val="20"/>
          <w:color w:val="auto"/>
        </w:rPr>
      </w:pPr>
    </w:p>
    <w:p>
      <w:pPr>
        <w:ind w:left="1440" w:right="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Narrow Therapeutic Window: </w:t>
      </w:r>
      <w:r>
        <w:rPr>
          <w:rFonts w:ascii="Times New Roman" w:cs="Times New Roman" w:eastAsia="Times New Roman" w:hAnsi="Times New Roman"/>
          <w:sz w:val="17"/>
          <w:szCs w:val="17"/>
          <w:color w:val="auto"/>
        </w:rPr>
        <w:t>Once administered to a patient, conventional medicines, including cell and gene therapies, cannot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tuned up or down, which makes it difficult to find the optimal dose, especially for diseases that have a narrow therapeutic window. The ability to create therapeutics that can be titrated or regulated in vivo in the patient may lead to enhanced efficacy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-427990</wp:posOffset>
            </wp:positionV>
            <wp:extent cx="385445" cy="386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44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Dynamic Disease Conditions: </w:t>
      </w:r>
      <w:r>
        <w:rPr>
          <w:rFonts w:ascii="Times New Roman" w:cs="Times New Roman" w:eastAsia="Times New Roman" w:hAnsi="Times New Roman"/>
          <w:sz w:val="18"/>
          <w:szCs w:val="18"/>
          <w:color w:val="auto"/>
        </w:rPr>
        <w:t>Disease conditions are dynamic and vary in space and time. For example, diseases may manifest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tissues, or have a waxing and waning progression over time. Conventional therapies are (i) static, (ii) have a predefined activity around a single mechanism of action that cannot be modified post-administration and (iii) do not adapt to these dynamic conditions, thus limiting their efficacy, specificity and safety. For example, current cell and gene therapies are not dynamic or highly specific, thus limiting the indications that they can address. Developing dynamic therapeutics that are able to sense, and respond to, these spatially or temporally varying conditions would address this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-821055</wp:posOffset>
            </wp:positionV>
            <wp:extent cx="377190" cy="3771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Gene Circuit Solutions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believe that our core gene circuit platform technologies may enable us to engineer smarter medicines. These technologies can be categorized as follows.</w:t>
      </w:r>
    </w:p>
    <w:p>
      <w:pPr>
        <w:spacing w:after="0" w:line="63" w:lineRule="exact"/>
        <w:rPr>
          <w:sz w:val="20"/>
          <w:szCs w:val="20"/>
          <w:color w:val="auto"/>
        </w:rPr>
      </w:pPr>
    </w:p>
    <w:p>
      <w:pPr>
        <w:ind w:left="146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Logic Gating: </w:t>
      </w:r>
      <w:r>
        <w:rPr>
          <w:rFonts w:ascii="Times New Roman" w:cs="Times New Roman" w:eastAsia="Times New Roman" w:hAnsi="Times New Roman"/>
          <w:sz w:val="18"/>
          <w:szCs w:val="18"/>
          <w:color w:val="auto"/>
        </w:rPr>
        <w:t>Logic Gating gene circuits are designed to enable cell and gene therapies to control their therapeutic activity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the presence or absence of multiple disease biomarkers. Below are examples of Logic Gates applied to cancer, although Logic Gating may also be applied to various other disease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-417195</wp:posOffset>
            </wp:positionV>
            <wp:extent cx="411480" cy="403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1480" cy="403225"/>
                    </a:xfrm>
                    <a:prstGeom prst="rect">
                      <a:avLst/>
                    </a:prstGeom>
                    <a:noFill/>
                  </pic:spPr>
                </pic:pic>
              </a:graphicData>
            </a:graphic>
          </wp:anchor>
        </w:drawing>
      </w:r>
    </w:p>
    <w:p>
      <w:pPr>
        <w:spacing w:after="0" w:line="56" w:lineRule="exact"/>
        <w:rPr>
          <w:sz w:val="20"/>
          <w:szCs w:val="20"/>
          <w:color w:val="auto"/>
        </w:rPr>
      </w:pPr>
    </w:p>
    <w:p>
      <w:pPr>
        <w:ind w:left="30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NOT GATE: </w:t>
      </w:r>
      <w:r>
        <w:rPr>
          <w:rFonts w:ascii="Times New Roman" w:cs="Times New Roman" w:eastAsia="Times New Roman" w:hAnsi="Times New Roman"/>
          <w:sz w:val="18"/>
          <w:szCs w:val="18"/>
          <w:color w:val="auto"/>
        </w:rPr>
        <w:t>NOT GATE gene circuits are designed to widen the therapeutic window by enabling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killing of cancer cells while preserving healthy cells. The NOT GATE functions by recognizing Safety Antigens (SAs), or antigens that are selectively expressed on healthy cells and not on cancer cells, thus limiting on-target, off-tumor killing. By protecting healthy cells, the NOT GATE has the potential to enable more effective on-target, on-tumor killing of tumor cells that express Tumor-Associated Antigens (TAAs). Generally, existing cancer drugs target only a single antigen, which means they can only be effectively and safely used in situations where that antigen is uniquely expressed on tumors and not in healthy cells, or where the on-target, off-tumor effects are tolerable.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-751205</wp:posOffset>
            </wp:positionV>
            <wp:extent cx="394335" cy="394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57" w:lineRule="exact"/>
        <w:rPr>
          <w:sz w:val="20"/>
          <w:szCs w:val="20"/>
          <w:color w:val="auto"/>
        </w:rPr>
      </w:pPr>
    </w:p>
    <w:p>
      <w:pPr>
        <w:ind w:left="300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 GATE: </w:t>
      </w:r>
      <w:r>
        <w:rPr>
          <w:rFonts w:ascii="Times New Roman" w:cs="Times New Roman" w:eastAsia="Times New Roman" w:hAnsi="Times New Roman"/>
          <w:sz w:val="18"/>
          <w:szCs w:val="18"/>
          <w:color w:val="auto"/>
        </w:rPr>
        <w:t>OR GATE gene circuits are designed to address tumor heterogeneity and limit antigen escape.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GATE functions by killing tumor cells that express any one of multiple antigens. Generally, current medicines are unable to address more than one target at a time and are thus susceptible to tumor evasion.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-417195</wp:posOffset>
            </wp:positionV>
            <wp:extent cx="402590" cy="394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43" w:lineRule="exact"/>
        <w:rPr>
          <w:sz w:val="20"/>
          <w:szCs w:val="20"/>
          <w:color w:val="auto"/>
        </w:rPr>
      </w:pPr>
    </w:p>
    <w:p>
      <w:pPr>
        <w:ind w:left="3000"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AND GATE: </w:t>
      </w:r>
      <w:r>
        <w:rPr>
          <w:rFonts w:ascii="Times New Roman" w:cs="Times New Roman" w:eastAsia="Times New Roman" w:hAnsi="Times New Roman"/>
          <w:sz w:val="17"/>
          <w:szCs w:val="17"/>
          <w:color w:val="auto"/>
        </w:rPr>
        <w:t>AND GATE gene circuits require that multiple targets be present at the same time to trigger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killing of cancer cells, which may enhance the specificity of on-target, on-tumor activity. Generally, conventional therapies only recognize a single antigen for their activity, which can result in a lack of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-427990</wp:posOffset>
            </wp:positionV>
            <wp:extent cx="394335" cy="402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4335" cy="402590"/>
                    </a:xfrm>
                    <a:prstGeom prst="rect">
                      <a:avLst/>
                    </a:prstGeom>
                    <a:noFill/>
                  </pic:spPr>
                </pic:pic>
              </a:graphicData>
            </a:graphic>
          </wp:anchor>
        </w:drawing>
      </w:r>
    </w:p>
    <w:p>
      <w:pPr>
        <w:spacing w:after="0" w:line="38" w:lineRule="exact"/>
        <w:rPr>
          <w:sz w:val="20"/>
          <w:szCs w:val="20"/>
          <w:color w:val="auto"/>
        </w:rPr>
      </w:pPr>
    </w:p>
    <w:p>
      <w:pPr>
        <w:ind w:left="146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Multi-Arming: </w:t>
      </w:r>
      <w:r>
        <w:rPr>
          <w:rFonts w:ascii="Times New Roman" w:cs="Times New Roman" w:eastAsia="Times New Roman" w:hAnsi="Times New Roman"/>
          <w:sz w:val="18"/>
          <w:szCs w:val="18"/>
          <w:color w:val="auto"/>
        </w:rPr>
        <w:t>Multi-Arming gene circuits are designed to incorporate multiple payloads into a single cell or gene therapy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gene circuits are intended to activate various biological pathways in complementary ways to prevent diseases from evading single-target treatments, and thereby potentially improve treatment efficacy. Existing combination therapies that target complex diseases require the application of multiple individual drugs, which is difficult due to research, clinical development, regulatory and pharmacology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-548640</wp:posOffset>
            </wp:positionV>
            <wp:extent cx="402590" cy="394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51" w:lineRule="exact"/>
        <w:rPr>
          <w:sz w:val="20"/>
          <w:szCs w:val="20"/>
          <w:color w:val="auto"/>
        </w:rPr>
      </w:pPr>
    </w:p>
    <w:p>
      <w:pPr>
        <w:ind w:left="14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Regulator Dial: </w:t>
      </w:r>
      <w:r>
        <w:rPr>
          <w:rFonts w:ascii="Times New Roman" w:cs="Times New Roman" w:eastAsia="Times New Roman" w:hAnsi="Times New Roman"/>
          <w:sz w:val="18"/>
          <w:szCs w:val="18"/>
          <w:color w:val="auto"/>
        </w:rPr>
        <w:t>Regulator Dial gene circuits are designed to enable the precise tuning of therapeutic activity from a cell or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product. For example, this can be implemented by regulating therapeutic payload expression in response to varying concentrations of FDA-approved drugs. Regulator Dials are expected to enable the exogenous regulation of next-generation cell and gene therapies even after they have been delivered in vivo. Existing cell and gene therapies cannot be modulated once they have been delivered into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-557530</wp:posOffset>
            </wp:positionV>
            <wp:extent cx="402590" cy="403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60"/>
          </w:cols>
          <w:pgMar w:left="320" w:top="482"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13" w:lineRule="exact"/>
        <w:rPr>
          <w:sz w:val="20"/>
          <w:szCs w:val="20"/>
          <w:color w:val="auto"/>
        </w:rPr>
      </w:pPr>
    </w:p>
    <w:p>
      <w:pPr>
        <w:ind w:left="1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Smart Sensor: </w:t>
      </w:r>
      <w:r>
        <w:rPr>
          <w:rFonts w:ascii="Times New Roman" w:cs="Times New Roman" w:eastAsia="Times New Roman" w:hAnsi="Times New Roman"/>
          <w:sz w:val="18"/>
          <w:szCs w:val="18"/>
          <w:color w:val="auto"/>
        </w:rPr>
        <w:t>A Smart Sensor is a gene circuit, or combination of gene circuits, designed to precisely detect distinct cell types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-557530</wp:posOffset>
            </wp:positionV>
            <wp:extent cx="402590" cy="402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spacing w:after="0" w:line="16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believe we can rationally combine any of these four gene circuit platform technologies to strategically customize therapeutics to outmaneuver complex diseases. The following figure maps how our gene circuit platform technologies are designed to address specific challenges facing existing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140335</wp:posOffset>
            </wp:positionV>
            <wp:extent cx="5151755" cy="213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517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Believe Our Gene Circuits May Have Broad Applicability in Multiple Treatment Modalities and Disease Areas</w:t>
      </w:r>
    </w:p>
    <w:p>
      <w:pPr>
        <w:spacing w:after="0" w:line="11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Treatment Modalities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circuit biological “software” can be used to program numerous cell and gene therapy products, or “hardware.”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Specifically, these modalities include NK cells, T cells, TILs, stem cells including 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and mRNA.</w:t>
      </w:r>
    </w:p>
    <w:p>
      <w:pPr>
        <w:spacing w:after="0" w:line="15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have conducted research in multiple cell types and vector types, and the initial focus of our internal pipeline is implementing gene circuits within off-the-shelf CAR-NK cells in oncology.</w:t>
      </w:r>
    </w:p>
    <w:p>
      <w:pPr>
        <w:spacing w:after="0" w:line="158"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Disease Areas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gene circuits can be customized to address many aspects of disease biology. We have demonstrated and published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applications of gene circuits across many different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Thus, we believe that our gene circuit platform technologies have the potential to be used for a broad range of diseases that span therapeutic areas such as oncology, immunology, genetic diseases, neurology, cardiology, metabolic diseases, ophthalmology and regenerative medicine.</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40"/>
          </w:cols>
          <w:pgMar w:left="320" w:top="482" w:right="7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figure presents our perspective on how our gene circuit technologies can be utilized across modalities and corresponding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031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Utilize Our Design-Build-Test-Learn Engine to Optimize Our Gene Circuits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and continue to scale, our powerful DBTL Engine to generate our therapeutic gene circuits. We believe the speed, quantity and quality by which we can design multiple types of gene circuits, resulting in thousands of functional gene circuits engineered to date, is unique to our platform. Our gene circuits are engineered by an expert team of synthetic biologists informed by proprietary bioinformatics and our internal gene circuits knowledge database. This proprietary knowledge database contains quantitative characterization data on gene circuits we have previously built, including those that are functional and those that are not. Thus, this database helps inform the design of future gene circuits guided by our past experiences. Furthermore, we leverage machine learning approaches to continually enhance the design of such gene circuits based on data generated through testing in our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The breadth and scale of our DBTL Engine allows us to learn from each cycle of design to improve the speed and quality of future designs—even across projects and modalities. This approach leverages and reinforces our position as leaders and innovators in the field of synthetic biology for the development of human therapeutics. Based on decades of experience among our founders as well as the accumulated data from our DBTL Engine, we believe that our approach to programming gene circuits is broadly applicable toward engineering optimal efficacy, precision and control into many cell or gene-based medicines.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figure provides an overview of the key steps in our DBTL 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065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1459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82"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 and Product Candidates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believe that our gene circuits will enable us to better address indications that conventional small molecule, protein and cell and gene therapies cannot. We intend to seek feedback from the FDA and comparable regulatory authorities given the novelty of our technologies, which could make the regulatory pathway more complex and potentially time-consuming than for more well-known therapeutics. Our most advanced gene-circuit product candidates are directed at off-the-shelf CAR-NK cells for oncology. In addition to these product candidates, we have discovery stage product candidates focused on gene therapies for tissue-directed targets and cell therapies for regenerative medicines. The following pipeline chart depicts our preclinical stage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10115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SENTI-202</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developing our SENTI-202 product candidate as a Logic Gated (OR + NOT) off-the-shelf CAR-NK cell therapy designed to target and eliminate acute myeloid leukemia, or AML, cells while sparing the healthy hematopoietic stem cells. We are engineering SENTI-202 to express a bivalent CAR as an OR GATE directed against the Tumor-Associated Antigens, Fms-like tyrosine kinase 3 (FLT3) and/or Cluster of Differentiation 33 (CD33), where one or both are expressed in 95% of AML patients. FLT3 is robustly expressed on leukemic stem cells, or LSCs, while CD33 is highly expressed on AML blasts. AML is a heterogeneous disease composed of both AML LSCs and blasts. Thus, we believe that targeting FLT3 OR CD33 will enhance the overall killing activity against diseased cells in AML. However, FLT3 is also expressed on healthy hematopoietic stem cells, or HSCs, in the bone marrow. In order to spare FLT3-expressing healthy HSCs, we have further engineered SENTI-202 with a NOT GATE gene circuit comprised of an inhibitory CAR, or iCAR, targeted against endomucin, or EMCN. EMCN is a Safety Antigen with robust expression on HSCs and no or low expression on AML LSCs and blasts. We believe this NOT GATE gene circuit could allow SENTI-202 to eliminate LSCs that cause relapse while preserving the patient’s own healthy HSCs. This proprietary product profile has the potential to drive towards deeper and longer remissions for AML by enabling killing of diverse AML cells while sparing HSCs that regenerate the blood and the immune systems. We are also engineering SENTI-202 with an aim to express our proprietary calibrated release interleukin 15, or crIL-15. Our crIL-15 construct is being designed to simultaneously produce both membrane-associated and fully-secreted IL-15 proteins in order to simultaneously stimulate surrounding immune cells and promote NK cell expansion, persistence and tumor killing.</w:t>
      </w:r>
    </w:p>
    <w:p>
      <w:pPr>
        <w:spacing w:after="0" w:line="19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clinical evaluation of SENTI-202.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SENTI-301</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Our SENTI-301 product candidate is a Multi-Armed off-the-shelf CAR-NK cell therapy that we are developing for the treatment of advanced hepatocellular carcinoma, or HCC. We are engineering NK cells to target glypican 3, or GPC3, which is highly expressed in 70% to 90% of HCCs and has low or no expression on normal adult tissues. SENTI-301 is armed with a combination of immuno-stimulatory payloads intended to promote expansion and persistence of our CAR NK cells, as well as activation and recruitment of endogenous immune cells into the solid tumor microenvironment for enhanced anti-tumor activity. One of the immuno-stimulatory payloads is our proprietary crIL-15 protein. crIL-15 is designed to simultaneously stimulate surrounding immune cells and promote NK cell expansion, persistence and tumor killing.Expression of our proprietary calibrated release interleukin 12, or crIL-12, is modulated via a small-molecule Regulator Dial gene circuit, and has the potential to stimulate the immune system and overcome the challenges of the immunosuppressive TME in HCC.</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clinical evaluation of SENTI-301.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SENTI-401</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SENTI-401 product candidate is a Logic Gated off-the-shelf CAR-NK cell therapy that we are developing to more precisely target and eliminate colorectal cancer, or CRC, cells while sparing healthy cells elsewhere in the body. We are engineering NK cells to express a CAR directed against carcinoembryonic antigen, or CEA, which is highly overexpressed in 85% to 90% of colorectal cancer but is also expressed in epithelial cells in healthy tissues. CEA is also expressed in other solid tumors, including lung, breast and gastric cancers. The expression profile of CEA in both tumor and healthy cells has resulted in on-target, off-tumor toxicities with conventional CEA-targeted therapies, thus limiting their clinical success. To address this challenge, we are engineering SENTI-401 with a NOT GATE implemented via an iCAR targeted against an epithelial cell Safety Antigen called V-set and Immunoglobulin Domain Containing 2, or VSIG2. Thus, the SENTI-401 product candidate’s Logic Gating is intended to more effectively treat CRC patients by targeting a well-known Tumor-Associated Antigen, CEA, and widen the therapeutic window by preventing killing when CEA appears on healthy cells that also express the VSIG2 Safety Antigen. We are also engineering SENTI-401 to express a combination of potent immune effectors, including our proprietary crIL-15 protein to simultaneously stimulate surrounding immune cells and promote NK cell expansion, persistence and tumor killing, and an additional undisclosed potent immune effector to potentially enhance therapeutic function in solid tumors.</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2023, we plan to present IND-enabling pharmacological data at key scientific conferences. In 2024, we plan to submit an IND application to support the clinical evaluation of SENTI-401.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Discovery Stage Programs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current discovery stage programs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We believe our gene circuits can be readily adapted to new disease contexts to enable a variety of additional CAR-NK product candidates that address important cancers. Our SENTI-411, SENTI-421, and SENTI-311 product candidates are additional off-the-shelf CAR-NK cell therapies for solid and liquid tumors. These product candidates may leverage the gene circuits being developed for our SENTI-202, SENTI-301, and SENTI-401 CAR-NK cells, along with the learnings from our DBTL Engine, to tackle key challenges in oncology, such as Target Heterogeneity and Disease Evasion.</w:t>
      </w:r>
    </w:p>
    <w:p>
      <w:pPr>
        <w:spacing w:after="0" w:line="16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Furthermore, we are actively pursuing the nomination and development of multiple product candidates that harness the full breadth of our gene circuit platform beyond Logic Gating and Multi-Arming of off-the-shelf CAR-NK cells within oncology. In particular, we have entered into collaborations with Spark Therapeutics, Inc.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(acquired by Roche Holding AG) for the design of Smart Sensors for disease- and tissue-specific gene therapy, and with Bluerock Therapeutics LP (acquired by Bayer AG) for the use of Smart Sensors and Regulator Dials for regenerative medicines.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Gene Circuit Application to Off-the-Shelf NK Cells for Oncology</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initial pipeline focus is on the application of our gene circuit platform technologies towards improving the treatment of specific oncology indications. Our most advanced product candidates are off-the-shelf, gene circuit-engineered CAR-NK cells. We have chosen to engineer NK cells with our gene circuits based on our belief that NK cells confer the following advantages in relation to other potential immune cell types in oncology:</w:t>
      </w:r>
    </w:p>
    <w:p>
      <w:pPr>
        <w:spacing w:after="0" w:line="77" w:lineRule="exact"/>
        <w:rPr>
          <w:sz w:val="20"/>
          <w:szCs w:val="20"/>
          <w:color w:val="auto"/>
        </w:rPr>
      </w:pPr>
    </w:p>
    <w:p>
      <w:pPr>
        <w:ind w:left="1080" w:right="120" w:hanging="424"/>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Innate Killing: </w:t>
      </w:r>
      <w:r>
        <w:rPr>
          <w:rFonts w:ascii="Times New Roman" w:cs="Times New Roman" w:eastAsia="Times New Roman" w:hAnsi="Times New Roman"/>
          <w:sz w:val="18"/>
          <w:szCs w:val="18"/>
          <w:color w:val="auto"/>
        </w:rPr>
        <w:t>NK cells naturally carry multiple activating and inhibitory receptors that enable them to innately kill tumor cells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sparing healthy tissues. Furthermore, NK cells have been engineered with CARs to enhance their targeted killing activity. We leverage these features to create Logic Gated CAR-NKs, such as OR GATE CAR-NKs that enhance the killing of heterogeneous tumors and NOT GATE CAR-NKs that spare healthy cells from undesired toxicity and thereby potentially improve on-target, on-tumor killing.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Immune Activation: </w:t>
      </w:r>
      <w:r>
        <w:rPr>
          <w:rFonts w:ascii="Times New Roman" w:cs="Times New Roman" w:eastAsia="Times New Roman" w:hAnsi="Times New Roman"/>
          <w:sz w:val="18"/>
          <w:szCs w:val="18"/>
          <w:color w:val="auto"/>
        </w:rPr>
        <w:t>NK cells have been shown to support robust activation of anti-tumor immune pathways via proinflammatory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cytokine and chemokine secretion. We leverage this feature with our Multi-Arming gene circuits to further improve their ability to trigger endogenous, complementary anti-tumor activity by engaging the rest of the tumor immunity cycle.</w:t>
      </w:r>
    </w:p>
    <w:p>
      <w:pPr>
        <w:spacing w:after="0" w:line="76"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Validated Clinical Activity and Tolerability: </w:t>
      </w:r>
      <w:r>
        <w:rPr>
          <w:rFonts w:ascii="Times New Roman" w:cs="Times New Roman" w:eastAsia="Times New Roman" w:hAnsi="Times New Roman"/>
          <w:sz w:val="18"/>
          <w:szCs w:val="18"/>
          <w:color w:val="auto"/>
        </w:rPr>
        <w:t>Off-the-shelf, as in healthy donor-derived, CAR-NK cells have been recently shown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to have the potential to promote effective anti-tumor activity along with low risks of graft versus host disease, or GvHD, severe cytokine release syndrome, or CRS, and neurotoxicity.</w:t>
      </w:r>
    </w:p>
    <w:p>
      <w:pPr>
        <w:spacing w:after="0" w:line="76"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Off-the-Shelf Manufacturing for Broad Patient Access: </w:t>
      </w:r>
      <w:r>
        <w:rPr>
          <w:rFonts w:ascii="Times New Roman" w:cs="Times New Roman" w:eastAsia="Times New Roman" w:hAnsi="Times New Roman"/>
          <w:sz w:val="18"/>
          <w:szCs w:val="18"/>
          <w:color w:val="auto"/>
        </w:rPr>
        <w:t>We have established proprietary protocols to derive NK cells from healthy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donors, manufacture them at scale with a projected low cost, and cryopreserve them with high retained viability post-thaw. As a result, we believe that CAR-NK cells have the potential to be broadly accessible to patients as they may be delivered rapidly to patients in an off-the-shelf manner and in an outpatient setting.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Calibrated Release (cr) Technology</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Current technologies for arming immune cells with cytokines are limited to either expressing the fully secreted natural form of the protein to support trans- or paracrine signaling, or expressing a membrane-tethered version to promote cis- or autocrine signaling. As a result, we believe these first-generation constructs are unable to efficiently stimulate the engineered cell product and surrounding immune cells, such as those cells from the endogenous immune system, at the same time.</w:t>
      </w:r>
    </w:p>
    <w:p>
      <w:pPr>
        <w:spacing w:after="0" w:line="180"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We have created a novel engineered protein technology called calibrated release (cr). We are using this approach to improve IL-15 and IL-12 signaling in our CAR-NK platform. Our crIL-15 engineered cytokine is tethered to the NK cell surface via a cleavable linker that can be cut off by a ubiquitously expressed protease on the cell surface of NK cells. The rate of linker cleavage can be calibrated by engineering the sensitivity of the cleavable linker sequence to the cell surface protease, enabling us to tune the ratio of membrane-tethered versus fully secreted protein. Our current CAR -NK products utilize crIL-15 to simultaneously stimulate surrounding immune cells and promote NK cell expansion, persistence and tumor killing. crIL-12 is utilized in the SENTI-301 product candidate to potentially stimulate the immune system and overcome the challenges of immunosuppressive TME in HCC.</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82"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Building Manufacturing Capabilities That May Enable Production of Off-The-Shelf Cell Therapies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Capitalize manufacturing capabilities are central to our business strategy, since they can enable us to control the quality and supply of our off-the-shelf CAR-NK cell therapies for clinical studies and ultimately commercialization. A key advantage of off-the-shelf cell therapies, versus autologous products that use each patient’s own cells, is the ability to manufacture large batches of drug product from healthy donor cells that can be produced in advance of clinical use, and then stored in frozen vials. Upon commercialization, we expect to be able to make our cell therapies, if approved, broadly accessible in an off-the-shelf manner to cancer patients.</w:t>
      </w:r>
    </w:p>
    <w:p>
      <w:pPr>
        <w:spacing w:after="0" w:line="183" w:lineRule="exact"/>
        <w:rPr>
          <w:sz w:val="20"/>
          <w:szCs w:val="20"/>
          <w:color w:val="auto"/>
        </w:rPr>
      </w:pPr>
    </w:p>
    <w:p>
      <w:pPr>
        <w:jc w:val="both"/>
        <w:ind w:left="120" w:right="180"/>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South San Francisco, CA, where we lease approximately 40,000 square feet of research and development and corporate office space. In this location, we have approximately 10,000 square feet dedicated to manufacturing development labs. We have established research and development teams with extensive experience in cell and gene therapy manufacturing operations, including vector process development, cell process development, analytical development, quality control and quality assurance. In June 2021, we signed a lease agreement for approximately 92,000 square feet in Alameda, California and have commenced construction of a Current Good Manufacturing Practices, or cGMP, facility to support clinical and commercial-scale manufacturing of multiple off-the-shelf CAR-NK cell product candidates.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manufacturing facility is being designed as a customized end-to-end manufacturing solution to give us the ability to isolate NK cells, engineer these cells with proprietary gene circuits, perform cell culture expansion in large batches, and cryopreserve and store the final cGMP products. We anticipate that this facility will become operational in time to support initial clinical trials for our lead product candidates. We plan to leverage the latest cell therapy manufacturing technologies as we strive to optimize quality, maximize scalability and minimize cost. Our initial manufacturing efforts will focus on our two lead product candidates, SENTI-202 and SENTI-301.</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expect cGMP manufacturing facility startup by the end of 2022 and to present an overview of our clinical-scale GMP manufacturing process for gene-circuit-engineered NK cells at key technical conferences in 2022.</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may also leverage our manufacturing facility to expand the application of our gene circuit technology to biomanufacturing in partnership with one or more third parties.</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Our experienced manufacturing and technical operations team has established an innovative process with the potential for efficient and scalable production of our off-the-shelf CAR-NK cell product candidates. Critical aspects of the cell manufacturing process include the ability to perform the four key steps in the CAR-NK cell manufacturing process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140335</wp:posOffset>
            </wp:positionV>
            <wp:extent cx="4766310" cy="2143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63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1: Source, Isolate and Bank Purified NK Cells as Starting Cells: </w:t>
      </w:r>
      <w:r>
        <w:rPr>
          <w:rFonts w:ascii="Times New Roman" w:cs="Times New Roman" w:eastAsia="Times New Roman" w:hAnsi="Times New Roman"/>
          <w:sz w:val="18"/>
          <w:szCs w:val="18"/>
          <w:color w:val="auto"/>
        </w:rPr>
        <w:t>Starting Cells are obtained from enriching and isolating NK cells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healthy donors.</w:t>
      </w:r>
    </w:p>
    <w:p>
      <w:pPr>
        <w:spacing w:after="0" w:line="15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2: Genetically Engineer Starting Cells with Gene Circuits: </w:t>
      </w:r>
      <w:r>
        <w:rPr>
          <w:rFonts w:ascii="Times New Roman" w:cs="Times New Roman" w:eastAsia="Times New Roman" w:hAnsi="Times New Roman"/>
          <w:sz w:val="18"/>
          <w:szCs w:val="18"/>
          <w:color w:val="auto"/>
        </w:rPr>
        <w:t>We genetically modify our NK cells through a viral vector transduction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enhancing gene circuit expression while minimizing impacts on compromising cell viability or cell expansion.</w:t>
      </w:r>
    </w:p>
    <w:p>
      <w:pPr>
        <w:spacing w:after="0" w:line="15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3: Expand and Scale CAR-NK Cells: </w:t>
      </w:r>
      <w:r>
        <w:rPr>
          <w:rFonts w:ascii="Times New Roman" w:cs="Times New Roman" w:eastAsia="Times New Roman" w:hAnsi="Times New Roman"/>
          <w:sz w:val="18"/>
          <w:szCs w:val="18"/>
          <w:color w:val="auto"/>
        </w:rPr>
        <w:t>Our expansion process is designed to generate large numbers of final product doses per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batch.</w:t>
      </w:r>
    </w:p>
    <w:p>
      <w:pPr>
        <w:spacing w:after="0" w:line="15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4: Formulate and Cryopreserve CAR-NK Cells: </w:t>
      </w:r>
      <w:r>
        <w:rPr>
          <w:rFonts w:ascii="Times New Roman" w:cs="Times New Roman" w:eastAsia="Times New Roman" w:hAnsi="Times New Roman"/>
          <w:sz w:val="18"/>
          <w:szCs w:val="18"/>
          <w:color w:val="auto"/>
        </w:rPr>
        <w:t>For storage and distribution, we will formulate and cryopreserve our final product to retain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viability, persistence and cytotoxic function post-thaw for off-the-shelf use.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 and Investors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Since our founding in 2016, we have built a team of industry-leading experts, including scientists, engineers, advisors and company-builders—all with a deep knowledge of synthetic biology, gene circuits and cell and gene therapy.</w:t>
      </w:r>
    </w:p>
    <w:p>
      <w:pPr>
        <w:spacing w:after="0" w:line="15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Experts and Company Builders. </w:t>
      </w:r>
      <w:r>
        <w:rPr>
          <w:rFonts w:ascii="Times New Roman" w:cs="Times New Roman" w:eastAsia="Times New Roman" w:hAnsi="Times New Roman"/>
          <w:sz w:val="18"/>
          <w:szCs w:val="18"/>
          <w:color w:val="auto"/>
        </w:rPr>
        <w:t>Our founders, Dr. Tim Lu and Dr. Philip Lee are seasoned experts at identifying and building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transformative technologies and companies. Dr. Lu is a pioneer in synthetic biology with strong ties to Harvard University, where he received his M.D., and the Massachusetts Institute of Technology, or MIT, where he received his Ph.D. in Electrical and Biomedical Engineering and started his academic lab in 2010. Dr. Lu is a co-founder of multiple therapeutics platform companies including Synlogic, Tango Therapeutics, Eligo Bioscience, BiomX, and Engine Biosciences. Dr. Philip Lee is an entrepreneur and technology platform builder specializing in cellular systems. He received his Ph.D. in Bioengineering from the University of California, Berkeley and the University of California, San Francisco, and Bachelor of Science, or BS, degrees in Chemical Engineering and Biology from MIT. Dr. Philip Lee was a co-founder of CellASIC, which was acquired by MilliporeSigma, division of Merck KGaA, where he subsequently served as the Head of Cell Culture Systems.</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Groundbreaking Scientists, Clinicians and Drug Developers. </w:t>
      </w:r>
      <w:r>
        <w:rPr>
          <w:rFonts w:ascii="Times New Roman" w:cs="Times New Roman" w:eastAsia="Times New Roman" w:hAnsi="Times New Roman"/>
          <w:sz w:val="18"/>
          <w:szCs w:val="18"/>
          <w:color w:val="auto"/>
        </w:rPr>
        <w:t>Throughout our company are passionate individuals with deep R&amp;D, translational,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and manufacturing knowledge in the fields of synthetic biology, gene circuits and cell and gene therapy. We have numerous scientists and scientific advisors who have made critical discoveries and contributions to the fields of cell and gene therapy. As of June 23, 2022, 33 of our employees hold Ph.D. or M.D. degrees. Our scientific co-founders include Dr. Jim Collins of MIT, one of the founders of the field of synthetic biology, who has the rare distinction of being elected to all three national academies—the National Academy of Sciences, National Academy of Engineering and National Academy of Medicine—and has received a number of major awards recognizing his work, including the Dickson Prize in Medicine. Additionally, we are also advised by our scientific co-founder, Dr. Wilson Wong of Boston University, who is considered an expert in immune cell engineering and synthetic biology for therapeutic applications, and Dr. Ahmad Khalil of Boston University, who is considered an expert in transcription factor engineering for mammalian synthetic biology applications. We are also advised by Dr. Martin Fussenegger of ETH Zurich, who is considered a pioneer in therapeutic synthetic biology and a member of the National Academy of Engineering, and who is the recipient of numerous honors including the AIChE Bailey Award and the Merck Cell Culture Engineering Award. Our Chief Medical Advisor, Dr. Jose Iglesias, has over 30 years of experience in cancer drug clinical development. We are advised by experienced oncology clinicians, including Dr. Lawrence Fong of UCSF, who has been focused on cancer immunotherapy for two decades and has been involved in both preclinical and clinical studies of FDA-approved immunotherapies including sipuleucel-T and immune checkpoint inhibitors, and Dr. Michael Andreeff of M.D. Anderson Cancer Center, who has worked extensively on drug resistance in hematopoietic malignancies, such as AML, and developed or co-developed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82"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several new therapeutic agents. Additionally, in 2021, we added three more advisors who are leaders in the fields of immunotherapy drug discovery and development, and commercial oncology therapeutics. Dr. Michael Kalos, an independent consultant, is an internationally recognized expert in T cell therapy, oncology vaccines and immuno-oncology with experience in both industry and academia. Dr. Robin Taylor, an independent consultant, has two decades of biopharma experience in global development and commercialization of oncology drugs. Dr. Michael Varney, an independent consultant, is a pioneer drug discoverer and biotech leader who has led research and early drug development efforts at Genentech, Pfizer and Agouron.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goal is to become an industry leader in the cell and gene therapy landscape. We are pursuing this goal by advancing our gene circuit platform to discover, develop, manufacture and globally commercialize new classes of cell and gene therapies across therapeutic areas and modalities. To achieve this, we have strategically focused on designing therapeutics to address specific challenges that confound existing disease treatments. We aim to provide smarter medicines to patients, and to execute on this strategy we will continue to build on our extensive capabilities by:</w:t>
      </w:r>
    </w:p>
    <w:p>
      <w:pPr>
        <w:spacing w:after="0" w:line="85"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our portfolio of off-the-shelf CAR-NK cell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discovery stage pipeline and advancing select product candidates into the clinic.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innovation in our leading gene circuit platform and expanding the breadth of our technology and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clinical and commercial-scale manufacturing capabilities for our CAR-NK cell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the commercial potential of our gene circuit platform technologies via strategic collaborations.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Need for Synthetic Biology-Based Gene Circuits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For the human body to maintain proper function, cells constantly sense and interpret a variety of inputs, or biological signals, to produce outputs, or biological responses. Diseases emerge when the balance between these biological inputs and outputs become inadequate or inappropriate to maintain a healthy state. Furthermore, diseases can evolve or mutate to evade the human body’s natural defense mechanisms that normally serve as a check against these imbalances. Thus, many diseases progress when the intrinsic ability of cells in the human body to rebalance healthy physiology is insufficient or becomes overactive. We believe that programming cells to better sense and react to disease environments has the potential to enhance our ability to treat diseases and restore healthy phenotypes.</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Traditional medicines, such as small molecules and biologics, typically target proteins and block their function. We consider these medicines to be static because they have a predefined activity around a single mechanism of action that cannot be modulated once administered. With some exceptions, most traditional medicines primarily treat disease symptoms or sub-optimally address the underlying disease biology, thus failing to achieve durable cures. In addition, some traditional medicines have on-target, off-tissue effects that limit therapeutic windows and cause safety concerns.</w:t>
      </w:r>
    </w:p>
    <w:p>
      <w:pPr>
        <w:spacing w:after="0" w:line="180"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There have been remarkable advances in technologies for reading (sequencing) and writing (synthesizing) DNA over the past few decades. These technologies have aided the biopharmaceutical industry in identifying disease mechanisms and have enabled the programming of cell and gene therapies.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transformative as the early generations of cell and gene therapies have been, they are currently confined to narrow applications and have been proven effective against only a few monogenic diseases and hematological malignancies. These current approaches are limited to sensing and correcting single disease signatures while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82"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providing little control over their dosage, timing or localization. Thus, diseases that are dynamic or multifactorial cannot be readily addressed by existing cell and gene therapy products.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Using our gene circuits, we believe we can design more intelligent cell and gene therapies that (i) can precisely target heterogeneous diseases using Logic Gating, (ii) can be Multi-Armed with complementary payloads to overcome disease evasion, (iii) can be controlled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Regulator Dials to overcome narrow therapeutic windows and (iv) are equipped with Smart Sensors that dynamically detect disease environments.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believe that by leveraging synthetic biology to engineer gene circuit-enabled cell and gene therapies, we will be able to overcome the shortcomings of the early generations of these genetic medicines.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Platform: The Opportunity for Gene Circuits</w:t>
      </w:r>
    </w:p>
    <w:p>
      <w:pPr>
        <w:spacing w:after="0" w:line="22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believe that our gene circuit platform technologies are modality-agnostic and can be deployed in any cell and gene therapy product candidate to improve efficacy, safety and control. Fundamentally, gene circuits reprogram cells to sense key biological signals, compute based on this information and dynamically respond with multiple therapeutic outputs. In contrast to existing single-target or static medicines, this sense-compute-respond paradigm has the potential to enable precise and highly active medicines that can address the complex and dynamic mechanisms underlying important diseases.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Gene Circuit Platform Technologies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our pursuit to create a new generation of smarter medicines, we have built a toolbox of proprietary gene circuit platform technologies that we believe may enhance the risk benefit paradigm of cell and gene therapy products. We are initially focused on four core categories of gene circuits to develop our current and future programs: (i) Logic Gating, (ii) Multi-Arming, (iii) Regulator Dials and (iv) Smart Sensors. Each of our gene circuit platform technologies is designed to confer greater clinical and therapeutic activity, precision and control to cell and gene therapies.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our core gene circuit platform technologies may enable us to engineer smarter medicines and can be categorized as follows:</w:t>
      </w:r>
    </w:p>
    <w:p>
      <w:pPr>
        <w:spacing w:after="0" w:line="127" w:lineRule="exact"/>
        <w:rPr>
          <w:sz w:val="20"/>
          <w:szCs w:val="20"/>
          <w:color w:val="auto"/>
        </w:rPr>
      </w:pPr>
    </w:p>
    <w:p>
      <w:pPr>
        <w:jc w:val="both"/>
        <w:ind w:left="1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Logic Gating: </w:t>
      </w:r>
      <w:r>
        <w:rPr>
          <w:rFonts w:ascii="Times New Roman" w:cs="Times New Roman" w:eastAsia="Times New Roman" w:hAnsi="Times New Roman"/>
          <w:sz w:val="18"/>
          <w:szCs w:val="18"/>
          <w:color w:val="auto"/>
        </w:rPr>
        <w:t>Logic Gating gene circuits are designed to enable cell and gene therapies to control their therapeutic activity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presence or absence of multiple disease biomarkers. Below are examples of Logic Gates applied to cancer, although Logic Gating may be applied to various other disease indications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-417195</wp:posOffset>
            </wp:positionV>
            <wp:extent cx="411480" cy="402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1480" cy="402590"/>
                    </a:xfrm>
                    <a:prstGeom prst="rect">
                      <a:avLst/>
                    </a:prstGeom>
                    <a:noFill/>
                  </pic:spPr>
                </pic:pic>
              </a:graphicData>
            </a:graphic>
          </wp:anchor>
        </w:drawing>
      </w:r>
    </w:p>
    <w:p>
      <w:pPr>
        <w:spacing w:after="0" w:line="56" w:lineRule="exact"/>
        <w:rPr>
          <w:sz w:val="20"/>
          <w:szCs w:val="20"/>
          <w:color w:val="auto"/>
        </w:rPr>
      </w:pPr>
    </w:p>
    <w:p>
      <w:pPr>
        <w:ind w:left="2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NOT GATE: </w:t>
      </w:r>
      <w:r>
        <w:rPr>
          <w:rFonts w:ascii="Times New Roman" w:cs="Times New Roman" w:eastAsia="Times New Roman" w:hAnsi="Times New Roman"/>
          <w:sz w:val="18"/>
          <w:szCs w:val="18"/>
          <w:color w:val="auto"/>
        </w:rPr>
        <w:t>NOT GATE gene circuits are designed to widen the therapeutic window by enabling effective killing of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while preserving healthy cells. The NOT GATE functions by recognizing Safety Antigens, or antigens that are selectively expressed on healthy cells and not on cancer cells, thus limiting on-target, off-tumor killing. By protecting healthy cells, the NOT GATE has the potential to enable more effective on-target, on-tumor killing of tumor cells that express Tumor-Associated Antigens. Generally, existing cancer drugs target only a single antigen, which means they can only be effectively and safely used in situations where that antigen is uniquely expressed on tumors and not in healthy cells, or where the on-target, off-tumor effects are tolerable.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-683895</wp:posOffset>
            </wp:positionV>
            <wp:extent cx="394335" cy="394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55" w:lineRule="exact"/>
        <w:rPr>
          <w:sz w:val="20"/>
          <w:szCs w:val="20"/>
          <w:color w:val="auto"/>
        </w:rPr>
      </w:pPr>
    </w:p>
    <w:p>
      <w:pPr>
        <w:ind w:left="210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 GATE: </w:t>
      </w:r>
      <w:r>
        <w:rPr>
          <w:rFonts w:ascii="Times New Roman" w:cs="Times New Roman" w:eastAsia="Times New Roman" w:hAnsi="Times New Roman"/>
          <w:sz w:val="18"/>
          <w:szCs w:val="18"/>
          <w:color w:val="auto"/>
        </w:rPr>
        <w:t>OR GATE gene circuits are designed to address tumor heterogeneity and limit antigen escape. The OR 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by killing tumor cells that express any one of multiple antigens. Generally, current medicines are unable to address more than one target at a time and are thus susceptible to tumor evasion.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-417195</wp:posOffset>
            </wp:positionV>
            <wp:extent cx="402590"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43" w:lineRule="exact"/>
        <w:rPr>
          <w:sz w:val="20"/>
          <w:szCs w:val="20"/>
          <w:color w:val="auto"/>
        </w:rPr>
      </w:pPr>
    </w:p>
    <w:p>
      <w:pPr>
        <w:jc w:val="both"/>
        <w:ind w:left="210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GATE: </w:t>
      </w:r>
      <w:r>
        <w:rPr>
          <w:rFonts w:ascii="Times New Roman" w:cs="Times New Roman" w:eastAsia="Times New Roman" w:hAnsi="Times New Roman"/>
          <w:sz w:val="18"/>
          <w:szCs w:val="18"/>
          <w:color w:val="auto"/>
        </w:rPr>
        <w:t>AND GATE gene circuits require that multiple targets be present at the same time to trigger killing of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which may enhance the specificity of on-target, on-tumor activity. Generally, conventional therapies only recognize a single antigen for their activity, which can result in a lack of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-417195</wp:posOffset>
            </wp:positionV>
            <wp:extent cx="394335" cy="403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4335" cy="403225"/>
                    </a:xfrm>
                    <a:prstGeom prst="rect">
                      <a:avLst/>
                    </a:prstGeom>
                    <a:noFill/>
                  </pic:spPr>
                </pic:pic>
              </a:graphicData>
            </a:graphic>
          </wp:anchor>
        </w:drawing>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82"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6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Multi-Arming: </w:t>
      </w:r>
      <w:r>
        <w:rPr>
          <w:rFonts w:ascii="Times New Roman" w:cs="Times New Roman" w:eastAsia="Times New Roman" w:hAnsi="Times New Roman"/>
          <w:sz w:val="18"/>
          <w:szCs w:val="18"/>
          <w:color w:val="auto"/>
        </w:rPr>
        <w:t>Multi-Arming gene circuits are designed to incorporate multiple potent immune effectors into a single cell or gene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These gene circuits are intended to activate various biological pathways in complementary ways to prevent diseases from evading single-target treatments, and thereby potentially improve treatment efficacy. Existing combination therapies that target complex diseases require the application of multiple individual drugs, which is difficult due to research, clinical development, regulatory and pharmacology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-557530</wp:posOffset>
            </wp:positionV>
            <wp:extent cx="402590" cy="394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51" w:lineRule="exact"/>
        <w:rPr>
          <w:sz w:val="20"/>
          <w:szCs w:val="20"/>
          <w:color w:val="auto"/>
        </w:rPr>
      </w:pPr>
    </w:p>
    <w:p>
      <w:pPr>
        <w:ind w:left="1060" w:right="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Regulator Dial: </w:t>
      </w:r>
      <w:r>
        <w:rPr>
          <w:rFonts w:ascii="Times New Roman" w:cs="Times New Roman" w:eastAsia="Times New Roman" w:hAnsi="Times New Roman"/>
          <w:sz w:val="17"/>
          <w:szCs w:val="17"/>
          <w:color w:val="auto"/>
        </w:rPr>
        <w:t>Regulator Dial gene circuits are designed to enable the precise tuning of therapeutic activity from a cell or gene therapy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product. For example, this can be implemented by regulating therapeutic immune effector expression in response to varying concentrations of FDA-approved drugs. Regulator Dials are expected to enable the exogenous regulation of next- generation cell and gene therapies even after they have been delivered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Existing cell and gene therapies cannot be modulated once they have been delivered into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wp:posOffset>
            </wp:positionV>
            <wp:extent cx="402590" cy="403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33" w:lineRule="exact"/>
        <w:rPr>
          <w:sz w:val="20"/>
          <w:szCs w:val="20"/>
          <w:color w:val="auto"/>
        </w:rPr>
      </w:pPr>
    </w:p>
    <w:p>
      <w:pPr>
        <w:ind w:left="10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Smart Sensor: </w:t>
      </w:r>
      <w:r>
        <w:rPr>
          <w:rFonts w:ascii="Times New Roman" w:cs="Times New Roman" w:eastAsia="Times New Roman" w:hAnsi="Times New Roman"/>
          <w:sz w:val="18"/>
          <w:szCs w:val="18"/>
          <w:color w:val="auto"/>
        </w:rPr>
        <w:t>A Smart Sensor is a gene circuit, or combination of gene circuits, designed to precisely detect cell type or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-490855</wp:posOffset>
            </wp:positionV>
            <wp:extent cx="402590" cy="402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spacing w:after="0" w:line="16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believe we can rationally combine any one of these four gene circuit platform technologies to strategically customize therapeutics to outmaneuver complex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131445</wp:posOffset>
            </wp:positionV>
            <wp:extent cx="411480" cy="402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1480" cy="402590"/>
                    </a:xfrm>
                    <a:prstGeom prst="rect">
                      <a:avLst/>
                    </a:prstGeom>
                    <a:noFill/>
                  </pic:spPr>
                </pic:pic>
              </a:graphicData>
            </a:graphic>
          </wp:anchor>
        </w:drawing>
      </w:r>
    </w:p>
    <w:p>
      <w:pPr>
        <w:spacing w:after="0" w:line="3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Logic Gating</w:t>
      </w:r>
    </w:p>
    <w:p>
      <w:pPr>
        <w:spacing w:after="0" w:line="200" w:lineRule="exact"/>
        <w:rPr>
          <w:sz w:val="20"/>
          <w:szCs w:val="20"/>
          <w:color w:val="auto"/>
        </w:rPr>
      </w:pPr>
    </w:p>
    <w:p>
      <w:pPr>
        <w:spacing w:after="0" w:line="245"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Logic Gating gene circuits are designed to enable cell and gene therapies to control their therapeutic activity in response to the presence or absence of multiple disease biomarkers. This capability has the potential to enable more accurate and efficient targeting of heterogeneous diseased cells while sparing healthy ones. Our initial product candidates for oncology will utilize our NOT GATE and OR GATE gene circuit technology. Furthermore, we believe this technology can be utilized across a broad range of oncology indications. To this end, we have established a proprietary Tumor-Associated Antigen and Safety Antigen Paired Discovery Platform that enables the expansion of our Logic Gating approach against novel Tumor-Associated Antigen and Safety Antigen pairs across multiple cancer indications.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figure below illustrates the behavior of our Logic Gating gene circuit technologies in CAR-NK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171450</wp:posOffset>
            </wp:positionV>
            <wp:extent cx="5031740" cy="2211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3174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208280</wp:posOffset>
            </wp:positionV>
            <wp:extent cx="394335" cy="394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NOT GATE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Precision Targeting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expression of a single CAR in T cells or NK cells can redirect them to kill cancer cells that express a specific surface antigen. This technology has led to breakthrough therapies for B cell malignancies and multiple myeloma, where targeting of tissue-lineage antigens – CD19 or B Cell Maturation Antigen, or BCMA – rather than Tumor-Associated Antigens, is tolerated. Beyond these initial applications, the lack of uniquely specific tumor antigens presents a great challenge since on-target, off-tumor toxicity to vital tissues significantly limits the cancer indications addressable by single-target CAR-NK or CAR-T therapies. Similar limitations are faced by monoclonal antibodies and antibody-drug conjugates that rely on a single target to discriminate cancer cells from healthy ones.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Logic Gating Solution: NOT GATE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application of CAR-immune cells may be broadened to many cancer types if recognition of a Safety Antigen that is selectively expressed on healthy cells, but not on cancer cells, could selectively block killing against the healthy cells. We believe this feature enables a widened therapeutic window and aggressive treatment of cancers with the potential for enhanced efficacy and reduced risk of undesirable side effects, as well as the expansion of cell therapies into cancer indications where there are no ideal Tumor-Associated Antigens.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 shown in the figure below, we have engineered NK cells with a synthetic NOT GATE gene circuit, where an activating CAR, or aCAR, can drive the killing of cancer cells presenting an activating, Tumor-Associated Antigen, shown in green, while an inhibitory CAR, or iCAR, can suppress cytotoxicity against normal healthy cells that express both the activating Tumor-Associated Antigen and a Safety Antigen, shown in purple.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140335</wp:posOffset>
            </wp:positionV>
            <wp:extent cx="5194935" cy="2074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9493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NOT GATE Proof-of-Concept Data</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NOT GATE is implemented with iCARs, which consist of a Safety Antigen-binding domain and a functional intracellular domain derived from the cytoplasmic tails of inhibitory co-receptors containing immunoreceptor tyrosine-based inhibitory motifs, or ITIMs, which are selected from a library of ITIMs upon testing and evaluation. When a Logic Gated CAR-NK cell encounters a target cell and associates with its cell surface antigens, the aCAR and iCAR “sense” these inputs and provide activating or inhibitory signals into the Logic Gated CAR-NK cell, respectively. Specifically, engagement of the aCAR alone with an activating, Tumor-Associated Antigen triggers 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activating signal cascade in the CAR-NK cells that release cytotoxic mediators to kill the cancer cells. When the iCAR recognizes a certain Safety Antigen that is preferentially expressed on healthy cells, an inhibitory signal cascade is triggered in the CAR-NK cells to block the cytotoxic response, thus sparing the healthy cells.</w:t>
      </w:r>
    </w:p>
    <w:p>
      <w:pPr>
        <w:spacing w:after="0" w:line="17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functional demonstration of our NOT GATE gene circuit is illustrated in the figure below. A group of mice that received xenotransplantation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model Healthy Cells and model Cancer Cells at a ratio of 50:50 were treated with NOT GATE CAR-NK cells that contained an aCAR that recognizes the tumor-associated antigen on the model Healthy Cells and the model Cancer Cells, and that also contain an iCAR that recognizes the Safety Antigen on the model Healthy Cells. These mice were also treated with Control CAR-NK cells, which contain an aCAR that recognizes the tumor-associated antigen but do not contain an iCAR that recognizes the Safety Antigen on the model Healthy Cells. The Control CAR-NK cells indiscriminately killed both the model Healthy Cells and model Cancer Cells in mice. Conversely, the NOT GATE CAR-NK cells selectively killed the model Cancer Cells, while sparing the model Healthy Cells. Further analysis showed that treatment with NOT GATE CAR-NK cells resulted in significant enrichment of model Healthy Cells in these mice, up from 50% at baseline to approximately 95% after treatment. This data demonstrates that NOT GATE CAR-NK cells can spare model Healthy Cells while maintaining killing of model Cancer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149860</wp:posOffset>
            </wp:positionV>
            <wp:extent cx="4869180" cy="2322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691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Areas of Applications and Alternate Gene Circuits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believe the enhanced precision enabled by our NOT GATE gene circuit may improve the therapeutic window, and thus the potential efficacy and safety, of our product candidates against the cancer types in our pipeline. Furthermore, the NOT GATE has the potential to significantly increase the applicability of CAR-NK cells against a wide range of liquid and solid tumors that currently do not have ideal Tumor-Associated Antigen targets and are thus currently unaddressed.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142875</wp:posOffset>
            </wp:positionV>
            <wp:extent cx="402590" cy="394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3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OR GATE</w:t>
      </w: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Targeting Multiple Antigens</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Many cancers are heterogeneous, making it difficult to treat them by only targeting a single antigen. For example, the development of targeted AML treatments is difficult due to more than 200 types of chromosome translocations and mutations having been identified in patients. Thus, therapies targeting a single AML-associated antigen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often insufficient to kill all of the tumor subsets, including both AML LSCs and blasts. Consequently, most AML patients treated with these therapies die from disease relapse and progression due to incomplete therapeutic activity. Additionally, due to the highly mutagenic nature of cancer cells, targeting single antigens allows for cancers to more easily escape or acquire resistance to treatment. For example, while recent triumphs of CD19-directed autologous CAR-T therapies have brought renewed hope to patients with relapsed/refractory B cell malignancies, up to 50% of patients with pre-B cell acute lymphoblastic leukemia, or ALL, suffer disease relapse within twelve months after treatment. Many of those patients who relapse toward the latter end of the twelve-month period have cancers that have been associated with loss of the CD19 epitope.</w:t>
      </w:r>
    </w:p>
    <w:p>
      <w:pPr>
        <w:spacing w:after="0" w:line="18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These clinical observations demonstrate the potential benefit of developing therapeutics that are capable of simultaneously targeting multiple Tumor-Associated Antigens across heterogeneous cancers using OR GATE gene circuit technology.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Solution and Selected Proof-of-Concept Data: OR GATE</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 GATE gene circuits are designed to simultaneously target multiple Tumor-Associated Antigens. </w:t>
      </w:r>
      <w:r>
        <w:rPr>
          <w:rFonts w:ascii="Times New Roman" w:cs="Times New Roman" w:eastAsia="Times New Roman" w:hAnsi="Times New Roman"/>
          <w:sz w:val="18"/>
          <w:szCs w:val="18"/>
          <w:color w:val="auto"/>
        </w:rPr>
        <w:t>As an example of our OR GATE gene circuits,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evaluated two forms of OR GATE gene circuits to support our SENTI-202 product candidate, a bicistronic dual CAR architecture and a bivalent CAR architecture.</w:t>
      </w:r>
    </w:p>
    <w:p>
      <w:pPr>
        <w:spacing w:after="0" w:line="171"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Bicistronic dual CAR: </w:t>
      </w:r>
      <w:r>
        <w:rPr>
          <w:rFonts w:ascii="Times New Roman" w:cs="Times New Roman" w:eastAsia="Times New Roman" w:hAnsi="Times New Roman"/>
          <w:sz w:val="18"/>
          <w:szCs w:val="18"/>
          <w:color w:val="auto"/>
        </w:rPr>
        <w:t>The bicistronic dual CAR is designed to express two CAR molecules directed against FLT3 and CD33, respectively, two Tumor-Associated Antigens where one or both are expressed in 95% of AML patients. Because CD33 is highly expressed on AML blasts, and FLT3 is highly expressed on LSCs, SENTI-202 offers the potential for elimination of both AML tumor subsets. Using our DBTL Engine, we systematically optimized our OR GATE gene circuit to achieve highly efficient expression of both CAR constructs, as shown in the figures below from top to bottom. Functional proof-of-concept of the OR GATED CAR-NK cells targeting AML is shown in the SENTI-202 pipeline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144780</wp:posOffset>
            </wp:positionV>
            <wp:extent cx="4697730" cy="2357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9773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Bivalent CAR: </w:t>
      </w:r>
      <w:r>
        <w:rPr>
          <w:rFonts w:ascii="Times New Roman" w:cs="Times New Roman" w:eastAsia="Times New Roman" w:hAnsi="Times New Roman"/>
          <w:sz w:val="18"/>
          <w:szCs w:val="18"/>
          <w:color w:val="auto"/>
        </w:rPr>
        <w:t>Bivalent CARs are directed against FLT3 and CD33. The bivalent CAR is a single-chain molecule containing two extracellular binding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domains, thus allowing for increased OR GATE expression and targeting with a single construct. In preclinical mouse models, our FLT3/CD33 bivalent CAR constructs demonstrated significant tumor killing across multiple leukemic cell lines, such as MV4-11, SEM, and HL-60, possessing differential expression levels of FLT3 and CD33 on their cell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142875</wp:posOffset>
            </wp:positionV>
            <wp:extent cx="5469255" cy="2828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6925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AND GATE</w:t>
      </w:r>
    </w:p>
    <w:p>
      <w:pPr>
        <w:spacing w:after="0" w:line="200" w:lineRule="exact"/>
        <w:rPr>
          <w:sz w:val="20"/>
          <w:szCs w:val="20"/>
          <w:color w:val="auto"/>
        </w:rPr>
      </w:pPr>
    </w:p>
    <w:p>
      <w:pPr>
        <w:spacing w:after="0" w:line="24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third Logic Gate gene circuit technology is the AND GATE. AND GATE gene circuits require that multiple targets be present at the same time to trigger killing of cancer cells, which may enhance the specificity of on-target, on-tumor activity. Generally, conventional therapies only recognize a single antigen for their activity. We can implement AND GATE gene circuits in multiple formats, including multiple CARs that activate cancer cell killing when two Tumor-Associated Antigen targets are present simultaneously or multiple Smart Sensors that activate gene therapies when two disease-specific promoters are active simultaneously. For example, we have designed cancer gene therapy product candidates that integrate two cancer-specific promoters with an AND GATE to express cytokines, T cell engagers, chemokines and anti-PD1 antibodies in order to trigger powerful and specific anti-cancer responses in mouse models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225425</wp:posOffset>
            </wp:positionV>
            <wp:extent cx="402590" cy="394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Multi-Arming</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Multi-Arming gene circuits incorporate multiple payloads into a single cell or gene therapy product. These gene circuits are intended to activate various biological pathways in complementary ways to prevent diseases from evading single-target treatments, and thereby improve treatment efficacy. Existing combination therapies that target complex diseases require the application of multiple individual drugs, which is difficult due to research, clinical development, regulatory and pharmacology barriers.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Targeting Multiple Biological Pathways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Many diseases are difficult to treat since they result from the dysfunction of numerous biological pathways, or they evolve strategies to evade single-target therapies. Combination therapies involving multiple distinct drugs are being used to tackle this problem, but manufacturing, developing and delivering multiple individual drugs into the body is challenging.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Gene Circuit Solution: Multi-Arming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believe our Multi-Arming gene circuits can be used to create a single cell or gene therapy product candidate that includes multiple payloads capable of combating multiple disease pathways more effectively. These Multi-Arming gene circuits have the potential to simplify the manufacturing, regulatory and delivery challenges associated with conventional combination therapies. Multi-Arming gene circuits can be controlled by any of our other gene circuit technologies, including Regulator Dials and Logic Gates, to achieve conditional therapeutic activity.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Multi-Arming Proof-of-Concept Data</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assembled a library of immune-stimulatory payloads—such as cytokines, chemokines and enzymes—that have the potential to trigger anti-tumor responses. As illustrated by the figure below, we leveraged our DBTL Engine to improve the expression of various immune stimulatory payloads in CAR-NK cells, and test the effects of single-armed versus multi-armed CAR-NK cells for their anti-cancer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140335</wp:posOffset>
            </wp:positionV>
            <wp:extent cx="5066030" cy="21856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6603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82"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figure below illustrates an example of the benefits of multi-arming. CAR-NK cells were engineered to express either a single cytokine, IL-15 or IL-21, or multi-armed with both IL-15 and IL-21. These engineered CAR-NK cells were co-cultured with fluorescently labeled tumor cells,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tumor cell killing was measured over 5 days. While unarmed CAR-NK cells, and single-armed CAR-NK cells, shown by the purple and red lines in the figure, were able to control and reduce tumor cell growth, the multi-armed CAR-N ells, shown by the teal line in the figure, had greater anti-tumor activity. These results can also be observed by representative fluorescent tumor cell images, shown on the right hand side of the figure, where enhanced tumor killing by the multi-armed CAR-NK cells led to reduced number of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147955</wp:posOffset>
            </wp:positionV>
            <wp:extent cx="5812155" cy="2828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1215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Regulator Dial</w:t>
      </w:r>
    </w:p>
    <w:p>
      <w:pPr>
        <w:spacing w:after="0" w:line="200" w:lineRule="exact"/>
        <w:rPr>
          <w:sz w:val="20"/>
          <w:szCs w:val="20"/>
          <w:color w:val="auto"/>
        </w:rPr>
      </w:pPr>
    </w:p>
    <w:p>
      <w:pPr>
        <w:spacing w:after="0" w:line="24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Regulator Dial gene circuits are designed to enable the precise tuning of therapeutic activity from a cell or gene therapy product. For example, this can be implemented by regulating therapeutic payload expression in response to varying concentrations of FDA-approved drugs. Regulator Dials are expected to enable the exogenous regulation of next-generation cell and gene therapies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even after they have been delivered. We have generated numerous Regulator Dial gene circuits that can be controlled by a variety of FDA-approved small molecule oral drugs, and that can implement various control behaviors, such as ON switches, OFF switches and rheostats.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Dynamic Regulation</w:t>
      </w:r>
    </w:p>
    <w:p>
      <w:pPr>
        <w:spacing w:after="0" w:line="11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 xml:space="preserve">Existing cell and gene therapies cannot be regulated once they are delivered into the patient. This lack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control makes it difficult to control dosing within the ideal therapeutic window. This problem makes it challenging to expand cell and gene therapies to many disease indications and to engineer these products to have increased potency and safety. As a result, gene therapies have focused on indications where constitutive expression is acceptable, rather than diseases where expression of the therapeutic payload must be regulated within a specific range or be toggled on and off over a period of time. As another example, CAR-T cell therapies for oncology have exhibited clinical toxicity due to lack of control post-infusion.</w:t>
      </w:r>
    </w:p>
    <w:p>
      <w:pPr>
        <w:spacing w:after="0" w:line="18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efficacy of adoptive cell therapies in solid tumors is hampered by the poor persistence and dysfunction of these cell therapies in the immunosuppressive tumor microenvironment. Inflammatory cytokines, such as IL-12, have been shown in preclinical studies to enhance CAR-mediated effector functions and stimulate the innate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82"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immune response to further support tumor killing. However, clinical trials involving systemic use of IL-12 have shown severe unexpected toxicity, limiting its clinical application. Overexpressing IL-12 from adoptive T cell therapies using a poorly regulated promoter has also resulted in significant clinical toxicities. Beyond toxicity issues, persistent stimulation by inflammatory cytokines has been associated with cell exhaustion and may limit anti-tumor efficacy. Thus, a mechanism to dynamically regulate cytokine production by armored CAR-immune cells could enable enhanced anti-tumor activity without triggering unacceptable levels of toxicity in patients.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Gene Circuit Solution: Regulator Dial</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One example of our Regulator Dial gene circuit technology is a system designed to regulate gene expression via FDA-approved orally dosed nonstructural protein 3, or NS3, inhibitors. As shown in the figure below, this Regulator Dial consists of a synthetic drug-regulated transcription factor and a synthetic promoter responsive to this regulated transcription factor. In the absence of the drug, the transcription factor is inactive, and no therapeutic protein is produced from the engineered cells. In the presence of the drug, the small molecule triggers expression of the therapeutic protein in a dose-dependent manner—effectively, the Regulator Dial “computes” the level of induction based on the concentration of the drug. Key features of the Regulator Dial, such as (i) basal and maximal expression levels, (ii) thresholds for activation and (iii) input-output gain, can be tuned by our DBTL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148590</wp:posOffset>
            </wp:positionV>
            <wp:extent cx="3111500" cy="31629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115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60"/>
          </w:cols>
          <w:pgMar w:left="320" w:top="482"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Regulator Dial Proof-of-Concept Data</w:t>
      </w:r>
    </w:p>
    <w:p>
      <w:pPr>
        <w:spacing w:after="0" w:line="12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Leveraging our DBTL Engine, our NS3-based Regulator Dial was systematically engineered to improve its sensitivity to drug concentration. Optimization of various elements in the Regulator Dial improved the drug sensitivity by more than 100-fold. As illustrated by the figure below, we evaluated the drug sensitivity of our Regulator Dial gene circuit to control the expression of the calibrated release version of the potent immune effector IL-12. Specifically, this enhanced Regulator Dial gene circuit was triggered at concentrations as low as 0.01 µM of the NS3 inhibitor, grazoprevir, and achieved at least 100-fold induction around the known drug Cmax in humans of 0.23 µM. Thus, we believe that this system could enable precise and tunable control of timing and duration of crIL12 expression at clinically achievable drug concentrations in a dose-dependent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138430</wp:posOffset>
            </wp:positionV>
            <wp:extent cx="5074920" cy="2048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7492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have also examined the potential of our Regulator Dial gene circuits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Using a mouse model to evaluate the ON/OFF/ON induction kinetics of crIL-12 production. Regulator Dial gene circuit-engineered NK cells were injected intravenously into immunodeficient mice on Day 0. Induction of crIL-12 expression in mice was evaluated by treatment with either vehicle control or grazoprevir (GRZ in the figure below). Significant crIL-12 induction was observed in mice treated with grazoprevir on Day 2 post GRZ-treatment in a GRZ-dose dependent manner. crIL-12 returned to basal level eight days upon withdrawal of grazoprevir, and was significantly induced again two days after GRZ-treatment.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Areas of Applications and Alternate Gene Circuits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Beyond the NS3-based Regulator Dial, we have developed and continue to optimize other Regulator Dials. These include Regulator Dials that are controlled by other orally dosed compounds that are FDA-approved or chemicals that are otherwise known as safe, which have differing pharmacology profiles and tissue biodistribution, such as into the central nervous system. These different Regulator Dials can be customized for a variety of cell and gene therapy applications. Conversely, we have created Regulator Dials that are dialed down in response to increasing concentrations of the drug. For example, we have conceptualized and designed various versions of Regulator Dials that have the potential to be regulated by different small molecule drugs, such as Hepatitis C Virus (HCV) protease inhibitors, Immunomodulatory imide drugs, or IMiDs, such as thalidomide and its analogs, and tamoxifen.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148590</wp:posOffset>
            </wp:positionV>
            <wp:extent cx="5614670" cy="2940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1467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Smart Sensor</w:t>
      </w:r>
    </w:p>
    <w:p>
      <w:pPr>
        <w:spacing w:after="0" w:line="200" w:lineRule="exact"/>
        <w:rPr>
          <w:sz w:val="20"/>
          <w:szCs w:val="20"/>
          <w:color w:val="auto"/>
        </w:rPr>
      </w:pPr>
    </w:p>
    <w:p>
      <w:pPr>
        <w:spacing w:after="0" w:line="24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 Smart Sensor is a gene circuit, or combination of gene circuits, designed to precisely detect cell type or disease 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Diseases change over time and location in the body. Existing therapies are often unable to dynamically change their behavior in response to disease conditions or concentrate their activity only to specific places. Smart Sensors can be designed to sense diverse biomarkers that are specific to disease or cell states, including cell-surface antigens, soluble disease markers, metabolites, transcription factors, microRNAs and others. For example, we have created artificial receptors that are displayed on the surface of engineered cells and activate gene expression within these cells when they encounter specific cytokines or small molecule chemicals. We have also designed gene regulatory elements such as promoters and RNA elements that respond to specific intracellular signals, such as transcription factors and microRNAs.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0"/>
          </w:cols>
          <w:pgMar w:left="320" w:top="482" w:right="5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figure below illustrates how our Smart Sensor gene circuit technology can be used to design synthetic promoters to enable gene therapies that are selectively activated in diseased cells by detecting disease-specific transcription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4085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Novel Sensors in Smart Medicine</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Cell and gene therapies have long held out the promise of curing a myriad of diseases, including cancer and genetic disorders. These therapies are generally comprised of three components: (i) the vector, which is used to deliver the transgene into cells; (ii) the promoter, which is a regulatory DNA sequence that drives expression of the transgene; and (iii) a transgene, which is the therapeutic payload.</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While early successes in the field have led to recently approved gene therapies, it remains challenging to precisely target gene expression only in diseased cells. This is an important limitation since many genetic disorders require controlled or targeted activity in certain cell types in order to correct diseases while preventing undesirable side effects. Similarly, in cancer gene therapy, it is important to achieve selective killing in cancer cells while sparing healthy tissues. Engineering viral vectors that are biased toward specific cell types is limited by the availability of a unique feature on the outside of the target cell that a viral vector can harness. Additionally, many of the promoters used in current gene therapies are not disease, cell or tissue specific and thus lack the ability to dynamically regulate therapeutic protein production in response to the disease state or location.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40"/>
          </w:cols>
          <w:pgMar w:left="320" w:top="482" w:right="5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Smart Sensors Solution: Cell Type or Cell State Specific Conditional Synthetic Promoters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solution to address these limitations is to construct Smart Sensors that are selectively activated by cell type or cell state. For example, these Smart Sensors are synthetic promoters that sense internal control mechanisms that cells already possess, such as transcription factors. Transcription factors modulate regulatory elements encoded in the DNA sequence of promoters to direct gene transcription to occur in a specific cell type, or even a specific cell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142875</wp:posOffset>
            </wp:positionV>
            <wp:extent cx="4732020" cy="23742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3202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320" w:top="482" w:right="5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established, and continue to scale, our powerful DBTL Engine to discover highly potent and selective synthetic promoters. As shown in the figure below, our iterative high-throughput process utilizes advanced computational approaches, such as machine learning, to discover these promoters. In the first stage, we perform computational analyses of public and proprietary gene expression datasets to identify transcriptional regulatory elements that are active in a desired, or on-target, cell type and inactive in one or more undesired, or off-target, cell types. Based on these analyses, we computationally design diverse libraries of synthetic, compact promoters that can be synthesized in parallel. For example, we can design libraries containing more than 10,000 promoters that are 200 to 400 base pairs in size, which is significantly smaller than currently used promoters in gene therapies. In the second stage, we perform high-throughput assays to quantify the activities of these promoters in the on-target cell types versus the off-target cell types using next-generation sequencing. This enables us to identify synthetic promoters that are both highly active and specific for the on-target cells. If further optimization is needed, the output of these screens provides a rich source of proprietary data for the machine-learning-enhanced design of additional synthetic promoter libraries, representing the third stage of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86045" cy="22542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0"/>
          </w:cols>
          <w:pgMar w:left="320" w:top="482" w:right="5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Smart Sensor Proof-of-Concept Data</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have used this high-throughput design platform to generate synthetic promoters for diverse gene and cell therapies. For example, we designed and evaluated, in a high-throughput manner, thousands of synthetic promoters to identify candidates that achieve strong differential expression in breast cancer cells versus healthy breast cells. As shown in the figure below, we were able to validate promoters with very strong selectivity for human breast cancer cells, labeled as Cancer Cell Synthetic Promoter in the figure, versus the healthy breast cells, by up to ~1,000-fold. This level of selectivity is much greater than what we have observed from other cancer-specific promoters of which we are aware. In addition, we also identified healthy-cell-specific promoters, labeled as Healthy Cell Synthetic Promoter in the figure, that are highly selective for healthy breast cells compared to breast cancer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Areas of Applications and Alternate Gene Circuits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concept of Smart Sensors that sense disease-specific or tissue-specific transcriptional states is broadly applicable across various therapeutic areas outside of oncology. For example, we believe we can apply our Smart Sensor design platform to create promoters that are selectively activated in certain cells and tissues, such as neurons and muscle. We have also designed microRNA-responsive Smart Sensor elements into mRNA sequences that achieve selective gene expression in desired cells. These Smart Sensors have the potential to enable gene therapies with maximal on-target activity and minimal off-target side effects, thus increasing the therapeutic window of our product candidates.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have also created artificial receptor architectures that can detect extracellular or cell-surface proteins beyond traditional CARs. These artificial receptor Smart Sensors can be programmed to bind to soluble disease markers, such as cytokines, metabolites, hormones and others, and then modulate gene transcription within cells to drive the appropriate therapeutic response.</w:t>
      </w:r>
    </w:p>
    <w:p>
      <w:pPr>
        <w:spacing w:after="0" w:line="280" w:lineRule="exact"/>
        <w:rPr>
          <w:sz w:val="20"/>
          <w:szCs w:val="20"/>
          <w:color w:val="auto"/>
        </w:rPr>
      </w:pPr>
    </w:p>
    <w:p>
      <w:pPr>
        <w:ind w:left="120" w:right="222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We Believe Our Gene Circuits May Have Broad Applicability in Multiple Treatment Modalities and Disease Areas </w:t>
      </w:r>
      <w:r>
        <w:rPr>
          <w:rFonts w:ascii="Times New Roman" w:cs="Times New Roman" w:eastAsia="Times New Roman" w:hAnsi="Times New Roman"/>
          <w:sz w:val="17"/>
          <w:szCs w:val="17"/>
          <w:color w:val="auto"/>
        </w:rPr>
        <w:t>We believe that our gene circuit platform may have broad applicability across treatment modalities and disease areas.</w:t>
      </w:r>
    </w:p>
    <w:p>
      <w:pPr>
        <w:spacing w:after="0" w:line="23"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Treatment Modalities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circuit biological “software” can be used to program numerous cell and gene therapy products, or “hardware.”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 these modalities include NK cells, T cells, TILs, stem cells including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82"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 xml:space="preserve">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and mRNA. We have conducted research in multiple cell types and vector types, and the initial focus of our internal pipeline is implementing gene circuits within off-the-shelf CAR-NK cells.</w:t>
      </w:r>
    </w:p>
    <w:p>
      <w:pPr>
        <w:spacing w:after="0" w:line="15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Disease Areas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circuits can be customized to address many aspects of disease biology. We have demonstrated and published on applications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 circuits across many different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Thus, we believe that our gene circuit platform technologies can be used against a broad range of diseases that span therapeutic areas such as oncology, immunology, genetic diseases, neurology, cardiology, metabolic diseases, ophthalmology and regenerative medicine.</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following figure presents our perspective on how our gene circuit technologies can be utilized across modalities and corresponding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9970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Utilize Our Design-Build-Test-Learn Engine to Optimize Our Gene Circuits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We have established, and continue to scale, our DBTL Engine to generate our therapeutic gene circuits. We believe the speed, quantity and quality by which we can design multiple types of gene circuits, resulting in thousands of functional gene circuits engineered to date, is unique to our platform. Our gene circuits are engineered by an expert team of synthetic biologists informed by proprietary bioinformatics and our internal gene circuits knowledge database. We also leverage machine learning approaches to continually enhance the design of such gene circuits based on data generated through testing in our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The breadth and scale of our DBTL Engine allows us to learn from each cycle of design to improve the speed and quality of future designs—even across projects and modalities. This approach leverages and reinforces our position as leaders and innovators in the field of synthetic biology for the development of human therapeutics. Based on decades of experience among our founders as well as the accumulated data from our DBTL Engine, we believe that our approach to programming gene circuits is broadly applicable toward engineering optimal efficacy, precision and control into many cell or gene based medicines.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figure provides an overview of the key steps in our DBTL 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0656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1459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Calibrated Release (cr) Technology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Cytokines and other immune stimulatory proteins may be useful in overcoming the immunosuppressive TME in solid tumors by activating endogenous anti-tumor immune cells and to provide support for adoptive cell therapies. For example, in clinical trials run by other parties unaffiliated with Senti Bio, IL-15 has been shown to improve persistence and maintain a cytotoxic phenotype in NK cells. A clinical trial of CAR-NK cells with IL-15 reported clinical efficacy without significant toxicity at assessed doses and time points. Previously published studies of tumor resident NK cells collected from HCC patients have also shown that IL-15 can restore NK cell dysfunction.</w:t>
      </w:r>
    </w:p>
    <w:p>
      <w:pPr>
        <w:spacing w:after="0" w:line="183" w:lineRule="exact"/>
        <w:rPr>
          <w:sz w:val="20"/>
          <w:szCs w:val="20"/>
          <w:color w:val="auto"/>
        </w:rPr>
      </w:pPr>
    </w:p>
    <w:p>
      <w:pPr>
        <w:ind w:left="120" w:right="440"/>
        <w:spacing w:after="0" w:line="256" w:lineRule="auto"/>
        <w:rPr>
          <w:sz w:val="20"/>
          <w:szCs w:val="20"/>
          <w:color w:val="auto"/>
        </w:rPr>
      </w:pPr>
      <w:r>
        <w:rPr>
          <w:rFonts w:ascii="Times New Roman" w:cs="Times New Roman" w:eastAsia="Times New Roman" w:hAnsi="Times New Roman"/>
          <w:sz w:val="18"/>
          <w:szCs w:val="18"/>
          <w:color w:val="auto"/>
        </w:rPr>
        <w:t>However, traditional approaches to use cytokines in combination with adoptive cell therapies have relied on systemic injection of cytokines or engineering the cell therapies themselves to secrete the cytokines or to display them on the cell surface. Systemic injection of cytokines has been challenging due to poor tumor penetration and the risk of systemic immune toxicity. Engineering cell therapies to secrete cytokines can activate endogenous immune cells in a paracrine manner but these secreted cytokines may not provide optimal stimulation of the cell therapies themselves. Engineering cell therapies to display cytokines on the cell surface can stimulate the cell therapies themselves in an autocrine fashion but may not provide optimal activation of endogenous immune cells.</w:t>
      </w:r>
    </w:p>
    <w:p>
      <w:pPr>
        <w:spacing w:after="0" w:line="18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To overcome these limitations, we have created a novel engineered protein technology called calibrated release (cr). Our calibrated release engineered cytokines are expressed by our engineered cells and are tethered to the NK cell surface via a cleavable linker that can be cut off by a ubiquitously expressed protease on the cell surface of NK cells. The rate of linker cleavage can be calibrated by engineering the sensitivity of the cleavable linker sequence to the cell surface protease, enabling us to tune the ratio of membrane-tethered versus fully secreted protein. We believe this platform is generalizable to various proteins, including IL-15 and IL-12.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are using this approach to optimize IL-15 and IL-12 signaling in our CAR-NK platform. All of our current CAR–NK product candidates utilize crIL-15 to simultaneously stimulate surrounding immune cells (paracrine) and promote CAR-NK cell expansion, persistence and tumor killing (autocrine). We have also developed crIL-12 for our SENTI301 product candidate for advanced HCC to potentially stimulate the immune system and overcome the challenges of immunosuppressive TME. This concept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305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shown in the figure below, crIL-15 is functional when cleaved and released into the supernatant, resulting in activation of pSTAT5 signaling in T cells from resting PBMCs. In this experiment, engineered CAR-NK cells that expressed crIL-15 were cultured in the absence of any additional cytokines in the media for 72 hours. That media was then collected and used to stimulate resting PBMCs that were thawed. The levels of pSTAT5 were quantified using flow cytometry on the CD3+ T cell fraction and mean fluorescence intensity (MFI) was measured (Y axis). As shown in the left panel, media from SENTI CAR-NK cells that expressed crIL-15 (teal bar) resulted in pSTAT5 induction that was comparable to CAR-NK expressing wtIL-15 (wild-type IL-15, fully secreted, pink bar), demonstrating the paracrine benefits of crIL-15 in activating other immune cells.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40"/>
          </w:cols>
          <w:pgMar w:left="320" w:top="482"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Furthermore, crIL-15 was shown to improve CAR-NK persistence and cancer cell killing with a 3-round serial killing assay. Engineered SENTI CAR-NK cells armed with our crIL-15 or CAR-NK cells secreting wtIL-15 were co-cultured with tumor cells, which were added at hour 0, hour 96, and hour 168, to repeatedly challenge the CARNK cells with new cancer target cells. Tumor cell samples without NK cells, shown as the yellow lines, continued to grow. In the first round of tumor killing, CAR-NK cells containing crIL-15, shown in teal, as well as CAR-NK cells containing wtIL-15, shown in pink, effectively killed tumor cells. At 96 and 168 hours, CAR-NK cells were rechallenged with fresh tumor cells. In the second and third rounds of cancer cell killing, which commenced with fresh cancer cells being added at hour 96 and hour 168, only SENTI CAR-NK cells armed with crIL-15, shown in teal, maintained their ability to effectively kill tumor cells. This data shows the potential of our calibrated release technology platform to functionally enhance the killing activity of CAR-NK cells in challenging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150495</wp:posOffset>
            </wp:positionV>
            <wp:extent cx="4363085" cy="1714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630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660"/>
        <w:spacing w:after="0" w:line="289" w:lineRule="auto"/>
        <w:rPr>
          <w:sz w:val="20"/>
          <w:szCs w:val="20"/>
          <w:color w:val="auto"/>
        </w:rPr>
      </w:pPr>
      <w:r>
        <w:rPr>
          <w:rFonts w:ascii="Times New Roman" w:cs="Times New Roman" w:eastAsia="Times New Roman" w:hAnsi="Times New Roman"/>
          <w:sz w:val="17"/>
          <w:szCs w:val="17"/>
          <w:color w:val="auto"/>
        </w:rPr>
        <w:t>We are also leveraging the calibrated release technology for IL-12 in SENTI-301, where crIL-12 expression is modulated via a small molecule Regulator Dial gene circuit to control crIL-12 expression levels, in order to stimulate the immune system and overcome the challenges of immunosuppressive TME while potentially avoiding safety issues. We will discuss crIL-12 data in detail in the SENTI-301 product section.</w:t>
      </w: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Pipeline and Product Candidates</w:t>
      </w:r>
    </w:p>
    <w:p>
      <w:pPr>
        <w:spacing w:after="0" w:line="22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We are advancing a broad pipeline of gene circuit-enabled product candidates focused on three distinct categories: (i) off-the-shelf CAR-NK cells for oncology, (ii) gene therapies for tissue-directed targets and (iii) cell therapies for regenerative medicines. Our most advanced programs are off-the-shelf CAR-NK product candidates designed to improve the therapeutic outcome of certain oncology indications: SENTI-202, SENTI-301 and SENTI-401.</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pipeline chart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0115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60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40"/>
          </w:cols>
          <w:pgMar w:left="320" w:top="482"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SENTI-202 for the Potential Treatment of Acute Myeloid Leukemia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developing our SENTI-202 product candidate as a Logic Gated (OR + NOT) off-the-shelf CAR-NK cell therapy designed to target and eliminate AML cells while sparing the healthy bone marrow. We are engineering SENTI-202 to express a bivalent CAR as an OR GATE directed against the Tumor-Associated Antigens, FLT3 and CD33, where one or both are expressed in 95% of AML patients. FLT3 is highly expressed on LSCs, while CD33 is highly expressed on AML blasts. AML is a heterogeneous disease composed of both AML LSCs and blasts. Thus, we believe that targeting FLT3 OR CD33 will enhance the overall killing activity against diseased cells in AML. However, FLT3 is also expressed on HSCs in the bone marrow. In order to spare FLT3-expressing healthy HSCs, we have further engineered SENTI-202 with a NOT GATE gene circuit comprised of an iCAR targeted against EMCN. EMCN is a Safety Antigen with high expression on HSCs and no or low expression on AML LSCs and blasts. We believe this NOT GATE gene circuit could allow SENTI-202 to eliminate LSCs that cause relapse while preserving the patient’s healthy HSCs. Further, SENTI-202 is engineered to express our proprietary crIL-15 to simultaneously stimulate surrounding immune cells and promote NK cell expansion, persistence and tumor killing. This proprietary product profile has the potential to drive towards deeper and longer remissions for AML by enabling killing of diverse AML cells while sparing HSCs that regenerate the blood and the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150495</wp:posOffset>
            </wp:positionV>
            <wp:extent cx="5186045" cy="18942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clinical evaluation of SENTI-202.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Acute Myeloid Leukemia: an Unmet Medical Need</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Almost 10% of new cancer cases in the United States each year are hematologic malignancies, including leukemia, lymphoma and myeloma. AML is a type of acute leukemia characterized by an accumulation of malignant immature white blood cells. It is the most common type of acute leukemia in adults, constituting 80% to 85% of cases, and is the second most common—as well as the deadliest—in children. Due to the absence of highly efficacious therapies, AML has the lowest five-year survival rate among all leukemias at just 29.5%. Since the incidence is highest among the elderly, we expect cases and economic burden will continue to rise as the general population ages. According to Dieguez et al., costs for the three years following AML diagnosis can reach $800,000 per patient.</w:t>
      </w:r>
    </w:p>
    <w:p>
      <w:pPr>
        <w:spacing w:after="0" w:line="187" w:lineRule="exact"/>
        <w:rPr>
          <w:sz w:val="20"/>
          <w:szCs w:val="20"/>
          <w:color w:val="auto"/>
        </w:rPr>
      </w:pPr>
    </w:p>
    <w:p>
      <w:pPr>
        <w:ind w:left="120" w:right="420"/>
        <w:spacing w:after="0" w:line="289" w:lineRule="auto"/>
        <w:rPr>
          <w:sz w:val="20"/>
          <w:szCs w:val="20"/>
          <w:color w:val="auto"/>
        </w:rPr>
      </w:pPr>
      <w:r>
        <w:rPr>
          <w:rFonts w:ascii="Times New Roman" w:cs="Times New Roman" w:eastAsia="Times New Roman" w:hAnsi="Times New Roman"/>
          <w:sz w:val="17"/>
          <w:szCs w:val="17"/>
          <w:color w:val="auto"/>
        </w:rPr>
        <w:t>Conventional therapy for AML generally involves remission induction therapy, followed by consolidation (post-remission) therapy, in which chemotherapy is used with stem cell transplantation to prevent disease recurrence. For remission induction, treatment options include cytotoxic chemotherapy, radiation therapy and targeted therapies, such as monoclonal antibodies and small molecule inhibitors of disease pathways, with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aim of achieving fewer than 5% blast cells in the bone marrow, blood cell counts within normal limits and no signs or symptoms of disease. Unfortunately, 10% to 40% of patients are unable to achieve these complete remission targets despite intensive induction therapy, and conventional therapies have failed to significantly improve the long-term survival of patients for decades. Moreover, relapse of disease in patients with AML is a major issue and remains a difficult clinical challenge, with approximately 70% of patients relapsing within three years.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Development of targeted AML treatments is difficult due to the fact that the disease is highly heterogeneous, with more than 200 types of chromosome translocations and mutations having been identified in AML patients. Therapies targeting a single Tumor-Associated Antigen are therefore often insufficient to kill all of the cancer cell subsets in AML, leading to eventual disease relapse. To drive patients into deeper remissions and prevent relapses, therapies designed to target multiple AML antigens are needed. Additionally, recent studies suggest relapse is associated with the less targeted AML subpopulation of LSCs. Thus, the development of therapies targeting AML LSCs is sorely needed, but this has been challenging since LSC targets are often expressed on healthy cells, such as HSCs, leading to on-target, off-tumor treatment-induced toxicities.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CAR Cell Therapy for AML</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therapeutic administration of CAR cell therapies has considerably advanced the treatment of certain cancers, such as ALL. However, the successes of CAR cell therapies have not yet translated to successful treatment of AML, in part due to the absence of AML-specific target antigens. Due to their nonrestrictive expression, most AML antigens are also expressed on healthy HSCs or myeloid cells. Thus, on-target, off-tumor killing effects of the therapy may lead to the ablation of hematopoietic stem, progenitor or myeloid cells. While the B cell depletion that results from off-tumor killing of normal healthy cells in CAR-T therapy of ALL can be clinically managed, off-tumor killing of HSCs is unlikely to be tolerated in the case of AML treatment. Thus, the identification of antigens that enable more robust targeting of AML cells, including LSCs, along with new strategies to reduce off-target killing of HSCs, are critically needed to realize the promise of CAR cell therapies for AML treatment. These described challenges also extend to other potential AML therapeutic modalities, such as antibodies and bispecific T cell engagers.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82"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SENTI-202 Approach to AML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SENTI-202 off-the-shelf CAR-NK cells are engineered with gene circuits that enable identification of cancerous versus healthy cells using NOT GATE</w:t>
      </w:r>
    </w:p>
    <w:p>
      <w:pPr>
        <w:spacing w:after="0" w:line="39" w:lineRule="exact"/>
        <w:rPr>
          <w:sz w:val="20"/>
          <w:szCs w:val="20"/>
          <w:color w:val="auto"/>
        </w:rPr>
      </w:pPr>
    </w:p>
    <w:p>
      <w:pPr>
        <w:ind w:left="120" w:right="300" w:hanging="4"/>
        <w:spacing w:after="0" w:line="260" w:lineRule="auto"/>
        <w:tabs>
          <w:tab w:leader="none" w:pos="2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GATE logic decisions, and potentially improved persistence and more durable antitumor functions. SENTI-202 combines two different Logic Gates, and crIL-15 expression, as follows:</w:t>
      </w:r>
    </w:p>
    <w:p>
      <w:pPr>
        <w:spacing w:after="0" w:line="86"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iCAR NOT GATE gene circuit to prevent CAR-mediated killing of cells expressing either FLT3 or CD33 and a Safety Antigen, EMCN. The EMCN iCAR is intended to suppress CAR-NK cell cytotoxicity against healthy HSCs, reducing the risk of potential life-threatening bone marrow toxicity and potentially increasing the therapeutic window and on-target, on-tumor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2713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604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right="44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aCAR OR GATE gene circuit to activate CAR-mediated killing of AML cells expressing either or both of the Tumor-Associated Antigens FLT3 and CD33, thus increasing the targeting of both AML LSCs and blasts.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crIL-15 gene circuit to simultaneously provide both autocrine and paracrine IL-15 signaling in order to simultaneously stimulate surrounding immune cells and promote NK cell expansion, persistence and tumor killing.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40"/>
          </w:cols>
          <w:pgMar w:left="320" w:top="482" w:right="5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figure illustrates the design of SENTI-202 Logic Gating gene circuits to kill AML LSCs and blasts, while sparing healthy HSCs via (FLT3 OR CD33) NOT EMCN logic. Based on the medical community’s substantial clinical experience from autologous and allogeneic-bone marrow transplantations, we believe that protecting 10% to 20% of HSCs would be sufficient to enable hematopoietic recovery and provide clinical benefits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3660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have established a proprietary Tumor-Associated Antigen and Safety Antigen Paired Discovery Platform to identify complementary Tumor-Associated Antigens for the OR GATE and selective Safety Antigens for the NOT GATE. For SENTI-202, we applied this platform to discover the combination of the Tumor-Associated Antigens, FLT3 and CD33, and the corresponding Safety Antigen, EMCN, for application in AML.</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40"/>
          </w:cols>
          <w:pgMar w:left="320" w:top="482" w:right="6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order to select the AML target antigens for the OR GATE gene circuit, we first established criteria for success, including: (i) expression on cell surface targetable by CAR, (ii) high expression across different AML subtypes, (iii) little to no expression in non-hematopoietic tissues and (iv) target combinations that yield broad coverage of AML LSCs and blast cells both among different patients and within individual patients. We utilized our Tumor-Associated Antigen and Safety Antigen Paired Discovery Platform, which leverages an internal bioinformatics database comprising greater than 10 published studies and greater than 1,300 AML patient sample datasets. Using our proprietary transcriptomics- and proteomics-based bioinformatics pipeline, we identified FLT3 and CD33 as desirable Tumor-Associated Antigens for an OR GATE gene circuit to have the potential for comprehensive CAR-mediated killing of AML, including AML LSCs and blasts.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228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As shown in the left panels of the two transcriptomic analysis figures below, our bioinformatics analyses concluded that FLT3 and CD33 are Tumor-Associated Antigens that are more highly expressed among AML LSCs and blast cells, respectively, relative to most healthy hematopoietic lineages.</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40"/>
          </w:cols>
          <w:pgMar w:left="320" w:top="482"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As shown in the right panels of the two transcriptomic analysis figures below, these antigens are generally not expressed in normal healthy solid organ tissues. An important exception is that high-level expression of FLT3 is observed in healthy HSCs, as shown in the green box in the figure below, which is an observation consistent with published literature. In support of this observation, FLT3-directed bispecific antibodies and CAR-T have demonstrated bone marrow suppression and toxicity against hematopoietic stem and pregenitor in preclinical models previously described in literature. Accordingly, we believe preserving these HSCs through a NOT GATE is important to prevent bone marrow suppression during LSC-directed AML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135255</wp:posOffset>
            </wp:positionV>
            <wp:extent cx="4697730" cy="56749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97730" cy="567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Further, our internal evaluations of primary AML samples also indicated that FLT3 and CD33 were highly expressed at the protein level, in both the AML blast and LSC subsets. A representative flow cytometric analysis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82"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is shown in the figure below. The green-shaded quadrants in the figure below represent AML cells that were either FLT3 positive, CD33 positive, or both, demonstrating that the OR GATE approach could limit the number of AML cells that are not targeted by our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131445</wp:posOffset>
            </wp:positionV>
            <wp:extent cx="3985895" cy="2091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8589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SENTI-202 Preclinical Proof-of-Concept Data</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Leveraging our DBTL Engine, we optimized the expression of the OR GATE FLT3 and CD33 CAR constructs, as shown above in the section titled “Our Platform: The Opportunity for Gene Circuits—Logic Gating—OR GATE”. We then evaluated the ability of these OR GATE CAR-NK cells to kill different leukemia cell lines, including ones that have differential expression levels of the FLT3 and CD33 antigens. As shown in the figure below, our FLT3 OR CD33 CAR-NK cells exhibited increased killing over that of the single-target CAR-NK cells, such as FLT3 only CAR-NK and CD33 only CAR-NK cells. Specifically, they demonstrated significantly improved killing across FLT3++ (p &lt; 0.05) and CD33++ (p &lt; 0.01) expressing leukemia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shown as FLT3++ and CD33++ bars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147955</wp:posOffset>
            </wp:positionV>
            <wp:extent cx="3968750" cy="24860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687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82"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We further confirmed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that our OR GATE CAR-NK cells were capable of killing primary AML cells. As shown in the right panel in the figure below, we identified primary AML samples, labeled AML#770, #857, #847, #837 and #846, with expanded blast populations by flow cytometry, then performed co-culture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 assays. Both of our versions of OR GATE CAR-NK cells, bivalent and bicistronic, showed significant cytotoxicity against the primary AML cells (p &lt; 0.01) in comparison to unengineered NK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144145</wp:posOffset>
            </wp:positionV>
            <wp:extent cx="5186045" cy="2211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8604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Furthermore, we evaluated the OR GATE CAR-NK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two AML xenotransplantation tumor models using MV4-11 and MOLM-13 AML cell lines. As shown in the figures below, in each of the mouse models, our FLT3 OR CD33 CAR-NK cells achieved statistically significantly greater anti-tumor activity compared to untreated control mice and mice treated with unengineered NK cells. Treatment with the OR GATE CAR-NK cells also improved survival compared to the control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144145</wp:posOffset>
            </wp:positionV>
            <wp:extent cx="5186045" cy="2339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82" w:right="5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322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shown in the figure below, using the same proprietary transcriptomics and proteomics-based bioinformatics methodology discussed earlier, we identified EMCN as a target antigen that is highly expressed on healthy HSCs but not on AML LSCs or blasts. This validates EMCN’s potential as a Safety Antigen to protect HSCs from potential on-target, off-tumor CAR-NK mediated toxicity. The rationale for utilizing EMCN as the Safety Antigen is further bolstered by a previous finding in the literature that identified EMCN as a marker of the key cell type for repopulating the blood and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145415</wp:posOffset>
            </wp:positionV>
            <wp:extent cx="4011930" cy="2339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1193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Upon selection of EMCN as our primary Safety Antigen target, we next incorporated binders for the FLT3 activating CAR (aCAR) and the EMCN safety antigen into our internal NOT GATE (iCAR) discovery and development platform in order to best identify the optimal iCAR architecture for the SENTI-202 program. Using different FLT3 NOT EMCN CAR-NK cells (primary NK cells engineered to co-express the same FLT3 aCAR with one of dozens or different proprietary EMCN iCARs), we performed an in vitro cytotoxicity protection assay screen using target cells that expressed only the FLT3 Tumor-Associated Antigen and not the EMCN SA (gray bars—model cancer cells) or target cells that expressed both the FLT3 Tumor-Associated Antigen and the EMCN SA (teal bars—model healthy cells). This latter target cell population should be protected from aCAR—mediated killing if the particular iCAR is functional. Using this approach, we identified multiple functional</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82"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EMCN iCAR architectures that enabled robust target cell killing in the absence of the SA (model cancer cells) and provided significant antigen-dependent target cell protection in the presence of the EMCN SA (model healthy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6060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identifying several different EMCN iCARs possessing potent antigen-dependent protection activity, we further tested two of our top EMCN iCAR candidates (v1, v2) within another in vitro cytotoxicity protection assay in which we co-cultured FLT3 NOT EMCN CAR-NK cells (NK cells engineered to express the same FLT3 aCAR with v1 or v2 EMCN iCAR) with target cells that only expressed the FLT3 Tumor-Associated Antigen but did not express the EMCN SA (gray bars—model cancer cells) or target cells that expressed both the FLT3 Tumor-Associated Antigen and the EMCN SA (teal bars—model healthy cells). This latter target cell population should be protected from aCAR-mediated killing if the iCAR (v1 or v2) is functional. As shown in the figure below, we confirmed that the NOT GATE (with multiple EMCN iCAR designs) enables significant antigen-dependent protection of EMCN-expressing cells from CAR-mediated toxicity. Within this experiment, the v1 EMCN iCAR provided 67% protection and the v2 EMCN iCAR provided 50% safety antigen-dependent protection from aCAR-mediated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150495</wp:posOffset>
            </wp:positionV>
            <wp:extent cx="4474845" cy="2442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47484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82"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further evaluated the full FLT3 OR CD33 NOT EMCN gene circuit-equipped NK cells in a cytotoxicity protection assay using the more clinically-relevant donor-derived primary healthy HSCs. Unlike the model Healthy Cell line shown above, bone marrow-derived CD34 enriched primary HSCs have natural levels of both the Tumor-Associated Antigens, FLT3 and CD33, as well as EMCN, expressed on the cell surface and represent a more realistic model to evaluate our proprietary AML NOT GATE gene circuit. As shown below, while FLT3 OR CD33 NOT EMCN CAR-NK cells demonstrated killing of leukemia cell lines comparable to that of the control that does not express the EMCN iCAR, labeled as FLT3 OR CD33 CAR-NK cells (see left data), our NOT GATE enabled significant protection of primary HSCs (see right data), exceeding the 10% to 20% protection target we anticipate would provide clinical benefits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5292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604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 and Key Next Steps for SENTI-202</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have demonstrated, preclinically, the functionality of the key gene circuit components of SENTI-202, namely our FLT3 aCAR, CD33 aCAR and EMCN iCAR constructs. In 2022, we plan to present IND-enabling data at key scientific conferences. In 2023, we plan to submit an IND application to support the clinical evaluation of SENTI-202.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National Cancer Institute (NCI) Contract to Support Development of SENTI-202</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September 2021, we were awarded funding from the National Cancer Institute of the National Institutes of Health in the form of a Small Business Innovation Research (SBIR) contract to support further development of SENTI-202 for AML towards clinical development. The Direct to Phase II SBIR contract will provide us with approximately $1.9 million in federal funding for the SENTI-202 program over two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SENTI-301 for the Potential Treatment of HCC</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SENTI-301 product candidate is a Multi-Armed off-the-shelf CAR-NK cell therapy that we are developing for the treatment of advanced HCC. We are engineering NK cells to target GPC3, which is highly expressed in 70% to 90% of HCCs and has low or no expression on normal adult tissues. SENTI-301 is armed with a combination of potent immune effectors, including our proprietary crIL-15 gene circuit, intended to simultaneously stimulate surrounding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82"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immune cells and promote NK cell expansion, persistence, and tumor killing, as well as our proprietary crIL-12, where expression is modulated via a small molecule Regulator Dial gene circuit, to stimulate the immune system and potentially overcome the challenges of immunosuppressive TME in advanced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1885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8604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evaluation of SENTI-301.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Hepatocellular Carcinoma: an Unmet Medical Need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HCC accounts for approximately 90% of primary liver cancers and represents a large unmet medical need due to the lack of effective treatment options. Globally, it is the sixth most commonly diagnosed cancer, and the fourth leading cause of cancer deaths. In the United States, the rate of death from liver cancer increased by 43% from 7.2 to 10.3 deaths per 100,000 people between 2000 and 2016. Frequently, HCC develops in patients with liver disease such as hepatitis C virus, alcoholic liver disease or non-alcoholic steatohepatitis.</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Available therapies are only modestly efficacious and mortality rate in advanced HCC remains high despite recent improvements in treatment options. The most effective therapy currently available for advanced HCC is atezolizumab plus bevacizumab combination therapy for first line treatment with a 28% objective response rate and a 7% complete response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SENTI-301 Approach to Advanced HCC</w:t>
      </w:r>
    </w:p>
    <w:p>
      <w:pPr>
        <w:spacing w:after="0" w:line="121"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As shown in the figure below, SENTI-301 off-the-shelf NK cells are engineered with multiple anti-tumor activities to achieve a Multi-Armed attack on solid tumors.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SENTI-301 includes:</w:t>
      </w:r>
    </w:p>
    <w:p>
      <w:pPr>
        <w:spacing w:after="0" w:line="131"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aCAR that targets GPC3, a highly expressed antigen in HCC and that has low or no expression on normal adult tissues.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crIL-15 for simultaneous paracrine and autocrine signaling in order to simultaneously stimulate surrounding immune cells and promote NK cell expansion, and persistence, and tumor killing.</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crIL-12, where expression is modulated via a small molecule Regulator Dial gene circuit, to stimulate the immune system and potentially overcome the challenges of immunosuppressive TME in advanced HCC.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82"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208280</wp:posOffset>
            </wp:positionV>
            <wp:extent cx="5143500" cy="22371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GPC3 is a Tumor-Associated Antigen expressed in approximately 70% to 90% of human HCCs, but not expressed in healthy liver tissue or other human organs after birth. GPC3 has previously been clinically evaluated as a therapeutic target for immunotherapy in HCC. GPC3 is also a histologic and serum clinical marker for HCC and its expression has been associated with poor prognosis. Functionally, GPC3 is associated with the control of cell division and growth regulation. We built GPC3 CAR constructs to redirect NK-mediated cytotoxicity against advanced HCC using a GPC3 binder that associates to the membrane proximal region of the GPC3 protein.</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As recombinant proteins, the IL-15 and IL-12 pleiotropic cytokines have previously demonstrated anti-tumor activity in several preclinical studies. IL-15 has been shown to improve NK cell persistence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maintain cytotoxicity. Functionally, IL-12 promotes the secretion of Th1 cytokines from other immune cells, potentiating the recruitment and activation of the endogenous innate and adaptive immune systems, which leads to subsequent induction of an anti-tumor immune response.</w:t>
      </w:r>
    </w:p>
    <w:p>
      <w:pPr>
        <w:spacing w:after="0" w:line="180"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Our proprietary crIL-15 gene circuit is designed to simultaneously produce both membrane-associated and fully secreted IL-15 to support both autocrine- and paracrine-like signaling. We believe that the ability of crIL-15 to also secrete active IL-15 into the tumor microenvironment should enable stimulation of endogenous immune cells within the tumor microenvironment in solid tumor settings. Our proprietary crIL-12 is designed to potentially induce a potent immune response and overcome the challenges of immunosuppressive TME in advanced HCC.</w:t>
      </w:r>
    </w:p>
    <w:p>
      <w:pPr>
        <w:spacing w:after="0" w:line="180"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Previous clinical experiences with adoptive cell transfer of engineered immune cells expressing IL-12 have demonstrated the feasibility of IL-12-secreting cell therapies. However, systemic immunotoxicity has been observed in patients when IL-12 is expressed without tight regulation from adoptive cell therapies. Thus, the narrow therapeutic window associated with IL-12 has limited its success to date.</w:t>
      </w:r>
    </w:p>
    <w:p>
      <w:pPr>
        <w:spacing w:after="0" w:line="176"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We believe our gene circuit technologies may address these previously observed therapeutic window limitations from clinical studies by modulating the expression of crIL-12 using our Regulator Dial gene circuit. For example, a NS3-based Regulator Dial can be utilized to modulate crIL-12 expression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after infusion of the SENTI-301 product candidate via FDA-approved, orally dosed NS3 inhibitors. The NS3 Regulator Dial consists of a synthetic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drug-regulated transcription factor and a synthetic promoter responsive to this regulated transcription factor. In the absence of the drug, the transcription factor is inactive, and no therapeutic protein (such as IL-12) is produced from the engineered cells. In the presence of the drug, the transcription factor is activated, leading to production of the IL-12 payload.</w:t>
      </w:r>
    </w:p>
    <w:p>
      <w:pPr>
        <w:spacing w:after="0" w:line="18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 potential clinical application of the NS3-based Regulator Dial is illustrated in the figure below. Upon infusion of SENTI-301, the crIL-12 regulated gene circuit remains in the off state, thus limiting the potential of systemic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82"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immunotoxicity in patients. As infused CAR-NK cells survey the body, we expect local enrichment, activation and expansion of SENTI-301 in GPC3-positive tumors. The antigen-driven anti-tumor response is further supported by the expression of crIL-15. Once local infiltration and engraftment of SENTI-301 is established, NS3 inhibitors may be given to patients in order to induce crIL-12 expression and promote recruitment of endogenous immune cells to help further mount an anti-tumor response. By incorporating multiple therapeutic mechanisms, such as GPC3 CAR, crIL-15 and regulated crIL-12, into the off-the-shelf NK cells, we believe our SENTI-301 product candidate would be armed with the necessary tools to activate multiple pathways in the tumor-immunity cycle in complementary ways in order to combat advanced HCC and its hostile tumor microenvironment.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138430</wp:posOffset>
            </wp:positionV>
            <wp:extent cx="5092065" cy="15347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9206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SENTI-301 Supporting Data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GPC3 CAR Expression and Function</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designed and built hundreds of crIL-15 GPC3 CAR constructs, with the aim to identify and select our lead GPC3 CAR construct based on its expression profile and cytotoxic functions. These GPC3 CAR constructs were delivered into NK cells and evaluated. Anti-tumor cytotoxic functions were evaluated in co-culture assays against the HCC cell lines, HepG2 and HuH7. The figure below shows a representative experiment demonstrating that NK cells engineered to express several GPC3 CAR and crIL-15, constructs, have enhanced levels of killing activity against HCC target cells (GPC3-positive) compared to unengineered NK cells in an Incucyte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145415</wp:posOffset>
            </wp:positionV>
            <wp:extent cx="5048885" cy="1945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4888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60"/>
          </w:cols>
          <w:pgMar w:left="320" w:top="482" w:right="6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NK cells engineered to GPC3 CAR-crIL15 showed statically significant in vivo anti-tumor activity compared to unengineered NK cells in an IP HCC (HepG2+luciferase)xenotransplantation model. As shown in the figure below, groups treated with SENTI CAR NK #1 +crIL15 and CAR NK #2 +crIL15 (purple and light blue) engineered NK cells exhibited significantly increased survival (p&lt; 0.01 and p&lt;0.001 respectively) over untreated (PBS) and unengineered NK cell-treated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5186045" cy="18434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8604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Regulated crIL-12 Expression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SENTI-301 is engineered with our proprietary crIL-12, where expression is modulated via a small molecule Regulator Dial gene circuit, to stimulate the immune system and potentially overcome the challenges of immunosuppressive TME in advanced HCC. We optimized the Regulator Dial gene circuit in immune cells to minimize basal expression, resulting in minimal production of crIL-12 in the absence of NS3 inhibitors, while maintaining high induced expression in a drug-dose dependent manner. As shown in the figure below, NK cells engineered with the crIL-12 regulated gene circuit were evaluated for induction of crIL-12 expression in the presence of the small molecule NS3 inhibitor, grazoprevir (GRZ). We achieved a basal crIL-12 of &lt;100 pg/ml/1e6 cells while induction with a clinically relevant dose of GRZ (10nM) led to an increased crIL-12 expression by ~390- fold (30,000 pg/1e6 cells&lt;0.0001) in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3574415" cy="2074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57441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20" w:right="180"/>
        <w:spacing w:after="0" w:line="267" w:lineRule="auto"/>
        <w:rPr>
          <w:sz w:val="20"/>
          <w:szCs w:val="20"/>
          <w:color w:val="auto"/>
        </w:rPr>
      </w:pPr>
      <w:r>
        <w:rPr>
          <w:rFonts w:ascii="Times New Roman" w:cs="Times New Roman" w:eastAsia="Times New Roman" w:hAnsi="Times New Roman"/>
          <w:sz w:val="18"/>
          <w:szCs w:val="18"/>
          <w:color w:val="auto"/>
        </w:rPr>
        <w:t xml:space="preserve">Repeated crIL-12 induction using this Regulator Dial gene circuit was evaluated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shown in the figure below, immune-deficient NSG mice received 20×106 engineered NK cells on day 0 and were dosed twice with 50 or 100 mg/kg of GRZ on day 0 and day 1. Blood samples were drawn 1 day (day 2) and 8 days (day 9) posttreatment to assess secreted crIL-12 levels during the small molecule-induced state (ON) and post-small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82"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molecule withdrawal (OFF), respectively. We found that on day 2, crIL-12 was detected at ~1,000 and ~10,700 pg/mL in the plasma of mice that received 50 mg/kg or 10 0mg/kg of GRZ respectively, whereas in vehicle-treated mice, crIL-12 remained &lt;40 pg/ml, demonstrating a significant upregulation of crIL-12 production. On day 9, both the GRZ- and vehicle-treated mice exhibited only background levels (&lt;50 pg/mL) of crIL-12, demonstrating that crIL-12 production was switched off in the absence of GRZ. A second round of crIL-12 induction was assessed by treating mice again at day 9 and day 10 with GRZ. Blood samples were drawn 1 day after the second dose (day 11). We observed that crIL-12 was induced again (~700 and 3000 pg/ml) in response to 50 mg/kg or 100 mg/kg of GRZ. This data validates that crIL-12 expression from engineered NK cells can be regulated in a repeated ON/OFF/ON fashion via the GRZ small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148590</wp:posOffset>
            </wp:positionV>
            <wp:extent cx="4543425" cy="22459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434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7"/>
          <w:szCs w:val="17"/>
          <w:color w:val="auto"/>
        </w:rPr>
        <w:t xml:space="preserve">This Regulator Dial gene circuit for IL-12 was evaluated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As shown in the figure below, immune-deficient NSG mice were dosed with 37.5 mg/kg of GRZ on day 0 and subsequently 75 mg/kg GRZ from day 1 through day 4. These mice received 20×106 engineered cells on day 2. Blood samples were drawn on day 4 and day 8 to assess IL-12 levels during the small molecule-induced state and post-small molecule withdrawal, respectively. We found that on day 4, IL-12 was detected at 1,642 pg/mL in the plasma of mice that received GRZ versus 19 pg/mL in vehicle-treated mice (p &lt; 0.01), a greater than 80-fold upregulation of IL-12 production. On day 8, 4 days after the final GRZ dose, both the GRZ- and vehicle-treated mice exhibited only background levels (20 – 30 pg/mL) of IL-12, demonstrating that IL-12 production was switched off in the absence of GRZ.</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 and Key Next Steps for SENTI-301</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demonstrated, preclinically, the key gene circuit components of SENTI-301, namely our GPC3 aCAR, our engineered crIL-15 and crIL-12 constructs, and our NS3-based Regulator Dial constructs. In 2022, we plan to present IND-enabling data at key scientific conference . In 2023, we plan to submit an IND application to support the clinical evaluation of our SENTI-301 product candidate.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SENTI-401 for the Potential Treatment of CRC</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Our SENTI-401 product candidate is a Logic Gated off-the-shelf CAR-NK cell therapy that we are developing to more precisely target and eliminate CRC cells while sparing healthy cells elsewhere in the body. We are engineering NK cells to express a CAR directed against CEA, which is highly overexpressed in 85% to 90% of colorectal cancer samples but is also expressed in epithelial cells in healthy tissues. CEA is also expressed in</w:t>
      </w:r>
    </w:p>
    <w:p>
      <w:pPr>
        <w:spacing w:after="0" w:line="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320" w:top="482" w:right="5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other solid tumors, including lung, breast and gastric cancers. The expression profile of CEA in both tumor and healthy cells has resulted in on-target, off-tumor toxicities by conventional CEA-targeted therapies, thus limiting their clinical success. To address this challenge, we are engineering NK cells with a NOT GATE implemented via an iCAR targeted against an epithelial cell Safety Antigen called VSIG2. Thus, the SENTI-401 product candidate’s logic gating is intended to more effectively treat CRC patients by targeting a well-known Tumor-Associated Antigen, CEA, and widen the therapeutic window by preventing killing when CEA appears on healthy cells that also express the VSIG2 Safety Antigen. We are also engineering SENTI-401 to express a combination of potent immune effectors, including our proprietary crIL-15 protein to simultaneously stimulate surrounding immune cells and promote NK cell expansion, persistence and tumor killing, and an additional undisclosed potent immune effector to potentially enhance therapeutic function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150495</wp:posOffset>
            </wp:positionV>
            <wp:extent cx="5186045" cy="1929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8604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2023, we plan to present IND-enabling pharmacological data at key scientific conferences. In 2024, we plan to submit an IND application to support the clinical evaluation of SENTI-401.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Colorectal Cancer: an Unmet Medical Need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CRC accounts for approximately 10% of all annually diagnosed cancers and cancer-related deaths worldwide and is the second and third most commonly diagnosed cancer in women and men, respectively. The incidence of CRC worldwide is predicted to increase to 2.5 million new cases in 2035. Of new colorectal cancer diagnoses, 20% of patients present with metastatic disease and another 25% who present with localized disease will later develop metastases. Among patients with metastatic colorectal cancer, approximately 70% to 75% of patients survive after one year of their initial diagnosis; however, the five-year survival rate is less than 20% despite multiple lines of treatment, including combinations of chemotherapy and targeted therapies.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SENTI-401 Approach to CRC</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CEA is a tumor-associated protein overexpressed in many epithelial cancers, most notably in colorectal cancer. However, it is also expressed in a variety of normal epithelial cells throughout the gastrointestinal tract. As shown in the figure below, bioinformatics analyses of RNA sequencing data collected from over 9,500 tumor and 8,500 healthy tissue samples showed that CEACAM5, one of the main isoforms of CEA, is overexpressed across many cancer types, especially colorectal cancer. CEACAM5 expression is also found in healthy organs, including tissues in the GI tract and lungs. Cancer immunotherapies using vaccines and antibodies targeting CEA are actively being investigated in the clinical setting. However, recent clinical studies have shown dose-limiting on-target, off-tumor toxicities in these healthy tissues that also express CEA.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194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8604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We are developing our SENTI-401 product candidate to overcome the challenges associated with targeting the CEA Tumor-Associated Antigen that is present on both tumor and healthy cells. To mitigate the potential risk of on-target, off-tumor toxicity, we are designing SENTI-401 with a NOT GATE gene circuit to differentiate between cancerous and healthy cells. Specifically, SENTI-401 incorporates the following gene circuit:</w:t>
      </w:r>
    </w:p>
    <w:p>
      <w:pPr>
        <w:spacing w:after="0" w:line="81" w:lineRule="exact"/>
        <w:rPr>
          <w:sz w:val="20"/>
          <w:szCs w:val="20"/>
          <w:color w:val="auto"/>
        </w:rPr>
      </w:pPr>
    </w:p>
    <w:p>
      <w:pPr>
        <w:ind w:left="1080" w:right="8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iCAR with a NOT GATE gene circuit that restricts CAR-mediated cell killing to CRC cells that express CEA but not healthy cells that express an epithelial cell Safety Antigen, VSIG2. This NOT gate is designed to potentially reduce on-target, off-tumor toxicity, thus potentially enabling more effective treatment of CEA-expressing cancers.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aCAR that targets CEA, a well-characterized antigen that is overexpressed in many cancers, including CRC.</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crIL-15 gene circuit to simultaneously provide both autocrine and paracrine-like IL-15 signaling in order to simultaneously stimulate surrounding immune cells and promote NK cell expansion, persistence and tumor killing.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undisclosed potent immune effector to potentially enhance therapeutic function in solid tumors.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SENTI-401 Supporting Data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CEA aCAR-NK cells kill CRC cells in an antigen-dependent manner</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designed, built and evaluated hundreds of CEA aCAR constructs by varying the antigen binders, co-stimulatory domains, and other parameters. We screened these CEA aCAR constructs for robust and durable expression on NK cells, and cytotoxicity against CEA-positive tumor cell lines. As shown in the figure below, we evaluated our CEA aCAR-transduced NK cells, labeled as CEA aCAR #1 and CEA aCAR #2, for anti-tumor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cytotoxic functions against a CEA-positive CRC tumor cell line, Ls174t. Both of these CEA aCAR constructs, in comparison to unengineered NK cells or NK cells engineered with a non-specific aCAR construct, mediated statistically significant cytotoxicity against Ls174t and released cytokines in an antigen-specific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140335</wp:posOffset>
            </wp:positionV>
            <wp:extent cx="3960495" cy="26314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6049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CEA aCAR-NK cells significantly reduced tumor burden in a human CRC xenograft tumor model in vivo</w:t>
      </w:r>
    </w:p>
    <w:p>
      <w:pPr>
        <w:spacing w:after="0" w:line="11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To assess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our CAR-NK cells, we developed human xenograft mouse models of CEA-positive CRC tumors. We implanted Ls174t CRC cells in the peritoneal cavity of NSG mice and measured tumor burden and disease progression using a bioluminescent reporter. Mice were treated with PBS, or with one single dose of unengineered NK cells or CEA aCAR-NK cells. CEA aCAR-NK cells resulted in significant reduction (p &lt; 0.05) in tumor burden in mice compared to control mice treated with unengineered NK cells,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144145</wp:posOffset>
            </wp:positionV>
            <wp:extent cx="5151755" cy="21342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517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82" w:right="5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Utilization of the VISG2 protein as our NOT GATE gene circuit Safety Antigen</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developed a robust Tumor-Associated Antigen and Safety Antigen Paired Discovery Platform for the development of NOT GATE CAR-NK therapies. Using this approach, we have identified genes that are differentially expressed in healthy versus tumor tissues and selected antigen candidates based on-target expression in tissues, subcellular localization, antigen topology or presence of extracellular domains and antibody availability. To protect healthy epithelial cells that also express CEA, we discovered VSIG2 as a Safety Antigen candidate. VSIG2 exhibits a favorable pattern of expression in the membrane of epithelial cells of the gastrointestinal tract and lungs, which are CEA-positive tissues that are most at risk of on-target, off-tumor toxicity. We further validated the expression of VSIG2 using immunohistochemistry, or IHC, in healthy tissues and confirmed the lack of expression in primary CRC tumor tissue samples. Specifically, IHC analyses of colorectal tumor tissues and healthy colon epithelium demonstrated that CEA is expressed in both healthy samples, as shown in the upper left of the figure below, and tumor samples, as shown in the lower left of the figure below. In addition, the Safety Antigen VSIG2 is only expressed in healthy colon epithelium, as shown in the upper right of the figure below, and not in tumor samples, as shown in the lower right of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151765</wp:posOffset>
            </wp:positionV>
            <wp:extent cx="4980305" cy="30175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8030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Leveraging these findings, we have constructed VISG2-iCARs that showed selective NOT gate functions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As shown in the figure below, we engineered NK cells to express both our CEA-aCAR and two different VSIG2-iCARs, each with a different intracellular inhibitory domain, at greater than 70% efficiency. These NOT gated CAR NK cells showed equivalent tumor killing relative to CEA aCAR only control NK cells, but were observed to significantly reduce cytotoxicity against a Model Healthy cell line, labelled CEACAM5+VSIG2+ below, by up to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144145</wp:posOffset>
            </wp:positionV>
            <wp:extent cx="5186045" cy="254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study the benefits of crIL-15 armed CAR-NK cells over unarmed CAR-NK cells, NSG mice with established Ls174t CEA+ tumor cells were treated with engineered NK cells. Mice received a supplement of recombinant human IL-2 (10,000 IU, 2x week) but no additional IL-15. Tumor burden was measured using bioluminescence of the tumor cells expressing fLuciferase reporter. Representative images taken at day 15 post tumor implantation (11 days after NK treatment) show that tumor burden was reduced in mice that were treated with CAR-NK cells armed with crIL-15 compared toCAR-NK cells with the CAR alone and no IL-15 (without any IL-15) and unengineered NK cells. This experiment demonstrates the advantage of crIL-15 in CEA-CAR-NK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5285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8604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 and Key Next Steps for SENTI-401</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In 2022, we intend to further evaluate different variants of the CEA aCAR and VSIG2 iCAR constructs, for example different aCAR co-stimulatory domains and iCAR inhibitory domains etc.,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 determine the exact final coding sequences of these individual components. These finalized key gene circuit components would then be incorporated into an optimized vector backbone for cGMP manufacturing. Concurrent with anticipated cGMP manufacturing activities in 2022 and 2023, we anticipate that IND-enabling pharmacology and toxicology studies will be executed to support future submission of an IND application.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Portfolio Expansion Opportunities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Discovery Stage Programs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believe our gene circuits can be readily adapted to new disease contexts to enable a variety of additional CAR-NK product candidates that address important cancers. For example, there are additional opportunities for the application of the NOT GATE gene circuit toward other solid and/or liquid tumor indications beyond SENTI-401. Toward that end, we have developed a Tumor-Associated Antigen and Safety Antigen Paired Discovery Platform to identify future opportunities.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Starting in 2024, we anticipate submitting approximately one IND application per year. Furthermore, we are actively pursuing the nomination and development of multiple product candidates that harness the full breadth of our gene circuit platform beyond Logic Gating and Multi-Arming of off-the-shelf CAR-NK cells within oncology. Our additional discovery efforts are focused on a diverse set of cell and gene therapy applications outside of oncology. In particular, we have entered into collaborations with Spark Therapeutics, Inc. (acquired by Roche Holding AG) for the design of Smart Sensors for disease- and tissue-specific gene therapy, and with Bluerock Therapeutics, Inc. (acquired by Bayer AG) for the use of Smart Sensors and Regulator Dials for regenerative medicines.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82"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Tumor-Associated Antigen and Safety Antigen Paired Discovery Platform</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developed a proprietary Tumor-Associated Antigen and Safety Antigen Paired Discovery Platform to select and validate NOT GATE antigen candidates, as shown in the figure below. We have built a generalizable bioinformatics pipeline that uses RNA transcriptomics data to discover and prioritize tumor and healthy tissue Safety Antigens. We identify Tumor-Associated Antigens that are highly expressed in cancer cells with as little healthy tissue expression as possible, for example Tumor-Associated Antigen A in the figure below. We then discover healthy tissue selective Safety Antigens, for example Safety Antigen E in the figure below, that can protect those healthy tissues that express the Tumor-Associated Antigens, for example Tissues 2 and 5 in the figure below. This process looks at differences in Safety Antigen gene expression in healthy versus tumor tissue. Leads are selected based on the co-expression of Tumor-Associated Antigens and Safety Antigens in healthy tissues, the localization of the Safety Antigens to the cell surface, Safety Antigen topology (presence of extracellular domain) and Safety Antigen-specific antibody availability. Prioritized Tumor-Associated Antigen and Safety Antigen pairs are further validated in primary cancer and primary healthy tissue samples. We leveraged this platform to identify the Safety Antigen targets for the SENTI-202 and SENTI-401 programs, thus demonstrating our ability to target both liquid and solid tumors. This approach allows us to potentially expand our NOT GATE approach to additional cancer indications in which existing single-target approaches, such as monoclonal antibodies, antibody-drug conjugates and single-target CAR cells, are inadequate due to a lack of specificity for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226695</wp:posOffset>
            </wp:positionV>
            <wp:extent cx="5186045" cy="2700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Expansion Opportunities Outside of Oncology</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additional discovery efforts are focused on cell and gene therapy applications that utilize other facets of our synthetic biology platform, including Smart Sensors and Regulator Dials in therapeutic areas beyond oncology.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Manufacturing capabilities are central to our business strategy, since they can enable us to control the quality and supply of our off-the-shelf CAR-NK cell therapies for clinical studies and ultimately commercialization. A key advantage of off-the-shelf cell therapies, versus autologous products that use each patient’s own cells, is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ability to manufacture large batches of drug product from healthy donor cells that can be produced in advance of clinical use, and then stored in frozen vials. Upon commercialization, we expect to be able to make our cell therapies, if approved, broadly accessible in an off-the-shelf manner to cancer patients.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experienced manufacturing and technical operations team has established an innovative process for efficient production of our off-the-shelf CAR-NK cell product candidates. Critical aspects of the cell manufacturing process include the ability to perform four key steps in the CAR-NK cell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140335</wp:posOffset>
            </wp:positionV>
            <wp:extent cx="4526280" cy="20148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2628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1: Source, Isolate and Bank Purified NK Cells as Starting Cells.</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Starting Cells are obtained from enriching and isolating NK cells from qualified healthy donors. Purified NK cells are subsequently cryopreserved and characterized for consistent performance, including assays for cell phenotype, transduction efficiency, cell expansion capability and anti-tumor cytotoxicity. For our initial SENTI-202 and SENTI-301 product candidates, we plan to derive Starting Cells from leukapheresis products collected from qualified healthy donors. From each leukapheresis collection, we will isolate and cryopreserve hundreds of millions of Starting Cells to support multiple product production batches. We believe that peripheral blood derived leukapheresis products are an attractive starting material source due to (i) a mature and validated commercial supply chain, (ii) the large number of purified NK cells per collection and (iii) our ability to characterize the NK cells prior to initiation of manufacturing. An analysis of over a dozen recent isolations performed from different healthy donors demonstrated that our process achieved greater than 95% NK cell purity, greater than 90% viability and up to 500 million NK cells per collection,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137795</wp:posOffset>
            </wp:positionV>
            <wp:extent cx="2931795" cy="1817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3179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82"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2: Genetically Engineer Starting Cells with Gene Circuits.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genetically modify our NK cells through a viral vector transduction process focused on enhancing gene circuit expression while minimizing impacts on compromising cell viability or cell expansion. To generate</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CAR-NK products, the Starting Cells are first thawed and activated. On a specific day post activation, the activated cells undergo our vector transduction process to genetically incorporate our gene circuits. The figure below shows transduction of our activated Starting Cells successfully reached approximately 50% transduction efficiency using a potentially clinically appropriate manufacturing process. Gene circuit-enabled CAR-NK cells were expanded over a total of 21 days. As shown in the center panel of the figure below, our transduction process was shown to have minimal impact on the cell expansion capability when comparing transduced CAR-NK cells versus unengineered NK cells. The transduced cells retained &gt;90% viability with similar growth rate to unengineered NK cells through the 21st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147955</wp:posOffset>
            </wp:positionV>
            <wp:extent cx="4629150" cy="13455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2915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3: Expand and Scale CAR-NK Cells.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expansion process is designed to generate large numbers of final product doses per manufacturing batch. This production process has resulted in high purity of NK cells (&gt;98%) with minimal (&lt;1%) detectable residual T cells. As shown in the figure below, our current process has produced greater than 6,000-fold expansion of CAR-NK cells in a 21 day process, achieving a planned clinical manufacturing scale of hundreds of patient doses per a single manufacturing batch. We are developing additional technologies and processes to further enhance NK cell expansion for commercial manufacturing, including alternative methods for cell activation and expansion and utilization of large-scale cell culture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145415</wp:posOffset>
            </wp:positionV>
            <wp:extent cx="2528570" cy="2057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2857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82"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4: Formulate and Cryopreserve CAR-NK Cells.</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For freezing and distribution, we intend to formulate and cryopreserve our final product to retain viability, persistence and cytotoxic function post-thaw for off-the-shelf use. Each batch of CAR-NK cells will be filled into vials and cryopreserved for long term storage. The CAR-NK cell product candidates will be shipped in vials to clinical sites, where they will be thawed and infused on demand. We have demonstrated that cryopreserved CAR-NK cells can retain key functional properties required for cancer treatment, including stable transgene expression &gt;44 days. As shown below, our cryopreserved CAR-NK cells retained viability and anti-tumor functions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of 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145415</wp:posOffset>
            </wp:positionV>
            <wp:extent cx="4980305" cy="13887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8030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Technical Expertise and Facilities for Clinical and Commercial Manufacturing</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Our corporate headquarters is located in South San Francisco, CA, where we lease approximately 40,000 square feet of research and development and corporate office space. In this location, we have approximately 10,000 square feet dedicated to manufacturing development labs. We have established research and development teams with extensive experience in cell and gene therapy manufacturing operations, including vector process development, cell process development, analytical development, quality control and quality assurance. In June 2021, we signed a lease agreement for a property in Alameda, California with approximately 92,000 square feet and have begun construction on a state-of-the-art cGMP facility to support clinical and commercial-scale manufacturing of multiple off-the-shelf CAR-NK cell product candidates. This manufacturing facility is being designed as a customized end-to-end manufacturing solution to give us the ability to isolate NK cells, engineer these cells with proprietary gene circuits, perform cell culture expansion in large batches, and cryopreserve and store the final cGMP products.</w:t>
      </w:r>
    </w:p>
    <w:p>
      <w:pPr>
        <w:spacing w:after="0" w:line="19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expect cGMP manufacturing facility startup by end of 2022 and present an overview of our clinical-scale GMP manufacturing process for gene-circuit-engineered NK cells at key technical conferences in 2022.</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Our off-the-shelf production process and proprietary manufacturing capabilities are central to our business strategy of maintaining control over the quality and supply of our present and future candidates for off-the-shelf CAR-NK cell therapies. In addition, we believe that our proprietary manufacturing process enables an anticipated cost in line with competitive off-the-shelf production process estimates. Continued advancements in cell culture scale and process efficiencies may further reduce this cost over time.</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we may also leverage our manufacturing facility to expand the application of our gene circuit technology to biomanufacturing in partnership with one or more third parties. See the section titled “Potential Collaboration Around Gene Circuits and GMP Manufacturing.”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License and Collaboration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Exclusive/Co-Exclusive Patent License Agreement with the National Cancer Institute for FLT3 Technology</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In July 2020, we entered into an Exclusive/Co-Exclusive Patent License Agreement, as amended, or the NCI FLT3 Agreement, with the U.S. Department of Health and Human Services, as represented by the National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82"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Cancer Institute, or the NCI, under which the NCI granted us a worldwide, royalty-bearing, sublicensable license under the NCI’s patent rights related to FLT3-targeting chimeric antigen receptor, or CAR, technology (i) exclusively for the development of a universal or split CAR-based immunotherapy using T-cells or NK cells transduced with lentiviral vectors or other retroviral vectors, depending on the cell type, for the prophylaxis or treatment of cancers expressing FMS-like tyrosine kinase 3, or FLT3, where the CAR construct binds to specific domains and (ii) co-exclusively, with a third party, for the development of a multi-specific FLT3 CAR-based immunotherapy or FLT3-specific regulated or switch or Logic Gated CAR-based immunotherapy using T-cells or NK cells transduced with lentiviral vectors or other retroviral vectors, depending on the cell type, for the prophylaxis or treatment of FLT3-expressing cancers, where the CAR construct contains specific domains, in each case of (i) and (ii), to make and have made, use and have used, sell and have sold, offer to sell and import products covered by the licensed patent rights and to practice and have practiced processes covered by the licensed patent rights. In addition to the co-exclusive rights held by a third party, the foregoing license is subject to (a) certain rights of the United States government, including an irrevocable, non-exclusive, non-transferable, royalty-free license for the government to practice all licensed patent rights throughout the world and (b) the NCI’s reserved rights to grant a non-exclusive license to practice the licensed patent rights for purposes of internal research (and not for purposes of commercial manufacture or distribution) at an academic or corporate facility.</w:t>
      </w:r>
    </w:p>
    <w:p>
      <w:pPr>
        <w:spacing w:after="0" w:line="190"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Pursuant to the NCI FLT3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 plan. Upon the first commercial sale of a licensed product or process, we must also use commercially reasonable efforts to make the licensed product or process reasonably accessible to the United States public.</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to us under the NCI FLT3 Agreement, we paid the NCI a one-time, non-refundable license issue fee of $75,000, and are required to pay the NCI a minimum flat annual royalty fee of a dollar amount in the low five digits. We are also obligated to pay the NCI certain development, regulatory and commercial milestone payments of up to an aggregate of $4.6 million for the first licensed product to achieve the applicable event. We will also be required to pay the NCI a tiered royalty in the low-single digit percentages on net sales of each licensed product by us and our sublicensees, subject to specified reductions and offsets, including against the minimum annual royalty payments. Further, the NCI is entitled to receive a portion of the amounts – excluding royalties and certain payments – we receive as a result of the grant of a sublicense under the rights granted under the NCI FLT3 Agreement at a percentage ranging from the low-single digits to low-double digits, depending on the stage of development at which the sublicense is granted. Additionally, we are obligated to pay for a portion of patent expenses that NCI incurred with respect to the licensed patent rights.</w:t>
      </w:r>
    </w:p>
    <w:p>
      <w:pPr>
        <w:spacing w:after="0" w:line="18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NCI FLT3 Agreement will expire, on a licensed product-by-licensed product and country-by-country basis, on the expiration of all licensed patent rights that claim the applicable licensed product in the applicable country. Licensed patent rights are currently expected to expire in 2037, absent patent term extension or adjustment. We may terminate the NCI FLT3 Agreement in its entirety or with respect to a country for any reason by providing 60 days’ prior written notice to the NCI. The NCI may terminate the NCI FLT3 Agreement if (i) we breach any material obligations under the NCI FLT3 Agreement and fail to cure such breach within 90 days after receiving written notice thereof, or (ii) if the NCI reasonably determines that (a) we are not using commercially reasonable efforts to execute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or (e) we cannot reasonably justify a failure to comply with the domestic production requirement, in each case of (a) through (e), where we fail to alleviate the NCI’s concerns in 90 days. Additionally, the NCI reserves the right to terminate or modify the NCI FLT3 Agreement if the NCI determines that such action is necessary to meet the requirements for public use specified by federal regulations issued after the date of the license and these requirements are not reasonably satisfied by us.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Patent License Agreement with the National Cancer Institute for GPC3 Technology</w:t>
      </w:r>
    </w:p>
    <w:p>
      <w:pPr>
        <w:spacing w:after="0" w:line="12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In February 2021, we entered into an Exclusive Patent License Agreement, or the NCI GPC3 Agreement, with the U.S. Department of Health and Human Services, as represented by the NCI, under which the NCI granted us an exclusive, royalty-bearing, sublicensable, worldwide license under the NCI’s patent rights related to glypican-3, or GPC3, targeting CAR technology to make and have made, use and have used, sell and have sold, offer to sell and import products covered by the licensed patent rights and to practice and have practiced processes covered by the licensed patent rights, for the development, production and commercialization of a monospecific CAR-based immunotherapy for the prophylaxis and treatment of GPC3 expressing human cancers using unmodified, off-the-shelf natural killer cells transduced with a viral vector that expresses a CAR, and a gene circuit regulating the expression of one or more armoring payloads, specifically excluding the use of autologous T cells or T cells that have been genetically modified to become off-the-shelf. The foregoing license is subject to (i) certain rights of the United States government, including an irrevocable, non-exclusive, nontransferable, royalty-free license for the government to practice all licensed patent rights throughout the world and (ii) the NCI’s reserved rights to grant a non-exclusive license to practice the licensed patent rights for purposes of internal research (and not for purposes of commercial manufacture or distribution) at an academic or corporate facility.</w:t>
      </w:r>
    </w:p>
    <w:p>
      <w:pPr>
        <w:spacing w:after="0" w:line="192"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Pursuant to the NCI GPC3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 plan. Upon the first commercial sale of a licensed product or process, we must also use commercially reasonable efforts to make the licensed product or process reasonably accessible to the United States public.</w:t>
      </w:r>
    </w:p>
    <w:p>
      <w:pPr>
        <w:spacing w:after="0" w:line="183"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In consideration for the rights granted to us under the NCI GPC3 Agreement, we paid the NCI a one-time, non-refundable license issue fee of $250,000, and are required to pay the NCI a minimum flat annual royalty fee of a dollar amount in the low five digits. We are obligated to pay the NCI certain development, regulatory and commercial milestone payments of an aggregate of $2,575,000 for the first licensed product to achieve the applicable events. We will also be required to pay the NCI a flat royalty in the low-single digit percentages on net sales of each licensed product by us and our sublicensees, subject to specified reductions and offsets, including against the minimum annual royalty payments. Further, the NCI is entitled to receive a portion of the amounts—excluding royalties and certain payments—we receive as a result of the grant of a sublicense under the rights granted under the NCI GPC3 Agreement at a percentage ranging from the low-single digits to low-double digits, depending on the stage of development at which the sublicense is granted. Additionally, we are obligated to pay for patent expenses that NCI incurred with respect to the licensed patent rights.</w:t>
      </w:r>
    </w:p>
    <w:p>
      <w:pPr>
        <w:spacing w:after="0" w:line="1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NCI GPC3 Agreement will expire, on a licensed product-by-licensed product and country-by-country basis, on the expiration of all licensed patent rights that claim the applicable licensed product in the applicable country. Licensed patent rights are currently expected to expire in 2033, absent any patent term extension or adjustment. We may terminate the NCI GPC3 Agreement in its entirety or with respect to a country for any reason by providing 60 days’ prior written notice to the NCI. The NCI may terminate the NCI GPC3 Agreement if (i) we breach any material obligations under the NCI GPC3 Agreement and fail to cure such breach within 90 days after receiving written notice thereof, or (ii) if the NCI reasonably determines that (a) we are not executing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(e) we cannot reasonably satisfy unmet health and safety needs, (f) we cannot reasonably justify a failure to comply with the domestic production requirement or (g) we have been found by a court to have violated antitrust laws in connection with our performance under the NCI GPC3 Agreement, in each case of (a) through (f), where we fail to alleviate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NCI’s concerns in 90 days. Additionally, the NCI reserves the right to terminate or modify the NCI GPC3 Agreement if the NCI determines that such action is necessary to meet the requirements for public use specified by federal regulations issued after the date of the license and these requirements are not reasonably satisfied by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Patent License Agreement with the National Cancer Institute for CD33 Technology</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May 2021, we entered into an Exclusive Patent License Agreement, or the NCI CD33 Agreement, with the U.S. Department of Health and Human Services, as represented by the NCI, under which the NCI granted us an exclusive, royalty-bearing, sublicensable, worldwide license under the NCI’s patent rights related to CD33 targeting CAR technology to make and have made, use and have used, sell and have sold, offer to sell and import products covered by the licensed patent rights and to practice and have practiced processes covered by the licensed patent rights, for the development of a CD33-specific logic-gated CAR-based immunotherapy using autologous human T cells transduced with lentiviral vectors or off-the-shelf human NK cells transduced with retroviral vectors for the prophylaxis or treatment of CD33-expressing cancers. The foregoing license is subject to (i) certain rights of the United States government, including an irrevocable, non-exclusive, nontransferable, royalty-free license for the government to practice all licensed patent rights throughout the world and (ii) the NCI’s reserved rights to grant a non-exclusive license to practice the licensed patent rights for purposes of internal research (and not for purposes of commercial manufacture or distribution) at an academic or corporate facility.</w:t>
      </w:r>
    </w:p>
    <w:p>
      <w:pPr>
        <w:spacing w:after="0" w:line="188"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Pursuant to the NCI CD33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 plan. Upon the first commercial sale of a licensed product or process, we must also use commercially reasonable efforts to make the licensed product or process reasonably accessible to the United States public.</w:t>
      </w:r>
    </w:p>
    <w:p>
      <w:pPr>
        <w:spacing w:after="0" w:line="183"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In consideration for the rights granted to us under the NCI CD33 Agreement, we paid the NCI a one-time, non-refundable license issue fee of $150,000, and are required to pay the NCI a minimum flat annual royalty fee of a dollar amount in the low five digits. We are obligated to pay the NCI certain development, regulatory and commercial milestone payments of an aggregate of $3.5 million for the first licensed product to achieve the applicable events. We will also be required to pay the NCI a flat royalty in the low single-digit percentages on net sales of each licensed product by us and our sublicensees, subject to specified reductions and offsets, including against the minimum annual royalty payments. Further, the NCI is entitled to receive a portion of the amounts—excluding royalties and certain payments—we receive as a result of the grant of a sublicense under the rights granted under the NCI CD33 Agreement at a percentage ranging from the low-single digits to low-double digits, depending on the stage of development at which the sublicense is granted. Additionally, we are obligated to pay for patent expenses that NCI incurred with respect to the licensed patent rights.</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NCI CD33 Agreement will expire, on a licensed product-by-licensed product and country-by-country basis, on the expiration of all licensed patent rights that claim the applicable licensed product in the applicable country. Licensed patent rights are currently expected to expire in 2039, absent any patent term extension or adjustment. We may terminate the NCI CD33 Agreement in its entirety or with respect to a country for any reason by providing 60 days’ prior written notice to the NCI. The NCI may terminate the NCI CD33 Agreement if (i) we breach any material obligations under the NCI CD33 Agreement and fail to cure such breach within 90 days after receiving written notice thereof, or (ii) if the NCI reasonably determines that (a) we are not executing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(e) we cannot reasonably satisfy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unmet health and safety needs, (f) we cannot reasonably justify a failure to comply with the domestic production requirement or (g) we have been found by a court to have violated antitrust laws in connection with our performance under the NCI CD33 Agreement, in each case of (a) through (f), where we fail to alleviate the NCI’s concerns in 90 days. Additionally, the NCI reserves the right to terminate or modify the NCI CD33 Agreement if the NCI determines that such action is necessary to meet the requirements for public use specified by federal regulations issued after the date of the license and these requirements are not reasonably satisfied by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Spark Therapeutics, Inc.</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April 2021, we entered into a Research Collaboration and License Agreement, or the Spark Agreement, with Spark Therapeutics, Inc., or Spark. Under the Spark Agreement, we engaged in a collaborative research program with Spark to design, build and test synthetic promoters that are intended to have each one of five sets of desired characteristics, or promoter profiles. Spark is obligated to reimburse us for our costs and expenses incurred in connection with the conduct of the research program. Upon completion of work under the research program for a particular promoter profile, Spark may select up to a specified number of synthetic promoters for such promoter profile on which it can conduct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evaluation activities.</w:t>
      </w:r>
    </w:p>
    <w:p>
      <w:pPr>
        <w:spacing w:after="0" w:line="183"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 xml:space="preserve">We granted option rights to Spark, on a promoter profile-by-promoter profile basis, to obtain an exclusive, royalty-bearing, sublicensable, worldwide license under our intellectual property rights to develop, manufacture, commercialize and otherwise exploit, for the cure, treatment, palliation, prevention or diagnosis of specified indications, or a licensed field,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gene therapy products incorporating an applicable synthetic promoter that is developed under the Spark Agreement with respect to such promoter profile and is directed towards specified cell types in the central nervous system, eye, or liver. Spark may exercise its option for a single synthetic promoter per promoter profile together with certain related synthetic promoters, or licensed promoters, prior to the expiration of the applicable evaluation period. During the research program and until the expiration of the evaluation period for each promoter profile, we are obligated to work exclusively with Spark on the development, manufacture and commercialization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gene therapy products incorporating synthetic promoters intended to have the same cell type specificity as such promoter profile.</w:t>
      </w:r>
    </w:p>
    <w:p>
      <w:pPr>
        <w:spacing w:after="0" w:line="17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After exercise of an option, Spark will be responsible for all development, manufacture, commercialization and exploitation in the licensed field, at its own cost and expense, of all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products containing an applicable licensed promoter, and we will retain the right to develop, manufacture, commercialize and exploit other products that incorporate the licensed promoters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products that incorporate the licensed promoters for uses outside the licensed field. If Spark does not exercise an option for a particular promoter profile prior to the expiration of the evaluation period for such promoter profile, we will retain all rights to the synthetic promoters developed under the Spark Agreement without any further obligations to Spark for such promoter profile.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Spark Agreement, we received an upfront payment from Spark of $3 million. If Spark exercises an option for a particular promoter profile, it will be required to pay us an option exercise fee in the low to mid-single digit millions. For each licensed promoter-containing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 or licensed product, developed and commercialized by Spark or its affiliates or sublicensees, we are eligible to receive development, regulatory and commercialization milestone payments from Spark up to an aggregate dollar amount in the mid teens millions, and sales milestone payments from Spark up to an aggregate dollar amount in the low hundred millions. In total, we are potentially eligible to receive upfront, opt-in and milestone payments exceeding $645 million if Spark exercises its options for all five promoter profiles and Spark, its affiliates and its sublicensees successfully develop and commercialize five licensed products; we will be eligible to receive additional milestone payments if additional licensed products are developed and commercialized by Spark, its affiliates and its sublicensees. Further, Spark will be obligated to pay us royalties in the low-single digits percentage on net sales of each licensed product sold by Spark, its affiliates and its sublicensees, subject to specified reductions and offsets. Spark’s obligation to pay royalties to us will expire for each licensed product when certain licensed patents and regulatory exclusivities have expired in the country of sale and a minimum number of years has elapsed since the first commercial sale of such licensed product in such country.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82"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Spark Agreement will expire at the end of the last evaluation period if Spark does not exercise any of its options. If Spark exercises at least one option, then the Spark Agreement will expire, on a licensed product-by-licensed product and country-by-country basis, upon the expiration of Spark’s royalty obligation for such licensed product in such country. Spark may terminate the Spark Agreement in its entirety, or on a promoter profile-by-promoter profile or licensed promoter-by-licensed promoter basis, following a specified notice period. Either party may terminate the Spark Agreement in its entirety or in part if the other party fails to cure its material breach of the Spark Agreement within a specified cure period, or immediately if the other party becomes bankrupt or insolvent. We may terminate the Spark Agreement if Spark or any of its affiliates commences any action challenging the validity or enforceability of the licensed patents, other than in certain specified circumstances, or if Spark’s sublicensee challenges our licensed patents, under certain specified circumstances.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Option Agreement with BlueRock Therapeutics LP</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May 2021, we entered into a Collaboration and Option Agreement, or the BlueRock Agreement, with BlueRock Therapeutics LP, or BlueRock. BlueRock is a wholly-owned subsidiary of Bayer Healthcare LLC. Bayer Healthcare LLC’s parent company is Bayer AG, which served as the lead investor in our Series B financing through its Leaps by Bayer unit. Under the BlueRock Agreement, we have engaged in three collaboration programs with BlueRock to research and develop gene circuits that have specified functions. We are responsible for up to $10 million in costs and expenses incurred in connection with our conduct of research activities under an agreed-upon research plan. If the parties mutually agree to add new research activities to the research plan, then BlueRock will be obligated to reimburse us for the costs and expenses that we incur in connection with the agreed-upon additional research activities that, together with costs and expenses incurred under the initial research plan, exceed $10 million. We have not yet received any payment from BlueRock under the BlueRock Agreement and we do not have any obligations to make any payments to BlueRock under the BlueRock Agreement. We are obligated to use commercially reasonable efforts to conduct the research activities assigned to us under the research plan. If we materially breach that obligation and do not cure it within a specified period, BlueRock will have the right to receive a transfer of technology and perform the remainder of the research plan at its own expense.</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Upon completion of work under a research plan for a collaboration program, the joint steering committee established by the parties will identify, subject to a specified maximum, a number of gene circuits per collaboration program, or option gene circuits, that have been successfully developed under such collaboration program. We have granted to BlueRock an option, on a collaboration program-by-collaboration program basis, to obtain an exclusive or non-exclusive license under our intellectual property rights to develop, manufacture and commercialize, for the prevention, treatment or palliation of specified indications, or a licensed field, cell therapy products that contain cells of specified types that incorporate an option gene circuit from such collaboration program or a closely related derivative gene circuit. For each collaboration program, BlueRock may conduct evaluation activities on the option gene circuits from such collaboration program to determine whether to exercise its option, and BlueRock may exercise its option to such option gene circuits together with certain closely related derivative gene circuits, or licensed gene circuits, prior to the expiration of a certain time period, or the option exercise period, which includes a minimum amount of time after the expiration of the three-year research term, delivery of a data package to BlueRock, and completion of a transfer of technology to enable BlueRock’s evaluation activities, whichever happens last. If BlueRock exercises its option for a collaboration program, the parties shall negotiate the financial terms, which will be within certain pre-agreed parameters and may be determined by baseball arbitration if the parties do not reach agreement within the specified negotiation period, and enter into an otherwise agreed-upon written license agreement, or a commercial license. If the parties enter into a commercial license, BlueRock will be responsible, at its sole expense, for the development, manufacture and commercialization, in the applicable licensed field, of cell therapy products containing cells of an applicable type that incorporate an applicable licensed gene circuit, and we will be eligible to receive from BlueRock development, regulatory and commercialization milestone payments, in amounts to be agreed-upon before entry into the commercial license, and royalties, subject to negotiation, equal to low single digit percentages of net sales of applicable cell therapy products sold by BlueRock, its affiliates and its sublicensees,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subject to specified reductions and offsets. If BlueRock does not exercise its option for a collaboration program prior to the expiration of the applicable option exercise period, then we will retain all rights to the gene circuits developed under such collaboration program without any further obligations to BlueRock.</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each collaboration program, we are obligated to work exclusively with BlueRock on the development, manufacture and commercialization, in the applicable licensed field, of cell therapy products that contain cells of specified types that incorporate the specific type of gene circuit for such collaboration program. The end date for this exclusivity obligation for each collaboration program will depend upon whether BlueRock exercises its option for such collaboration program and, if it does, whether the parties enter into a commercial license for such collaboration program. If BlueRock does not exercise its option, then it will end on the expiration of the applicable option exercise period. If BlueRock exercises its option but the parties do not enter into a commercial license, then it will end after a specified time following expiration of the applicable negotiation or baseball arbitration period for the commercial license. If BlueRock exercises its option and the parties enter into a commercial license, then it will end a certain amount of time after the later of completion of research activities or execution of the commercial license.</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addition to the option described above, we granted a right of first negotiation to BlueRock, on a collaboration program-by-collaboration program basis, to obtain a license under our intellectual property rights to research, develop, manufacture and commercialize, for the prevention, treatment or palliation of a specified disease area, or the negotiation field, cell therapy products containing cells of a specified type, or the negotiation cells, that incorporate an applicable efficacy gene circuit developed under such collaboration program. This right of first negotiation does not overlap with the option described above because it pertains to different combinations of indications, cell types and gene circuits. Starting from the effective date of the BlueRock Agreement and, on a collaboration program-by-collaboration program basis, continuing for twelve months or, if later, until the completion of a certain portion of the research plan for such collaboration program, we are obligated to work exclusively with BlueRock on the development, manufacture and commercialization, in the negotiation field, of cell therapy products containing negotiation cells that incorporate the specific type of gene circuit for such collaboration program.</w:t>
      </w:r>
    </w:p>
    <w:p>
      <w:pPr>
        <w:spacing w:after="0" w:line="18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BlueRock Agreement will expire, on a collaboration program-by-collaboration program basis, upon the earliest of the expiration of the option exercise period for such collaboration program, the effective date of the commercial license, the expiration of the applicable negotiation or baseball arbitration period for the commercial license, or the date the parties mutually agree to cease negotiations for the commercial license. Such expiration shall occur no later than January 2026 unless the parties mutually agree to extend the research term. BlueRock may terminate the BlueRock Agreement in its entirety, or on a collaboration program-by-collaboration program basis, following a specified notice period. Either party may terminate the BlueRock Agreement if the other party fails to cure its material breach of the BlueRock Agreement within a specified cure period, or immediately if the other party becomes bankrupt or insolvent. We may terminate the BlueRock Agreement if BlueRock or any of its affiliates commences any action challenging the validity or enforceability of our patents, other than in certain specified circumstances, or if BlueRock’s sublicensee challenges our patents under certain specified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National Cancer Institute (NCI) Contract to Support Development of SENTI-202 in Acute Myeloid Leukemia</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September 2021, we were awarded funding from the National Cancer Institute in the form of a Small Business Innovation Research (SBIR) contract to support further development of SENTI-202 for acute myeloid leukemia (AML) towards clinical development. The Direct to Phase II SBIR contract will provide funding over two years from the NCI of the National Institutes of Health (NIH) and is titled: “Logic-Gated Chimeric Antigen Receptor-Natural Killer Cell Therapy for Acute Myeloid Leukemia.” With the award of this contract, the SENTI-202 program will be funded in part with Federal funds from the National Cancer Institute, National Institutes of Health, Department of Health and Human Services, under Contract No. 75N91021C00026.</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Collaboration Around Gene Circuits and GMP Manufacturing</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may seek to leverage our manufacturing capabilities and proposed cGMP facility to enable us to expand the application of our gene circuit technology through a partnership in the biomanufacturing space. While we intend to use our proprietary gene circuit technology and manufacturing facility primarily for therapeutic product development and commercialization, our technology and facility can also be applied to noncompetitive biomanufacturing applications, which we believe is an approach well-suited for partnering. A potential biomanufacturing partnership could involve retaining operational control and manufacturing supply of our therapeutic candidates, while our partner could control part of the facility for its own use. The following is an illustrative depiction of the framework for a potential biomanufacturing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147955</wp:posOffset>
            </wp:positionV>
            <wp:extent cx="5057775" cy="21170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5777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currently have no agreements or commitments for a manufacturing partnership, and we could determine to advance our manufacturing plans without a partner.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are aware of other companies that are developing technologies that may compete with elements of our gene circuit platform technologies, including A2 Biotherapeutics, Inc., Arsenal Biosciences, Inc., Beam Therapeutics Inc., CRISPR Therapeutics AG, Encoded Therapeutics, Inc., ImmPACT Bio USA, Inc., Intellia Therapeutics, Inc., MeiraGTx Holdings plc, Obsidian Therapeutics, Inc. and Strand Therapeutics Inc. We are also aware of other companies that are focused on the application of engineered CAR-based immune cell therapies, including NK cells, to oncology, and such competitors include Allogene Therapeutics, Inc., Artiva Biotherapeutics, Inc., Atara Biotherapeutics, Inc., Bristol-Myers Squibb Company, Century Therapeutics, Inc., Caribou Biosciences, Inc., Catamaran Bio, Inc., Cytovia Therapeutics, Inc., Editas Medicine, Inc., Fate Therapeutics, Inc., Gilead Sciences, Inc., Lyell Immunopharma, Inc., Nkarta, Inc., Sana Biotechnology, Inc., Shoreline Biosciences, Inc., Takeda Pharmaceutical Company and Vor Biopharma Inc. Some of these companies may have substantially greater financial and other resources than we have, such as larger research and development staff and well-established marketing and salesforces. Mergers and acquisitions in the biotechnology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companies compete with us in recruiting scientific and managerial talent. Our success will partially depend on our ability to obtain, maintain, enforce and defend patents and other intellectual property rights with respect to our product candidates. Our competitors may obtain FDA or other regulatory approval for their product candidates more rapidly than we may obtain approval for ours, which could result in our competitors establishing a strong market position before we are able to enter the market.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82"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Intellectual property is the foundation of our company and not only defines who we are, but is the lens through which we implement our business strategy and research and development. Our overall strategy is to own and control all intellectual property related to our gene circuits. We protect our proprietary technology and intellectual property rights through a combination of wholly-owned patent rights, licensed patent rights in particular fields of use, trademark rights, trade secrets and know-how, contractual provisions and confidentiality procedures. Our general strategy includes protecting our proprietary technology and intellectual property rights domestically and in certain key foreign markets. We continually grow and supplement our intellectual property portfolio with new filings and applications not only to strengthen the protection of proprietary technology and intellectual property rights, but also to protect and support the development and commercialization of current and future product candidates. In addition, we always seek to protect our technological innovations and branding efforts by filing new patent and trademark applications at the appropriate time and strategically relevant jurisdictions.</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patent portfolio relates to our ongoing research and development activities and includes a combination of patents and pending patent applications licensed from third parties, pending patent applications jointly owned with third parties, and patent applications solely owned by us. The patents and pending patent applications in our portfolio can be categorized as relating to our gene circuit platform technologies, including Logic Gating gene circuits, Multi-Arming gene circuits, Regulator Dial gene circuits and Smart Sensor gene circuits; our product candidates, including SENTI-202, SENTI-301 and SENTI-401, as well as other pipeline product candidates; and alternative technologies. Certain of our issued patents and pending patent applications are exclusively or co-exclusively licensed to us in certain therapeutic fields of use from third-party licensors. As of September 8, 2022, our patent portfolio includes five issued U.S. patents, four issued foreign patents, 27 pending U.S. provisional and utility patent applications, 99 pending foreign utility patent applications, and 12 Patent Cooperation Treaty, or PCT, applications, that have not entered national stage.</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With respect to our issued patents, we own two issued U.S. patents and we license from the NCI two issued U.S. patents and four issued foreign patents. Further, we license from a third-party licensor one additional U.S. issued patent. With respect to our pending provisional and utility patent applications, we own or co-own 24 pending U.S. provisional and utility patent applications, 75 pending foreign utility patent applications and 12 PCT applications, that have not entered national stage, and we license from third parties (including the NCI) three pending U.S. utility patent applications and 24 pending foreign utility patent applications. The estimated expiration dates of the issued patents are between 2030 and 2039, and the estimated expiration dates of the pending provisional and utility patent applications, to the extent they issue, will be between 2036 and 2043, without accounting for any patent term adjustments or extensions.</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two issued U.S. patents, two pending U.S. provisional and utility patent applications, and 19 pending foreign utility applications licensed from the NCI. In addition, we have seven solely owned pending U.S. provisional and utility patent applications, 19 solely owned or co-owned pending foreign utility applications, and three solely owned PCT applications that have not entered national stage related to our SENTI-202 product candidate. These patent applications relate to composition of matter, method of preparing and method of treatment. The estimated expiration date of the issued patent is 2038, and the estimated expiration dates of the pending provisional and utility patent applications, to the extent they issue, will be between 2037 and 2043, without accounting for any patent term adjustments or extensions.</w:t>
      </w:r>
    </w:p>
    <w:p>
      <w:pPr>
        <w:spacing w:after="0" w:line="18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have one issued U.S. patent and four issued foreign patents licensed from the NCI, eight solely owned pending U.S. provisional and utility patent applications, 28 solely owned pending foreign utility applications, and seven PCT applications that have not entered national stage related to our SENTI-301 product candidate. These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82"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patent applications relate to composition of matter, method of preparing and method of treatment. The issued patents are expected to expire in 2033, without accounting for any patent term adjustments or extensions. The estimated expiration dates of the pending provisional and utility patent applications, to the extent they issue, will be between 2039 and 2043, without accounting for any patent term adjustments or extensions.</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solely own or co-own six pending U.S. provisional and utility patent applications, 22 pending foreign utility applications and four PCT applications that have not entered national stage related to our SENTI-401 product candidate. These patent applications relate to composition of matter, method of preparing and method of treatment. The estimated expiration dates of the pending provisional and utility patent applications, to the extent they issue, will be between 2039 and 2043, without accounting for any patent term adjustments or extensions.</w:t>
      </w:r>
    </w:p>
    <w:p>
      <w:pPr>
        <w:spacing w:after="0" w:line="180"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also utilize trademark rights to protect our brand and have filed trademark applications for the marks “SENTI,” “SENTI BIOSCIENCES,” “SENTI BIO,” Senti’s “S” logo, and “PRO-DIAL” in the United States and in certain marks in foreign countries. As of September 8, 2022, we own two United States trademark registrations, five pending and/or allowed United States trademark applications, and 14 foreign trademark registrations. We have also registered multiple internet domain names to further supplement the protection of our brand.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sampling post-approval monitoring and post-approval reporting of biologics such as those we are developing. Any product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their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biologics may be marketed in the United States generally involves the following:</w:t>
      </w:r>
    </w:p>
    <w:p>
      <w:pPr>
        <w:spacing w:after="0" w:line="85" w:lineRule="exact"/>
        <w:rPr>
          <w:sz w:val="20"/>
          <w:szCs w:val="20"/>
          <w:color w:val="auto"/>
        </w:rPr>
      </w:pPr>
    </w:p>
    <w:p>
      <w:pPr>
        <w:ind w:left="1080" w:right="7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requirements, or GLP;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 product candidate for its intended purpose;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82"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if applicable, to assess compliance with the FDA’s current Good Tissue Practice, or cGTP, requirements for the use of human cellular and tissue products, and of selected clinical investigation sites to assess compliance with GCPs;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225"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studies. Some preclinical testing may continue even after the IND is submitted.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DNA Molecules, or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 or be combined:</w:t>
      </w:r>
    </w:p>
    <w:p>
      <w:pPr>
        <w:spacing w:after="0" w:line="131" w:lineRule="exact"/>
        <w:rPr>
          <w:sz w:val="20"/>
          <w:szCs w:val="20"/>
          <w:color w:val="auto"/>
        </w:rPr>
      </w:pPr>
    </w:p>
    <w:p>
      <w:pPr>
        <w:ind w:left="1080" w:right="260" w:hanging="424"/>
        <w:spacing w:after="0" w:line="25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88"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2—The investigational product is administered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in the intended therapeutic indication, particularly for long-term safety follow-up. Completion of these so-called Phase 4 studies may also be made a condition to approval of the BLA.</w:t>
      </w:r>
    </w:p>
    <w:p>
      <w:pPr>
        <w:spacing w:after="0" w:line="176"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safety, purity and potency of the final product. Additionally, appropriate packaging must be selected and tested, and stability studies must be conducted to demonstrate that the product candidate does not undergo unacceptable deterioration over its shelf life.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To support marketing approval, the data submitted must be sufficient in quality and quantity to establish the safety and effectiveness of the investigational drug product to the satisfaction of the FDA. The submission of a BLA requires payment of a substantial application user fee to the FDA, unless a waiver or exemption applies.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For a product candidate that is also a human cellular or tissue product, the FDA also will not approve the application if the manufacturer is not in compliance with cGTPs.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indicates that the review cycle of the application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complete, and the application will not be approved in its present form.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or otherwise limit the scope of any approval.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jc w:val="both"/>
        <w:ind w:left="120" w:right="100"/>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candidate with a fast track designation and/or breakthrough therapy designation, may be eligible for other types of FDA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82"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programs intended to expedite development and review, such as priority review and accelerated approval. A product candidate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for products being considered for accelerated approval, the FDA generally requires, unless otherwise informed by FDA, that all advertising and promotional materials intended for dissemination or publication within 120 days of marketing approval be submitted to FDA for review during the pre-approval period.</w:t>
      </w:r>
    </w:p>
    <w:p>
      <w:pPr>
        <w:spacing w:after="0" w:line="19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2017, the FDA established a new regenerative medicine advanced therapy, or RMAT, designation, which is intended to facilitate an efficient development program for, and expedite review of, any biologic that meets the following criteria: (i) the biologic qualifies as a RMAT, which is defined as a cell therapy, therapeutic tissue engineering product, human cell and tissue product, or any combination product using such therapies or products, with limited exceptions; (ii) the biologic is intended to treat, modify, reverse, or cure a serious or life-threatening disease or condition; and</w:t>
      </w:r>
    </w:p>
    <w:p>
      <w:pPr>
        <w:spacing w:after="0" w:line="3" w:lineRule="exact"/>
        <w:rPr>
          <w:sz w:val="20"/>
          <w:szCs w:val="20"/>
          <w:color w:val="auto"/>
        </w:rPr>
      </w:pPr>
    </w:p>
    <w:p>
      <w:pPr>
        <w:ind w:left="120" w:right="20" w:hanging="4"/>
        <w:spacing w:after="0" w:line="251" w:lineRule="auto"/>
        <w:tabs>
          <w:tab w:leader="none" w:pos="4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clinical evidence indicates that the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RMAT-designated products that receive accelerated approval may, as appropriate, fulfill their post-approval requirements through submission of clinical evidence, clinical studies, patient registries, or other sources of real-world evidence (such as electronic health records); through the collection of larger confirmatory data sets; or via post-approval monitoring of all patients treated with such therapy prior to approval of such therapy.</w:t>
      </w:r>
    </w:p>
    <w:p>
      <w:pPr>
        <w:spacing w:after="0" w:line="19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82"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will be recovered from sales in the United States for that biologic. Orphan drug designation must be requested before submitting a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a particular drug or biologic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Competitors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9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us and our third-party manufacturers.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GMP compliance. Changes to the manufacturing process or facility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5"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Failure to comply with these requirements can result in,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Physicians may prescribe, in their independent professional and medical judgment,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82"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90"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7"/>
          <w:szCs w:val="17"/>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8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enough orphan medicinal product.</w:t>
      </w:r>
    </w:p>
    <w:p>
      <w:pPr>
        <w:spacing w:after="0" w:line="225"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82"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w:t>
      </w:r>
    </w:p>
    <w:p>
      <w:pPr>
        <w:spacing w:after="0" w:line="16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For information regarding risks related to these compliance requirements, see the section titled “Risk Factors—Risks Related to Government Regulations.”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Obtaining coverage and adequate reimbursement for our product candidates may be particularly difficult because of the higher prices often associated with drugs administered under the supervision of a physician. Similarly, because our product candidates are physician-administered, separate reimbursement for the product itself may or may not be available. Instead, the administering physician may or may not be reimbursed for providing the treatment or procedure in which our product is used.</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82"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85" w:lineRule="exact"/>
        <w:rPr>
          <w:sz w:val="20"/>
          <w:szCs w:val="20"/>
          <w:color w:val="auto"/>
        </w:rPr>
      </w:pPr>
    </w:p>
    <w:p>
      <w:pPr>
        <w:ind w:left="1080" w:right="4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now agree to offer 70 percent point-of-sale discounts off negotiated prices of applicable brand drugs to eligible beneficiaries during their coverage gap period, as a condition for the manufacturer’s outpatient drugs to be covered under Medicare Part D;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in April 2013 and, due to subsequent legislative amendments to the statute, will remain in effect through 2030 unless additional action is taken by Congress. Pursuant to the Coronavirus Aid, Relief, and Economic Security Act, also known as the CARES Act, as well as subsequent legislation, these reductions have been suspended from May 1, 2020 through December 31, 2021 due to the COVID-19 pandemic.</w:t>
      </w:r>
    </w:p>
    <w:p>
      <w:pPr>
        <w:spacing w:after="0" w:line="19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proposed and enacted legislation and executive orders issued by the previous administration designed to, among other things, bring more transparency to product pricing, review the relationship between pricing and manufacturer patient programs, and reform government program reimbursement methodologies for drug products. The likelihood of success of these and other measures initiated by the previous administration is uncertain, particularly in light of the new Biden administration. It is also possible that additional governmental action is taken in response to the COVID-19 pandemic.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also are or will become subject to privacy laws in the jurisdictions in which we are established or in which we sell or market our products or run clinical trials. For example, in Europe we are subject to the GDPR in relation to our collection, control, processing and other use of personal data (i.e., data relating to an identifiable living individual). We process personal data in relation to participants in our clinical trials in the EEA, including health and medical information of these participants. The GDPR also provides that individual EEA countries may introduce further conditions of their own, including limitations which could limit our ability to collect, use and share personal data.</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GDPR imposes onerous accountability obligations requiring data controllers and processors to maintain a record of their data processing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implement policies as part of its mandated privacy governance framework. It also requires data controllers to be transparent and disclose to data subjects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 concise, intelligible and easily accessible form) how their personal information is to be used; imposes limitations on retention of personal data;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defines pseudonymized (i.e., key-coded) data; introduces mandatory data breach notification requirements; and sets higher standards for data controllers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demonstrate that they have obtained valid consent for certain data processing activities. Fines for certain breaches of the GDPR are significant: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greater of €20 million or 4% of total global annual turnover. A breach of the GDPR or other applicable privacy and data protection laws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could also result in regulatory investigations, reputational damage, orders to cease/change our use of data, enforcement notices, or potential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civil claims including class action type litigation. Further, from January 1, 2021, we have to comply with the GDPR and separately the UK GDPR,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together with the amended UK Data Protection Act 2018, retains the GDPR in UK national law. The GDPR and the UK GDPR each have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ability to fine up to the greater of €20 million/ £17 million or 4% of global turnover. Further, the relationship between the United Kingdom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European Union in relation to certain aspects of data protection law remains unclear, including how data transfers between European Union member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states and the United Kingdom will be treated and how United Kingdom data protection laws and regulations will develop in the medium to longer term.</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Currently there is a four to six-month grace period agreed in the European Union and United Kingdom Trade and Cooperation Agreement, ending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2021 at the latest, whilst the parties discuss an adequacy decision. The European Commission published a draft adequacy decision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19, 2021. If adopted, the decision will enable data transfers from European Union member states to the United Kingdom for a four-year period,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subsequent extensions. These changes may lead to additional compliance costs and could increase our overall risk.</w:t>
      </w:r>
    </w:p>
    <w:p>
      <w:pPr>
        <w:spacing w:after="0" w:line="20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addition, the GDPR places restrictions on cross-border data transfers. Certain aspects of cross-border data transfers under the GDPR are uncertain as the result of legal proceedings in the European Union, including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recent decision by the Court of Justice for the European Union that invalidated the EU-U.S. Privacy Shield and, to some extent, called into question the efficacy and legality of using standard contractual clauses. This may increase the complexity of transferring personal data across borders. The GDPR will increase our responsibility and liability in relation to personal data that we process where such processing is subject to the GDPR, and we may be required to put in place additional mechanisms to ensure compliance with the GDPR, including as implemented by individual countries. We are also subject to European Union rules with respect to cross-border transfers of personal data out of the EEA. Recent legal developments in the European Union have created complexity and uncertainty regarding transfers of personal data from the EEA to other countries whose data protection standards have not been deemed “adequate” by the European Commission (including the United States). On July 16, 2020, the Court of Justice of the European Union, or CJEU, invalidated the EU-US Privacy Shield Framework, or Privacy Shield, under which personal data could be transferred from the EEA to US entities who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Further, the exit of the United Kingdom, or UK, from the European Union, often referred to as Brexit, has created uncertainty with regard to data protection regulation in the UK. Specifically, the UK exited the European Union on January 1, 2020, subject to a transition period that ended December 31, 2020. Under the post-Brexit Trade and Cooperation Agreement between the European Union and the UK, the UK and European Union have agreed that transfers of personal data to the UK from EEA member states will not be treated as ‘restricted transfers’ to a non-EEA country for a period of up to four months from January 1, 2021, plus a potential further two months extension, or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European Union (unless those amendments or decisions are made simply to keep relevant UK laws aligned with the European Union’s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19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laws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For example, California enacted the CCPA, which creates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became effective 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82"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January 1, 2020, and (a) allows the California Attorney General to impose civil penalties for violations and (b) authorizes private lawsuits to recover statutory damages for certain data breaches.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a new privacy law, the California Privacy Rights Act, or CPRA, recently passed in California. The CPRA significantly modifies the CCPA and imposes additional data protection obligations on covered businesses, including additional consumer rights processes, limitations on data uses, new audit requirements for higher risk data, and opt outs for certain uses of sensitive data. It will also expand the types of data breaches subject to the CCPA’s private right of action, provide for increased penalties for CPRA violations concerning California residents under the age of 16 and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Ensuring compliance with the CPRA could require us to incur additional costs and expenses.</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and privacy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For information regarding risks related to these compliance requirements, see the section titled “Risk Factors—Risks Related to Government Regulation.”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South San Francisco, California, where we lease approximately 40,000 square feet of office and research and development space pursuant to a lease agreement which commenced on April 25, 2019 and expires on April 30, 2027, with an option to extend for eight years. In Alameda, California, we lease approximately 92,000 square feet of space pursuant to a lease agreement which initiated on June 3, 2021 and expires on September 30, 2032, with two options to extend for five years each. Within this space, we have begun the build-out of a cell therapy manufacturing facility designed to meet Current Good Manufacturing Practices (cGMP) with the goal of providing clinical and commercial-scale manufacturing for multiple off-the-shelf chimeric antigen receptor (CAR) natural killer (NK) cell product candidates. We believe that our existing facilities are suitable and adequate for our needs.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82"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of June 23, 2022, we had 105 employees, all of whom were full-time, consisting of clinical, research, operations, regulatory, finance and business development personnel. 33 of our employees hold Ph.D. or M.D. degrees. None of our employees are subject to a collective bargaining agreement. We consider our relationship with our employees to be good.</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we expect to be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Although we are not currently a party to any material legal proceedings, as disclosed in our Current Report on Form 8-K filed on June 9, 2022, LifeForce Capital has not funded its commitment of $16.2 million pursuant to a subscription agreement entered into concurrently with the execution of the Business Combination Agreement in December 2021, and we are exploring available avenues and presently intend to enforce LifeForce Capital’s legal obligations under its subscription agreement. Regardless of outcome, any such proceedings or claims can have an adverse impact on us because of defense and settlement costs, diversion of resources and other factors, and there can be no assurances that favorable outcomes will be obtained.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82"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CONDITIONS AND RESULTS OF OPERATIONS</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June 6, 2022, Senti Biosciences, Inc. changed its name to Senti Sub I, Inc. For purposes of this section, all references to “we,” “us,” “our,” “Senti” or the “Company” refer to Senti Sub I, Inc. and its subsidiary.</w:t>
      </w:r>
    </w:p>
    <w:p>
      <w:pPr>
        <w:spacing w:after="0" w:line="16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consolidated financial statements as of June 30, 2022 and related notes included elsewhere in this prospectus. The discussion and analysis should also be read together with the financial information as of and for the three and six months ended June 30, 2022, and for the year ended December 31, 2021, which is included elsewhere in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9"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includes forward-looking statements that involve risks and uncertainties, including information with respect to our plans and strategy for our business, future financial performance, expense levels and liquidity sources. As a result of many factors, including those factors set forth in the section of this titled “Risk Factors,” or in other parts of this prospectus, our actual results could differ materially from the results described in or implied by the forward-looking statements contained in the following discussion and analysis.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Senti is a preclinical biotechnology company developing next-generation cell and gene therapies engineered with its gene circuit platform technologies to fight challenging diseases. Senti’s mission is to create a new generation of smarter therapies that can outmaneuver complex diseases in ways previously not implemented by conventional medicines. To accomplish this mission, Senti has built a synthetic biology platform that it believes may enable it to program next-generation cell and gene therapies with what it refers to as “gene circuits.” These gene circuits, which Senti created from novel and proprietary combinations of genetic parts, are designed to reprogram cells with biological logic to sense inputs, compute decisions and respond to their respective cellular environments. Senti aims to design and optimize gene circuits through its Design-Build-Test-Learn Engine or DBTL Engine, to improve the “intelligence” of cell and gene therapies in order to enhance their therapeutic effectiveness against a broad range of diseases that conventional medicines are unable to address. Senti’s gene circuit platform technologies can be applied in a modality-agnostic manner, with applicability to natural killer (NK) cells, T cells, tumor-infiltrating lymphocytes (“TILs”), stem cells including Hematopoietic Stem Cells (“HSCs”), in vivo gene therapy and messenger ribonucleic acid (mRNA). All of Senti’s current product candidates are in preclinical development. Senti’s lead product candidates utilize allogeneic chimeric antigen receptor (“CAR”) NK cells outfitted with its gene circuit technologies in several oncology indications with currently high unmet needs. Senti expects to file investigational new drug applications (“INDs”) for multiple product candidates starting in 2023.</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have incurred net losses of $11.6 million and $12.0 million for the three months ended June 30, 2022 and 2021, respectively, and $23.4 million and $33.0 million for the six months ended June 30, 2022 and 2021, respectively. We expect to continue to incur significant losses for the foreseeable future. As of June 30, 2022, we had cash and cash equivalents of $139.8 million, and an accumulated deficit of $138.4 million.</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67"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of our current and future product candidates and initiate additional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studies of our current and future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82"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relationships, and building our internal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technologies aligned with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grow, perfect, and defend our intellectual property portfolio;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in 2021, we began construction on a dedicated in-house, state-of-the-art current good manufacturing practices “cGMP” facility to support clinical and commercial-scale production of multiple allogeneic NK cell product candidates. We anticipate that this facility will become operational in time to support initial clinical trials for our lead product candidates. Our manufacturing facility is designed to leverage the latest cell therapy process technologies as we strive to maximize scalability and minimize cost of goods.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believe our cash and cash equivalents will be sufficient to fund operations, including clinical trial expenses and capital expenditure requirements, for at least 12 months from August 15, 2022, the date of filing of the Company’s Quarterly Report on Form 10-Q for the quarter ended June 30, 2022.</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During 2021, widespread availability of COVID-19 vaccines in the United States and elsewhere in the world, combined with government assistance programs, fiscal policies and other factors, led to a rebound in the global economy as several states and countries began to re-open and loosen many COVID-19 related restrictions. Nonetheless, the COVID-19 pandemic remains a global health crisis and continues to evolve. As of June 30, 2022, we were operating at pre-pandemic levels, although we cannot at this time predict the specific extent, duration, or full impact that the COVID-19 pandemic will have on our business, financial condition and operations, including planned preclinical studies, clinical trials and clinical development timelines. The impact of the COVID-19 pandemic on our financial performance will depend on future developments, including the duration and spread of the pandemic, its impact on our IND-enabling studies, clinical trial enrollment, trial sites and other third parties with whom we do business, its impact on regulatory authorities and our key scientific and management personnel, and related governmental advisories and restrictions. These developments and the impact of the COVID-19 pandemic on the financial markets and the overall economy are highly uncertain and cannot be predicted. If the financial markets or the overall economy are impacted for an extended period, our business may be materially adversely affected.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with Dynamics Special Purpose Corp.</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June 8, 2022 (the “Closing Date”), Dynamics Special Purpose Acquisition Corp. (“Dynamics” or “DYNS”) consummated a merger pursuant to which Explore Merger Sub, Inc. (“Merger Sub”), a Delaware corporation and wholly owned subsidiary of Dynamics, merged with and into Senti Sub I, Inc. (formerly named Senti Biosciences, Inc.) (“Legacy Senti”), with Legacy Senti surviving as a wholly-owned subsidiary of Dynamics (such transactions, the “Merger,” and, collectively with the other transactions described in the merger agreement (as defined below, the “Reverse Recapitalization”). As a result of the Merger, Dynamics was renamed Senti Biosciences, Inc.</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(1) each outstanding share of common stock of Legacy Senti was cancelled and converted into the right to receive approximately 0.1957 shares of the Company’s common stock, par value $0.0001 per share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82"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and (2) each outstanding share of preferred stock of Legacy Senti was cancelled and converted into the aggregate number of shares of Common Stock that would be issued upon conversion of the shares of Legacy Senti preferred stock based on the applicable conversion ratio immediately prior to the Effective Time, multiplied by approximately 0.1957, resulting in the issuance of a total of 23,163,614 shares of Common Stock. Prior holders of shares of Legacy Senti common stock and Legacy Senti preferred stock also received the contingent right to receive certain Earnout Shares (as defined below), for each share owned by each such Legacy Senti stockholder that was outstanding immediately prior to the closing of the Merger (the “Closing”). In addition, certain investors purchased an aggregate of 5,060,000 shares of Common Stock (such investors, the “PIPE Investors”) in a private placement that closed concurrently with the Closing for an aggregate purchase price of $50.6 million (the “PIPE Financing”). Additionally, at the Closing, 14,915,963 shares of Common Stock were issued to Dynamics stockholders (reflecting actual redemptions by Dynamics public stockholders). Additionally, an unsecured convertible promissory note in the aggregate principal amount of $5,175,000 that was previously issued by Senti to Bayer Healthcare LLC for a purchase price of $5,175,000 on May 19, 2022 was automatically cancelled and exchanged for 517,500 shares of Common Stock.</w:t>
      </w:r>
    </w:p>
    <w:p>
      <w:pPr>
        <w:spacing w:after="0" w:line="17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options to purchase shares of Legacy Senti common stock were converted into options to purchase an aggregate of 1,667,546 shares of Common Stock.</w:t>
      </w:r>
    </w:p>
    <w:p>
      <w:pPr>
        <w:spacing w:after="0" w:line="162"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Following the Closing Date, former holders of Legacy Senti common stock and preferred stock may receive up to 2,000,000 additional shares of Common Stock (“Earnout Shares”) in the aggregate in two equal tranches if the volume-weighted average closing sale price of our Common Stock is greater than or equal to $15.00 and $20.00, respectively, for any 20 trading days within any 30 consecutive trading day period. The first and second tranche term is two and three years, respectively, from the closing of the Merger. If there is a change of control within the three-year following the closing of the Merger that results in a per share price equal to or in excess of the $15.00 and $20.00 share price milestones not previously met, then Company shall issue the earnout shares to the holders of Legacy Senti common stock and preferred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currently have no therapeutic products approved for sale, and we have never generated any revenue from the sale of any therapeutic products. Total revenue consists of contract revenue related to research services provided to customers and grant income which is research funding received from grants.</w:t>
      </w:r>
    </w:p>
    <w:p>
      <w:pPr>
        <w:spacing w:after="0" w:line="176"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will depend on our partners’ ability to replicate our results and the successful development and eventual commercialization of our product candidates, which we do not expect for the foreseeable future, if ever. We may also look to generate revenue from collaboration and license agreements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 and general and administrative expenses.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preclinical development of our product candidates, which include:</w:t>
      </w:r>
    </w:p>
    <w:p>
      <w:pPr>
        <w:spacing w:after="0" w:line="67" w:lineRule="exact"/>
        <w:rPr>
          <w:sz w:val="20"/>
          <w:szCs w:val="20"/>
          <w:color w:val="auto"/>
        </w:rPr>
      </w:pPr>
    </w:p>
    <w:p>
      <w:pPr>
        <w:ind w:left="10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expenses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and preclinical studies;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 and the cost to manufacture drug products for use in our preclinical studies and trials;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82"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not historically tracked research and development expenses by program, with the exception of third-party research projects. We have various ongoing early-stage research and product candidate discovery projects and going forward, we expect to have various products undergoing clinical trials. Our internal resources, employees and infrastructure are not directly tied to any one research or product candidate discovery project and are typically deployed across multiple projects. As such, we do not maintain information regarding these costs incurred for these early-stage research and product candidate discovery programs on a project-specific basis.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direct external development program expenses reflect external costs attributable to our preclinical development candidates selected for further development as well as investigational new drug applications (“INDs”) and clinical development. Such expenses include third-party contract costs relating to manufacturing, clinical trial activities, translational medicine and toxicology activities. We do not allocate internal research and development costs which include personnel, facility costs, laboratory consumables and discovery and research related activities associated with our pipeline because these costs are deployed across multiple programs and our platform, and, as such, are not separately classified.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6"/>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(unaudited)</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(unaudited)</w:t>
            </w:r>
          </w:p>
        </w:tc>
        <w:tc>
          <w:tcPr>
            <w:tcW w:w="6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(unaudited)</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 including share-based compensation</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3,866</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6,664</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External services and supplies</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2,385</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facilities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9,247</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16,849</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 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substantially in connection with our planned preclinical and clinical development activities in the near term and in the future.</w:t>
      </w:r>
    </w:p>
    <w:p>
      <w:pPr>
        <w:spacing w:after="0" w:line="19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numerous risks and uncertainties, including the following:</w:t>
      </w:r>
    </w:p>
    <w:p>
      <w:pPr>
        <w:spacing w:after="0" w:line="67" w:lineRule="exact"/>
        <w:rPr>
          <w:sz w:val="20"/>
          <w:szCs w:val="20"/>
          <w:color w:val="auto"/>
        </w:rPr>
      </w:pPr>
    </w:p>
    <w:p>
      <w:pPr>
        <w:ind w:left="1080" w:right="1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or clinical trials or the clinical trials of others for product candidates similar to ours, leading to a decision or requirement to conduct additional preclinical studies or clinical trials or abandon any or all of our programs;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or by individuals using therapeutics similar to our product candidates;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82"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 applications or comparable foreign applications, or delays or failures to obtain the necessary approvals from regulators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U.S. Food and Drug Administration (“FDA”) or other regulatory authorities regarding the scope or design of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chemistry, manufacturing and control (“CMC”) challenges associated with manufacturing and scaling up biologic product candidates to ensure consistent quality, stability, purity and potency among different batches used in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greater-than-anticipated clinical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potency 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or manufacturing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the COVID-19 pandemic or events associated with the pandemic;</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interpret our data differently than we do.</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may significantly impact the costs and timing associated with the development of our product candidates. We may never succeed in obtaining regulatory approval for any of our product candidates.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personnel in executive, finance and other administrative functions. Other significant costs include legal fees relating to corporate matters, professional fees for accounting and consulting services and an allocation of facility-related costs.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 consisted of the following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6"/>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(unaudited)</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(unaudited)</w:t>
            </w:r>
          </w:p>
        </w:tc>
        <w:tc>
          <w:tcPr>
            <w:tcW w:w="6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(unaudited)</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 including share-based compensation</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11,533</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15,374</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External services and supplies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facilities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13,882</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19,141</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increased research and development, manufacturing activities, and preclinical and clinical activities and to reflect increased costs associated with operating as a public company. These increased costs will likely include increased expenses for audit, legal, regulatory, tax and related services associated with maintaining compliance with exchange listing and SEC requirements, director and officer insurance premiums and investor relations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on our cash and cash equivalents, and short-term investments, if any, held during the year, net of interest expense.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Earnout Liability</w:t>
      </w:r>
    </w:p>
    <w:p>
      <w:pPr>
        <w:spacing w:after="0" w:line="11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change in fair value of the contingent earnout liability that was accounted for as a liability as of the date of the Merger, and is remeasured to fair value at each reporting period, resulting in a non-cash gain or loss.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on Extinguishment of Convertible Notes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convertible note was extinguished as part of the Merger and the change in fair value was recorded in earnings.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Preferred Stock Tranche Liability</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preferred stock tranche liability had been accounted for at fair value with changes in the fair value recorded in earnings at each reporting period through settlement on May 14,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 income</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(21,771)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(12,775)</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extinguishment of convertible notes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(11,552)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(12,007)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8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82" w:right="5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Contract revenue</w:t>
      </w:r>
      <w:r>
        <w:rPr>
          <w:rFonts w:ascii="Times New Roman" w:cs="Times New Roman" w:eastAsia="Times New Roman" w:hAnsi="Times New Roman"/>
          <w:sz w:val="18"/>
          <w:szCs w:val="18"/>
          <w:color w:val="auto"/>
        </w:rPr>
        <w:t>. For the three months ended June 30, 2022 and 2021, we generated revenue from contracts and license agreements of $1.1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$0.8 million, respectively. The increase of $0.3 million was due primarily to a new collaboration agreement entered into in May 2021.</w:t>
      </w:r>
    </w:p>
    <w:p>
      <w:pPr>
        <w:spacing w:after="0" w:line="158"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Grant income</w:t>
      </w:r>
      <w:r>
        <w:rPr>
          <w:rFonts w:ascii="Times New Roman" w:cs="Times New Roman" w:eastAsia="Times New Roman" w:hAnsi="Times New Roman"/>
          <w:sz w:val="18"/>
          <w:szCs w:val="18"/>
          <w:color w:val="auto"/>
        </w:rPr>
        <w:t>. For the three months ended June 30, 2022 and 2021, we generated revenue from grants of $0.3 million and less than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of $0.2 million was primarily due to the recognition of revenue related to the Small Business Innovation Research (“SBIR”) SENTI-202 grant funding.</w:t>
      </w:r>
    </w:p>
    <w:p>
      <w:pPr>
        <w:spacing w:after="0" w:line="173"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were $9.2 million and $5.2 million for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The increase of $4.0 million was primarily due to an increase of $2.0 million in personnel-related expenses, which includes $1.3 million rise of stock-based compensation expense, $1.0 million in professional services costs and $0.9 million in facility costs.</w:t>
      </w:r>
    </w:p>
    <w:p>
      <w:pPr>
        <w:spacing w:after="0" w:line="173"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$13.9 million and $4.6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respectively. The increase of $9.3 million was primarily due to an increase of $9.0 million in personnel-related expenses, which includes $7.4 million rise of stock-based compensation expense.</w:t>
      </w:r>
    </w:p>
    <w:p>
      <w:pPr>
        <w:spacing w:after="0" w:line="173"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i w:val="1"/>
          <w:iCs w:val="1"/>
          <w:color w:val="auto"/>
        </w:rPr>
        <w:t>Change in fair value of contingent earnout liability</w:t>
      </w:r>
      <w:r>
        <w:rPr>
          <w:rFonts w:ascii="Times New Roman" w:cs="Times New Roman" w:eastAsia="Times New Roman" w:hAnsi="Times New Roman"/>
          <w:sz w:val="18"/>
          <w:szCs w:val="18"/>
          <w:color w:val="auto"/>
        </w:rPr>
        <w:t>. For the three months ended June 30, 2022, the increase of $8.9 million resulted from a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related to the remeasurement of the contingent earnout liability.</w:t>
      </w:r>
    </w:p>
    <w:p>
      <w:pPr>
        <w:spacing w:after="0" w:line="158"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Gain on extinguishment of convertible notes</w:t>
      </w:r>
      <w:r>
        <w:rPr>
          <w:rFonts w:ascii="Times New Roman" w:cs="Times New Roman" w:eastAsia="Times New Roman" w:hAnsi="Times New Roman"/>
          <w:sz w:val="18"/>
          <w:szCs w:val="18"/>
          <w:color w:val="auto"/>
        </w:rPr>
        <w:t>. For the three months ended June 30, 2022, we recognized a gain of $1.3 million upon extinguishment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w:t>
      </w:r>
    </w:p>
    <w:p>
      <w:pPr>
        <w:spacing w:after="0" w:line="158"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i w:val="1"/>
          <w:iCs w:val="1"/>
          <w:color w:val="auto"/>
        </w:rPr>
        <w:t>Change in preferred stock tranche liability</w:t>
      </w:r>
      <w:r>
        <w:rPr>
          <w:rFonts w:ascii="Times New Roman" w:cs="Times New Roman" w:eastAsia="Times New Roman" w:hAnsi="Times New Roman"/>
          <w:sz w:val="18"/>
          <w:szCs w:val="18"/>
          <w:color w:val="auto"/>
        </w:rPr>
        <w:t>. For the three months ended June 30, 2021, we recognized a loss of $2.9 million as an adjustment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tranche liability. The adjustment stems primarily from the increase, since the December 31, 2020 measurement date, in management’s estimate of the fair value of our Series B redeemable convertible preferred stock resulting from a decrease in time to liquidity as we drew nearer to completing an exit strategy. There was no equivalent activity for the three months ended June 30, 2022, as the preferred stock tranches were issued on May 14, 2021.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1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1,962</w:t>
            </w:r>
          </w:p>
        </w:tc>
        <w:tc>
          <w:tcPr>
            <w:tcW w:w="5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 income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(33,528)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(18,138)</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(15,390)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172</w:t>
            </w:r>
          </w:p>
        </w:tc>
        <w:tc>
          <w:tcPr>
            <w:tcW w:w="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extinguishment of convertible notes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(14,742)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(14,871)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(23,360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(33,009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Contract revenue</w:t>
      </w:r>
      <w:r>
        <w:rPr>
          <w:rFonts w:ascii="Times New Roman" w:cs="Times New Roman" w:eastAsia="Times New Roman" w:hAnsi="Times New Roman"/>
          <w:sz w:val="18"/>
          <w:szCs w:val="18"/>
          <w:color w:val="auto"/>
        </w:rPr>
        <w:t>. For the six months ended June 30, 2022 and 2021, we generated revenue from contracts and license agreements of $2.0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$0.8 million, respectively. The increase of $1.1 million was due primarily to a new collaboration agreement entered into in May 2021.</w:t>
      </w:r>
    </w:p>
    <w:p>
      <w:pPr>
        <w:spacing w:after="0" w:line="158" w:lineRule="exact"/>
        <w:rPr>
          <w:sz w:val="20"/>
          <w:szCs w:val="20"/>
          <w:color w:val="auto"/>
        </w:rPr>
      </w:pPr>
    </w:p>
    <w:p>
      <w:pPr>
        <w:ind w:left="120" w:right="720"/>
        <w:spacing w:after="0" w:line="315" w:lineRule="auto"/>
        <w:rPr>
          <w:sz w:val="20"/>
          <w:szCs w:val="20"/>
          <w:color w:val="auto"/>
        </w:rPr>
      </w:pPr>
      <w:r>
        <w:rPr>
          <w:rFonts w:ascii="Times New Roman" w:cs="Times New Roman" w:eastAsia="Times New Roman" w:hAnsi="Times New Roman"/>
          <w:sz w:val="17"/>
          <w:szCs w:val="17"/>
          <w:i w:val="1"/>
          <w:iCs w:val="1"/>
          <w:color w:val="auto"/>
        </w:rPr>
        <w:t>Grant income</w:t>
      </w:r>
      <w:r>
        <w:rPr>
          <w:rFonts w:ascii="Times New Roman" w:cs="Times New Roman" w:eastAsia="Times New Roman" w:hAnsi="Times New Roman"/>
          <w:sz w:val="17"/>
          <w:szCs w:val="17"/>
          <w:color w:val="auto"/>
        </w:rPr>
        <w:t>. For the six months ended June 30, 2022 and 2021, we generated revenue from grants of $0.5 million and less than $0.1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increase of $0.5 million was primarily due to the recognition of revenue related to the SBIR SENTI-202 grant funding.</w:t>
      </w:r>
    </w:p>
    <w:p>
      <w:pPr>
        <w:spacing w:after="0" w:line="135"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were $16.8 million and $10.1 million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The increase of $6.7 million was primarily due to an increase of $3.1 million in personnel-related expenses, which includes $1.4 million rise of stock-based compensation expense, $1.8 million in professional services costs and $1.7 million in facility costs.</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$19.1 million and $8.9 million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The increase of $10.3 million was primarily due to increases of $10.8 million in personnel-related expenses, which includes $7.5 million rise of stock-based compensation expense, partially offset by a decrease of $0.8 million related to professional, legal and accounting services expenses.</w:t>
      </w:r>
    </w:p>
    <w:p>
      <w:pPr>
        <w:spacing w:after="0" w:line="180"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Change in fair value of contingent earnout liability</w:t>
      </w:r>
      <w:r>
        <w:rPr>
          <w:rFonts w:ascii="Times New Roman" w:cs="Times New Roman" w:eastAsia="Times New Roman" w:hAnsi="Times New Roman"/>
          <w:sz w:val="18"/>
          <w:szCs w:val="18"/>
          <w:color w:val="auto"/>
        </w:rPr>
        <w:t>. For the six months ended June 30, 2022, the increase of $8.9 million resulted from a non-cash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remeasurement of the contingent earnout liability.</w:t>
      </w:r>
    </w:p>
    <w:p>
      <w:pPr>
        <w:spacing w:after="0" w:line="158"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Gain on extinguishment of convertible notes</w:t>
      </w:r>
      <w:r>
        <w:rPr>
          <w:rFonts w:ascii="Times New Roman" w:cs="Times New Roman" w:eastAsia="Times New Roman" w:hAnsi="Times New Roman"/>
          <w:sz w:val="18"/>
          <w:szCs w:val="18"/>
          <w:color w:val="auto"/>
        </w:rPr>
        <w:t>. For the six months ended June 30, 2022, we recognized a gain of $1.3 million upon extinguishment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w:t>
      </w:r>
    </w:p>
    <w:p>
      <w:pPr>
        <w:spacing w:after="0" w:line="158"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preferred stock tranche liability. </w:t>
      </w:r>
      <w:r>
        <w:rPr>
          <w:rFonts w:ascii="Times New Roman" w:cs="Times New Roman" w:eastAsia="Times New Roman" w:hAnsi="Times New Roman"/>
          <w:sz w:val="18"/>
          <w:szCs w:val="18"/>
          <w:color w:val="auto"/>
        </w:rPr>
        <w:t>For the six months ended June 30, 2021, we recognized a loss of $14.7 million as an adjustment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tranche liability. The adjustment stems primarily from the increase, since the December 31, 2020 measurement date, in management’s estimate of the fair value of our Series B redeemable convertible preferred stock resulting from a decrease in time to liquidity as we drew nearer to completing an exit strategy. There was no equivalent activity for the six months ended June 30, 2022, as the preferred stock tranches were issued on May 14, 2021.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From inception to June 30, 2022, we raised aggregate gross proceeds of $158.1 million from the issuance of shares of our redeemable convertible preferred stock and the issuance of convertible notes. In connection with the Merger, the Company received $140.7 million in proceeds from the Merger and related PIPE Financing, including the Bayer convertible note cancellation and exchange.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82"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or otherwise. We have incurred net losses and negative cash flows from operations since our inception and anticipate we will continue to incur net losses for the foreseeable future. As of June 30, 2022, we had $139.8 million in cash and cash equivalents, and an accumulated deficit of $138.4 million, respectively.</w:t>
      </w:r>
    </w:p>
    <w:p>
      <w:pPr>
        <w:spacing w:after="0" w:line="176"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 needed, we may have to significantly delay, scale back, or discontinue the development and commercialization of our product candidates or delay our efforts to expand our product pipeline. We may also be required to sell or license to other parties’ rights to develop or commercialize our product candidates that we would prefer to retain.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each of the periods indicated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(15,754)</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(18,640)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118,160</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67,925</w:t>
            </w: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$ 53,440</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of $15.8 million was primarily due to our loss of $23.4 million with non-cash adjustments of $9.9 million for stock-based compensation expense, $8.9 million for the change in fair value of the contingent earnout liability, $1.9 million for depreciation and amortization of operating lease right-of-use-assets and $1.3 million for gain on extinguishment of convertible notes. Other material changes comprised of $7.9 million increase in operating lease liabilities, offset by $1.4 million decrease in accounts payable and accrued and other current liabilities and as well as a $1.0 million decrease in deferred revenue.</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net cash used in operating activities of $13.9 million was primarily due to our net loss of $33.0 million with non-cash adjustments of $14.7 million for an increase in our preferred stock tranche liability, $2.7 million increase in deferred revenue and $1.6 million for an increase in accounts payable and accrued expenses.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net cash used in investing activities of $18.6 million and $0.6 million respectively, was entirely due to purchases of property and equipment.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of $118.2 million was primarily due to $112.5 million proceeds received from Merger and related PIPE financing activities, net of transaction cost, $5.2 million from issuance of convertible notes and $0.5 million from the issuance of common stock upon exercise of stock options.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financing activities of $67.9 million was primarily due to proceeds received of $67.0 million from the issuance of our Series B redeemable convertible preferred stock, $1.5 million from the issuance of common stock upon exercise of stock options and $0.5 million from the payment of deferred offering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plans, we believe that our existing cash and cash equivalents will be sufficient to fund our operations for the next twelve months from the date of this prospectus. We anticipate that we will continue to seek additional funding, though the precise timing of such may prove uncertain. Our forecast of the period of time through which our financial resources will be adequate to support our operations is a forward-looking statement that involves risks and uncertainties, and actual results could vary materially. Our assumptions may prove to be inaccurate, and we could deplete our capital resources sooner than we expect. Additionally, the process of testing and manufacturing product candidates in preclinical studies and clinical trials is costly and the timing and expenses in these trials are uncertain.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1080" w:right="5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costs of drug discovery, preclinical development, laboratory testing and clinical trials for our product candidates;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 and other indications for our current product candidates that we may pursue;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constructing and operating our planned cGMP facility and any commercial manufacturing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developing our ability to establish sales and marketing capabilities, if any;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enforcing and protecting our intellectual property rights, defending intellectual property-related claims and obtaining licenses to third-party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and royalty payments we are required to make under our present or future license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 associated intellectual property.</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order to improve our liquidity, management is actively pursuing additional financing. We expect our expenses to increase substantially in connection with ongoing activities, particularly as we advance our preclinical activities and clinical trials for our product candidates in development. Accordingly,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On June 3, 2021, we entered into a lease agreement for a new cGMP facility in Alameda, California to support planned initial clinical trials for our product candidates. The lease will expire in 2032 with future undiscounted operating lease payments of $46.0 million over an initial lease period of eleven years. See Note 6—</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details on our lease obligations.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2021, we began construction of the cGMP facility. As of June 30, 2022, we have paid $17.9 million in construction costs of the $35.5 million purchase commitment. The agreements with the construction company provide for termination following a certain period after notice. Upon termination we will be responsible for payment for work performed to date.</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entered into a three-year collaboration and option agreement with BlueRock Therapeutics LP (“BlueRock”) under which the Company granted BlueRock an option to execute an exclusive or non-exclusive license to develop, manufacture and commercialize cell therapy products (See Part I, Item 1, Notes to Condensed Consolidated Financial Statements (Unaudited), Note 14—</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details into the BlueRock agreement). In consideration for the option, the Company is responsible for up to $10.0 million in research and development costs and expenses associated with the collaboration plan incurred over the three-year term.</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annual maintenance payments of $0.1 million and specified milestone and royalty payments. Milestone and royalty payment obligations under these agreements are contingent upon future events, such as our achievement of specified development, regulatory, and sales milestones, or generating product sales. As of June 30, 2022, we were unable to estimate the timing or likelihood of achieving these milestones or generating future product sales.</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have entered into sponsored research agreements under which we are obligated to pay $0.7 million, $0.8 million and $0.2 million in 2022, 2023 and 2024, respectively.</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 xml:space="preserve">Following the Closing, former holders of Legacy Senti common stock and preferred stock may receive up to 2,000,000 additional shares of the Company’s common stock in the aggregate, in two equal tranches of 1,000,000 shares of common stock per tranche. Refer to Note 3,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(Deficit), </w:t>
      </w:r>
      <w:r>
        <w:rPr>
          <w:rFonts w:ascii="Times New Roman" w:cs="Times New Roman" w:eastAsia="Times New Roman" w:hAnsi="Times New Roman"/>
          <w:sz w:val="18"/>
          <w:szCs w:val="18"/>
          <w:color w:val="auto"/>
        </w:rPr>
        <w:t>for further details of the contingent earnout.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under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or GAAP. The preparation of these consolidated financial statements requires us to make estimates and judgments that affect the reported amounts of assets, liabilities and expenses and the disclosure of contingent assets and liabilities in our consolidated financial statements and accompanying notes. On an ongoing basis, we evaluate our estimates and judgments.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condensed consolidated financial statements for the quarter ended June 30, 2022 included elsewhere in this prospectus, we believe the following accounting policies and estimates to be most critical to the preparation of our consolidated financial statements. We define our critical accounting policies as those under U.S. GAAP that require us to make subjective estimates and judgments about matters that are inherently uncertain and are likely to have a material impact on our financial condition and results of operations, as well as the specific manner in which we apply those principles.</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Other than the new critical accounting policy and estimate discussed below, there have been no material changes to our critical accounting policies and estimates as compared to those described in the section titled “Management’s Discussion and Analysis of Financial Condition and Results of Operations” set forth in our Current Report on Form 8-K dated June 8, 2022, which was filed with the SEC on June 15, 2022.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Earnout Liability</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Reverse Recapitalization, Legacy Senti equity holders are entitled to receive as additional merger consideration of up to 2,000,000 shares of our common stock in the aggregate, in two equal tranches of 1,100,000 shares of common stock per tranche, for no consideration upon the occurrence of certain triggering events, including a change of control event.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certain terms of the Contingent Earnout Shares were not indexed to the common stock, they were accounted for as a liability at the Reverse Recapitalization date and subsequently remeasured at each reporting date with changes in fair value recorded as a component of other income (expense), net in the condensed consolidated statements of operations and comprehensive loss.</w:t>
      </w:r>
    </w:p>
    <w:p>
      <w:pPr>
        <w:spacing w:after="0" w:line="18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Earnout Shares was determined using a Monte Carlo simulation valuation model using a distribution of potential outcomes. The assumptions utilized in the calculation were based on the achievement of certain stock price milestones, including our current common stock price, expected volatility, risk-free rate, expected term and expected dividend yield.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common stock price was based on the closing price of our common stock as reported on the date at the Reverse Recapitalization and each reporting date. Historically, we have been a private company and lack company-specific and implied volatility information of our common stock. Therefore, we estimated our expected volatility based on the historical volatility of a representative group of public companies in the biotechnology industry for the expected terms. The risk-free rate was determined by reference to the U.S. Treasury yield curve for time periods approximately equal to the expected term of the Contingent Earnout Shares. The expected dividend yield was 0% based on the fact that we have never paid or declared dividends. The risk free rate and expected volatility requires significant judgment and actual results can differ from assumed and estimated amounts.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Jumpstart Our Business Startups Act (“JOBS”) Act permits an emerging growth company to take advantage of an extended transition to comply with new or revised accounting standards applicable to public companies until those standards would otherwise apply to private companies. The Company is an “emerging growth company” as defined in Section 2(a) of the Securities Act, and has elected to not take advantage of the benefits of this extended transition period.</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expect to remain an emerging growth company until the earlier of: (1) the last day of the fiscal year (a) following the fifth anniversary of the closing of the Dynamics Initial Public Offering (“IPO”) (which occurred on May 25, 2021), (b) in which we have total annual revenue of at least $1.07 billion, or (c) in which we are deemed to be a large accelerated filer, which means the market value of our common equity that is held by non-affiliates exceeds $700 million as of the end of that fiscal year’s second fiscal quarter and our net sales for the year exceed $100 million; and (2) the date on which we have issued more than $1.0 billion in non-convertible debt securities during the preceding, rolling three-year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 OF SENTI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Senti’s current directors and executive officers are as follows (ages as of September 1,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Age</w:t>
            </w:r>
          </w:p>
        </w:tc>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00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Timothy Lu, M.D., Ph.D.</w:t>
            </w: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Knobelman, Ph.D.</w:t>
            </w:r>
          </w:p>
        </w:tc>
        <w:tc>
          <w:tcPr>
            <w:tcW w:w="2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Philip Lee, Ph.D.</w:t>
            </w: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Kanya Rajangam, M.D., Ph.D.</w:t>
            </w:r>
          </w:p>
        </w:tc>
        <w:tc>
          <w:tcPr>
            <w:tcW w:w="2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Medical and Development Officer</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00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Susan Berland</w:t>
            </w:r>
            <w:r>
              <w:rPr>
                <w:rFonts w:ascii="Times New Roman" w:cs="Times New Roman" w:eastAsia="Times New Roman" w:hAnsi="Times New Roman"/>
                <w:sz w:val="25"/>
                <w:szCs w:val="25"/>
                <w:color w:val="auto"/>
                <w:vertAlign w:val="subscript"/>
              </w:rPr>
              <w:t>(a)(b)</w:t>
            </w:r>
          </w:p>
        </w:tc>
        <w:tc>
          <w:tcPr>
            <w:tcW w:w="2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Brenda Cooperstone, M.D.</w:t>
            </w:r>
            <w:r>
              <w:rPr>
                <w:rFonts w:ascii="Times New Roman" w:cs="Times New Roman" w:eastAsia="Times New Roman" w:hAnsi="Times New Roman"/>
                <w:sz w:val="25"/>
                <w:szCs w:val="25"/>
                <w:color w:val="auto"/>
                <w:vertAlign w:val="subscript"/>
              </w:rPr>
              <w:t>(b)</w:t>
            </w: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Mathers</w:t>
            </w:r>
            <w:r>
              <w:rPr>
                <w:rFonts w:ascii="Times New Roman" w:cs="Times New Roman" w:eastAsia="Times New Roman" w:hAnsi="Times New Roman"/>
                <w:sz w:val="25"/>
                <w:szCs w:val="25"/>
                <w:color w:val="auto"/>
                <w:vertAlign w:val="subscript"/>
              </w:rPr>
              <w:t>(a)(c)</w:t>
            </w:r>
          </w:p>
        </w:tc>
        <w:tc>
          <w:tcPr>
            <w:tcW w:w="2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James J. (Jim) Collins</w:t>
            </w:r>
            <w:r>
              <w:rPr>
                <w:rFonts w:ascii="Times New Roman" w:cs="Times New Roman" w:eastAsia="Times New Roman" w:hAnsi="Times New Roman"/>
                <w:sz w:val="25"/>
                <w:szCs w:val="25"/>
                <w:color w:val="auto"/>
                <w:vertAlign w:val="subscript"/>
              </w:rPr>
              <w:t>(c)</w:t>
            </w: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Omid Farokhzad</w:t>
            </w:r>
            <w:r>
              <w:rPr>
                <w:rFonts w:ascii="Times New Roman" w:cs="Times New Roman" w:eastAsia="Times New Roman" w:hAnsi="Times New Roman"/>
                <w:sz w:val="25"/>
                <w:szCs w:val="25"/>
                <w:color w:val="auto"/>
                <w:vertAlign w:val="subscript"/>
              </w:rPr>
              <w:t>(a)</w:t>
            </w:r>
          </w:p>
        </w:tc>
        <w:tc>
          <w:tcPr>
            <w:tcW w:w="2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5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David Epstein</w:t>
            </w:r>
            <w:r>
              <w:rPr>
                <w:rFonts w:ascii="Times New Roman" w:cs="Times New Roman" w:eastAsia="Times New Roman" w:hAnsi="Times New Roman"/>
                <w:sz w:val="26"/>
                <w:szCs w:val="26"/>
                <w:color w:val="auto"/>
                <w:vertAlign w:val="subscript"/>
              </w:rPr>
              <w:t>(b)(c)</w:t>
            </w: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Lu, M.D., Ph.D. </w:t>
      </w:r>
      <w:r>
        <w:rPr>
          <w:rFonts w:ascii="Times New Roman" w:cs="Times New Roman" w:eastAsia="Times New Roman" w:hAnsi="Times New Roman"/>
          <w:sz w:val="18"/>
          <w:szCs w:val="18"/>
          <w:color w:val="auto"/>
        </w:rPr>
        <w:t>has served as our Chief Executive Officer since July 2016, President since February 2018 and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June 2016, and is one of our co-founders. In June 2010, Dr. Lu joined Massachusetts Institute of Technology faculty in the departments of Biological Engineering and Electrical Engineering and Computer Science. Dr. Lu has been a co-founder and a Scientific Advisory Board member to a number of biotechnology and biopharmaceutical companies, including BiomX Inc., Corvium, Inc., Eligo Bioscience S.A.S, Engine Biosciences Pte. Ltd., Synlogic, Inc. and Tango Therapeutics, Inc. He currently serves on the board of directors of the Alliance for Regenerative Medicine.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w:t>
      </w:r>
    </w:p>
    <w:p>
      <w:pPr>
        <w:spacing w:after="0" w:line="18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Knobelman, Ph.D. </w:t>
      </w:r>
      <w:r>
        <w:rPr>
          <w:rFonts w:ascii="Times New Roman" w:cs="Times New Roman" w:eastAsia="Times New Roman" w:hAnsi="Times New Roman"/>
          <w:sz w:val="18"/>
          <w:szCs w:val="18"/>
          <w:color w:val="auto"/>
        </w:rPr>
        <w:t>has served as our Chief Financial Officer and Treasurer since May 2021. Prior to joining us, Dr. Knobelman served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C-suite roles for several life sciences companies through her firm Waverly BioConsulting LLC from April 2012 to May 2021. Dr. Knobelman served as a Chief Financial Officer at GeneriCo, LLC from April 2016 to July 2017 and prior to that as a Chief Business Officer at Ampio Pharmaceuticals, Inc. from September 2011 to April 2012. Dr. Knobelman previously served as Director of Commercial Strategy and Analytics at Pfizer, Inc. from June 2008 to August 2011. Earlier in her career, Dr. Knobelman was an Equity Research Analyst covering Specialty Pharmaceuticals and Biotech as a Senior Research Analyst for Piper Jaffray and as a Research Associate at JPMorgan. Dr. Knobelman earned her AB in Chemistry from Duke University and her Ph.D. in Pharmacology from the University of Pennsylvania School of Medicine.</w:t>
      </w:r>
    </w:p>
    <w:p>
      <w:pPr>
        <w:spacing w:after="0" w:line="183" w:lineRule="exact"/>
        <w:rPr>
          <w:sz w:val="20"/>
          <w:szCs w:val="20"/>
          <w:color w:val="auto"/>
        </w:rPr>
      </w:pPr>
    </w:p>
    <w:p>
      <w:pPr>
        <w:ind w:left="120"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Philip Lee, Ph.D. </w:t>
      </w:r>
      <w:r>
        <w:rPr>
          <w:rFonts w:ascii="Times New Roman" w:cs="Times New Roman" w:eastAsia="Times New Roman" w:hAnsi="Times New Roman"/>
          <w:sz w:val="17"/>
          <w:szCs w:val="17"/>
          <w:color w:val="auto"/>
        </w:rPr>
        <w:t>has served as our Chief Technology Officer since January 2021 and is one of our co-founders. Dr. Lee served as our Chief Operating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from February 2018 to February 2021, as our President from July 2016 to February 2018 and as our Treasurer from July 2016 to November 2020. Dr. Lee also served as a member of our board of directors from July 2016 to February 2018. Prior to joining us, Dr. Lee held various positions at</w:t>
      </w:r>
    </w:p>
    <w:p>
      <w:pPr>
        <w:spacing w:after="0" w:line="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MilliporeSigma, a division of Merck KGaA, including as the Head of Cell Culture Systems from November 2014 to May 2016 and Senior Manager of Science &amp; Technology and New Business Initiatives Lead from 2012 to 2014. Dr. Lee co-founded CellASIC Corp. in September 2004 and served as its Chief Executive Officer until it was acquired by Merck KGaA in April 2012. Dr. Lee earned his B.S. in Chemical Engineering and Biology from the Massachusetts Institute of Technology and his Ph.D. in Bioengineering from the University of California, Berkeley and the University of California, San Francisco.</w:t>
      </w:r>
    </w:p>
    <w:p>
      <w:pPr>
        <w:spacing w:after="0" w:line="17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Kanya Rajangam, M.D., Ph.D. </w:t>
      </w:r>
      <w:r>
        <w:rPr>
          <w:rFonts w:ascii="Times New Roman" w:cs="Times New Roman" w:eastAsia="Times New Roman" w:hAnsi="Times New Roman"/>
          <w:sz w:val="18"/>
          <w:szCs w:val="18"/>
          <w:color w:val="auto"/>
        </w:rPr>
        <w:t>has served as our Chief Medical and Development Officer since July 2022. Previously, she served as Nkarta, Inc.’s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Medical Officer from September 2019 to June 2022 and as its Senior Vice President and Chief Medical Officer from December 2018 to September 2019. Dr. Rajangam also serves as an independent director at Turnstone Biologics, a privately held oncolytic virus/ TIL therapies company, and has since November 2021. Previously, Dr. Rajangam was Senior Vice President and Chief Medical Officer at Atara Biotherapeutics, Inc., a publicly held allogeneic T-cell immunotherapy company, from August 2017 to September 2018. She was Chief Medical Officer at Cleave Biosciences from December 2016 to July 2017 and Vice President of Clinical Development from June 2015 to December 2016. Previously, she was Executive Director at Nektar Therapeutics, a publicly held biopharmaceutical company, from March 2015 to May 2015. Prior to that, she held positions of increasing responsibility at Onyx Pharmaceuticals, Inc. from April 2011 to February 2015, including as Senior Medical Director. Before that, she served at Exelixis, Inc. from January 2008 to April 2011 in positions of increasing responsibility, including as Associate Medical Director. She was a research scientist at Baxter Healthcare, Inc. from November 2006 to December 2007. Dr. Rajangam earned a medical degree from St. John’s Medical College Bangalore University and subsequently completed her general surgical residency at PGIMER, Chandigarh, India. She received a Ph.D. in biomedical engineering from Northwestern University.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Berland </w:t>
      </w:r>
      <w:r>
        <w:rPr>
          <w:rFonts w:ascii="Times New Roman" w:cs="Times New Roman" w:eastAsia="Times New Roman" w:hAnsi="Times New Roman"/>
          <w:sz w:val="18"/>
          <w:szCs w:val="18"/>
          <w:color w:val="auto"/>
        </w:rPr>
        <w:t>has served as a member of our board of directors since June 2021. Most recently, Ms. Berland served as Consulting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Bluestar Genomics, Inc. from May 2000 through August 2021. Previously, Ms. Berland was Chief Financial Officer at Atreca, Inc. from February 2015 to April 2019 and Chief Financial Officer at Mendel Biotechnology from September 2011 to December 2014. Ms. Berland served as an independent consultant to various biotech companies from March 2006 to August 2011. Ms. Berland was also the Chief Financial Officer at Poniard Pharmaceuticals from September 2004 to August 2006, and Chief Financial Officer at DNA Sciences from September 2000 to May 2003. Ms. Berland held various leadership positions at Monsanto including Head of Financial Planning from June 1999 to August 2000 and Director, Mergers &amp; Acquisitions from April 1996 to June 1999. Ms. Berland earned her B.A. in Finance and M.B.A. from the University of Wisconsin—Milwaukee. We believe Ms. Berland is qualified to serve on our board of directors because of her extensive financial experience and experience in the biotechnology industry.</w:t>
      </w:r>
    </w:p>
    <w:p>
      <w:pPr>
        <w:spacing w:after="0" w:line="188"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Brenda Cooperstone, M.D. </w:t>
      </w:r>
      <w:r>
        <w:rPr>
          <w:rFonts w:ascii="Times New Roman" w:cs="Times New Roman" w:eastAsia="Times New Roman" w:hAnsi="Times New Roman"/>
          <w:sz w:val="18"/>
          <w:szCs w:val="18"/>
          <w:color w:val="auto"/>
        </w:rPr>
        <w:t>has served as a member of our board of directors since October 2019. Dr. Cooperstone has held various leadership positions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Pfizer, Inc., a public biopharmaceutical company, including as Senior Vice President since May 2017, Chief Development Officer for Rare Disease in Global Product Development since May 2016 and Head of Development for Rare Disease in Global Product Development from November 2015 to May 2016. Dr. Cooperstone started her career in the pharmaceutical industry at Wyeth Pharmaceuticals in 1999 and joined Pfizer, Inc. in 2009.</w:t>
      </w:r>
    </w:p>
    <w:p>
      <w:pPr>
        <w:spacing w:after="0" w:line="3"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w:t>
      </w:r>
    </w:p>
    <w:p>
      <w:pPr>
        <w:spacing w:after="0" w:line="16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Mathers </w:t>
      </w:r>
      <w:r>
        <w:rPr>
          <w:rFonts w:ascii="Times New Roman" w:cs="Times New Roman" w:eastAsia="Times New Roman" w:hAnsi="Times New Roman"/>
          <w:sz w:val="18"/>
          <w:szCs w:val="18"/>
          <w:color w:val="auto"/>
        </w:rPr>
        <w:t>has served as a member of our board of directors since July 2016. Mr. Mathers has served as a General Partner at New Enterprise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Associates, Inc. (NEA), a private venture capital firm focusing on technology and healthcare investments, since November 2019, and prior to that served as partner at NEA from August 2008 to October 2019. Prior to joining NEA, Mr. Mathers served as Executive Vice President, Corporate Development and Venture at MedImmune, Inc., a biopharmaceutical company, and led its venture capital subsidiary, MedImmune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82"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Ventures, Inc. Mr. Mathers currently serves on the board of directors of Affinia Therapeutics, Inc., Akouos, Inc. (NASDAQ: AKUS), Code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Biotherapeutics, Inc., Inozyme Pharma, Inc. (NASDAQ: INZY), MBX Biosciences, Inc., Mirum Pharmaceuticals, Inc. (NASDAQ: MIRM), ObsEva SA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OBSV), Reneo Pharmaceuticals, Inc. (NASDAQ: RPHM), Rhythm Pharmaceuticals, Inc. (NASDAQ: RYTM), Shape Therapeutics Inc.,</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Sorriso Pharmaceuticals, Inc., Synlogic, Inc. (NASDAQ: SYBX) (formerly known as Mirna Therapeutics, Inc.) and Trevi Therapeutics, Inc. (NASDAQ: TRVI), all biopharmaceutical or pharmaceutical companies, and he previously served on the board of directors of Amplyx Pharmaceuticals, Inc. from October 2015 to April 2021, when it was acquired by Pfizer Inc., Liquidia Technologies, Inc., a public biopharmaceutical company, from April 2009 to May 2019 and Ra Pharmaceuticals, Inc. from February 2010 to April 2020 when it was acquired by UCB S.A.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w:t>
      </w:r>
    </w:p>
    <w:p>
      <w:pPr>
        <w:spacing w:after="0" w:line="18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 (Jim) Collins, Ph.D. </w:t>
      </w:r>
      <w:r>
        <w:rPr>
          <w:rFonts w:ascii="Times New Roman" w:cs="Times New Roman" w:eastAsia="Times New Roman" w:hAnsi="Times New Roman"/>
          <w:sz w:val="18"/>
          <w:szCs w:val="18"/>
          <w:color w:val="auto"/>
        </w:rPr>
        <w:t>has served as a member of our board of directors since June 2022. Dr. Collins has served as the Termeer Professor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serves as a member of the board of directors of Fulcrum Therapeutics, Inc. (NASDAQ: FULC) and the Orion Biotech Opportunities Corp (NASDAQ: ORIA).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Omid Farokhzad, M.D. </w:t>
      </w:r>
      <w:r>
        <w:rPr>
          <w:rFonts w:ascii="Times New Roman" w:cs="Times New Roman" w:eastAsia="Times New Roman" w:hAnsi="Times New Roman"/>
          <w:sz w:val="18"/>
          <w:szCs w:val="18"/>
          <w:color w:val="auto"/>
        </w:rPr>
        <w:t>has served as a member of our board of directors since June 2022. Dr. Farokhzad is a physician-scientist, serial entrepreneur,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founder, company builder, executive and director—across multiple companies and technology platforms. He founded Seer, Inc. (Nasdaq: SEER) in 2017, which advances a transformative proteomics platform, and served as Founder, CEO and Chair of DYNS from March 2021 to June 2022. He previously co-founded BIND Therapeutics (acquired by Pfizer),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a director of the Center for Nanomedicine at Brigham and Women’s Hospital. He has authored over 180 papers and is an inventor on over 200 issued or pending patents. He is a Fellow of the National Academy of Inventors. He is also a recipient of the 2016 Ellis Island Medal of Honor; the 2014 Golden Door Award from the International Institute of New England, for his scientific, societal and economic contributions to America as an immigrant; The Worldview 100 by Scientific American in 2015, which recognized visionaries who shaped biotechnology around the world; the 2013 RUSNANOPRIZE, one of the largest international nanotechnology prizes, for his work on nanomaterial surface modification; and the 2012 Ernst &amp; Young New England Entrepreneur of the Year Award. Dr. Farokhzad holds an MA and M.D. from Boston University and an MBA from MIT Sloan School of Management. We believe Dr. Farokhzad is qualified to serve on our board of directors because of his experience in leadership positions in the biotechnology and life science industry, his educational background and his strong scientific knowledge.</w:t>
      </w:r>
    </w:p>
    <w:p>
      <w:pPr>
        <w:spacing w:after="0" w:line="18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June 2022, and was previously a member of the DYNS board since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Mr. Epstein is the executive partner at Flagship Pioneering and Chairman of Axcella Therapeutics (Nasdaq: AXLA), Rubius Therapeutics, Inc. (Nasdaq: RUBY) and Evelo Biosciences, Inc. (Nasdaq: EVLO), and he is a director of OPY Acquisition Corp. I (Nasdaq: OHAA). Mr. Epstein is also a board member at four privately held biotherapeutics companies (Ring Therapeutics, Tarus Therapeutics, Valo Health and Woolsey Pharma). From 2010 to mid-2016, he served as CEO of Novartis Pharmaceuticals, a division of Novartis AG. Previously, he started and led Novartis’s Oncology and Molecular Diagnostic units. Under his leadership, Norvartis’s oncology business grew to the second largest in the world. Mr. Epstein has more than 25 years of extensive drug development, deal making, commercialization and leadership experience on a global scale. Over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82"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38" w:lineRule="auto"/>
        <w:rPr>
          <w:sz w:val="20"/>
          <w:szCs w:val="20"/>
          <w:color w:val="auto"/>
        </w:rPr>
      </w:pPr>
      <w:r>
        <w:rPr>
          <w:rFonts w:ascii="Times New Roman" w:cs="Times New Roman" w:eastAsia="Times New Roman" w:hAnsi="Times New Roman"/>
          <w:sz w:val="18"/>
          <w:szCs w:val="18"/>
          <w:color w:val="auto"/>
        </w:rPr>
        <w:t>course of his career, he led the development and commercialization of over 30 new molecular entities, including major breakthroughs such as Glivec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Tasigna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Gilenya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Cosentyx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Entresto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His teams developed three Prix Galien award winners, and he has mentored several CEOs into their roles. In 2015, he was named by FierceBiotech as one of the “25 most influential people in biopharma.”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Epstein’s extensive experience serving in executive roles in the life sciences industry and leading the development and commercialization of numerous therapeutics qualifies him to serve on our board of directors.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Our board of directors manages our business and affairs, as provided by Delaware law, and conducts its business through meetings of the board of directors and its standing committees. Our board of directors consists of seven members. The primary responsibilities of our board of directors is to provide risk oversight and strategic guidance and to counsel and direct management. Our board of directors meets on a regular basis and convenes additional meetings, as required.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Our board of directors has determined that Brenda Cooperstone, Susan Berland, Edward Mathers, Omid Farokhzad, David Epstein and James J. (Jim) Collins are considered independent directors. Our independent directors have regularly scheduled meetings at which only independent directors are present.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prospectus. The composition and responsibilities of each of the committees of our board of directors are described below. Members serve on these committees until their resignation or until otherwise determined by our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Our audit committee consists of Susan Berland, Edward Mathers and Omid Farokhzad. Our board of directors has determined that each member of the audit committee satisfies the independence requirements under the Nasdaq Listing Rules and Rule 10A-3(b)(1) of the Exchange Act. The chair of the audit committee is Susan Berland. Our board of directors has determined that Susan Berland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w:t>
      </w:r>
    </w:p>
    <w:p>
      <w:pPr>
        <w:spacing w:after="0" w:line="8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the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and/or assessing the selection, engagement, qualifications, independence and performance of a qualified firm to serve as the independent registered public accounting firm to audit our consolidated financial statements;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our internal quality control procedures, any material issues with such procedures and any steps taken to deal with such issues;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to be performed by the independent registered public accounting firm.</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Nasdaq Listing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Brenda Cooperstone, Susan Berland and David Epstein. The chair of the compensation committee is Brenda Cooperstone. The parties have determined that each member of the compensation committee satisfies the independence requirements under the Nasdaq Listing Rules, and is a “non-employee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93"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the chief executive officer and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the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Nasdaq Listing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Edward Mathers, James J. (Jim) Collins and David Epstein. The chair of the nominating and corporate governance committee is Edward Mathers. Our board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82"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of directors has determined that each member of the nominating and corporate governance committee satisfies the independence requirements under the Nasdaq Listing Rules.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31" w:lineRule="exact"/>
        <w:rPr>
          <w:sz w:val="20"/>
          <w:szCs w:val="20"/>
          <w:color w:val="auto"/>
        </w:rPr>
      </w:pPr>
    </w:p>
    <w:p>
      <w:pPr>
        <w:ind w:left="1080" w:right="4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chairpersonship of the board of directors and committees of the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our board of directors’ performance, including committees of our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Nasdaq Listing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www.sentibio.com.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prospectus.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“our,” “us” and the “Company” generally refer to Senti and its subsidiaries prior to the Business Combination and to Senti and its subsidiaries after giving effect to the Business Combination.</w:t>
      </w:r>
    </w:p>
    <w:p>
      <w:pPr>
        <w:spacing w:after="0" w:line="16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Senti’s executive compensation program as it relates to the executive officers named below (the “named executive officers”), for the year ended December 31, 2021, which consist of our principal executive officer and our two most highly compensated executive officers:</w:t>
      </w:r>
    </w:p>
    <w:p>
      <w:pPr>
        <w:spacing w:after="0" w:line="8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Lu, M.D., Ph.D., our Chief Executive Officer and President, referred to herein as Dr. Lu;</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 Herberts III, our Chief Operating Officer (who was employed with us until August 19, 2022), former Chief Financial Officer and former Chief Business Officer, referred to herein as Mr. Herberts;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Lee, Ph.D., our Chief Technology Officer and former Chief Operating Officer, referred to herein as Dr. Lee.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earned by or paid to Senti’s named executive officers for the year ended December 31, 2021.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4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Lu, M.D., Ph.D.</w:t>
            </w:r>
          </w:p>
        </w:tc>
        <w:tc>
          <w:tcPr>
            <w:tcW w:w="4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2021</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475,000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23,803,309</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219,213</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24,497,522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Curt Herberts III</w:t>
            </w:r>
            <w:r>
              <w:rPr>
                <w:rFonts w:ascii="Times New Roman" w:cs="Times New Roman" w:eastAsia="Times New Roman" w:hAnsi="Times New Roman"/>
                <w:sz w:val="25"/>
                <w:szCs w:val="25"/>
                <w:color w:val="auto"/>
                <w:vertAlign w:val="superscript"/>
              </w:rPr>
              <w:t>(4)</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410,000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10,416,683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151,372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15,345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10,993,400</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Lee, Ph.D.</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400,000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10,223,623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10,795,223</w:t>
            </w:r>
          </w:p>
        </w:tc>
        <w:tc>
          <w:tcPr>
            <w:tcW w:w="0" w:type="dxa"/>
            <w:vAlign w:val="bottom"/>
          </w:tcPr>
          <w:p>
            <w:pPr>
              <w:spacing w:after="0"/>
              <w:rPr>
                <w:sz w:val="1"/>
                <w:szCs w:val="1"/>
                <w:color w:val="auto"/>
              </w:rPr>
            </w:pPr>
          </w:p>
        </w:tc>
      </w:tr>
      <w:tr>
        <w:trPr>
          <w:trHeight w:val="23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right="40" w:hanging="424"/>
        <w:spacing w:after="0" w:line="253"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awards granted to the named executive officers during year 2021, calculated in accordance with ASC 718. Such grant date fair value does not take into account any estimated forfeitures. Certain of the assumptions used in calculating the grant date fair value of the awards reported in this column are set forth in Note 9 to Senti’s consolidated financial statements included elsewhere in this prospectus. The amounts reported in this column reflect the accounting cost for the stock options and stock awards, as applicable, and does not correspond to the actual economic value that may be received upon exercise of the stock option, issuance of shares of common stock, or any sale of any of the underlying shares of common stock. In addition, certain of the amounts reported in this column have not been audited and are subject to customary year-end audit adjustments.</w:t>
      </w:r>
    </w:p>
    <w:p>
      <w:pPr>
        <w:spacing w:after="0" w:line="2" w:lineRule="exact"/>
        <w:rPr>
          <w:rFonts w:ascii="Times New Roman" w:cs="Times New Roman" w:eastAsia="Times New Roman" w:hAnsi="Times New Roman"/>
          <w:sz w:val="18"/>
          <w:szCs w:val="18"/>
          <w:color w:val="auto"/>
        </w:rPr>
      </w:pPr>
    </w:p>
    <w:p>
      <w:pPr>
        <w:ind w:left="540" w:right="160" w:hanging="424"/>
        <w:spacing w:after="0" w:line="265" w:lineRule="auto"/>
        <w:tabs>
          <w:tab w:leader="none" w:pos="5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performance-based cash bonuses awarded to Senti’s named executive officers. See “—</w:t>
      </w:r>
      <w:r>
        <w:rPr>
          <w:rFonts w:ascii="Times New Roman" w:cs="Times New Roman" w:eastAsia="Times New Roman" w:hAnsi="Times New Roman"/>
          <w:sz w:val="17"/>
          <w:szCs w:val="17"/>
          <w:i w:val="1"/>
          <w:iCs w:val="1"/>
          <w:color w:val="auto"/>
        </w:rPr>
        <w:t>Narrative to the Summary Compensation Table—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Non-Equity Incentive Plan Compensation</w:t>
      </w:r>
      <w:r>
        <w:rPr>
          <w:rFonts w:ascii="Times New Roman" w:cs="Times New Roman" w:eastAsia="Times New Roman" w:hAnsi="Times New Roman"/>
          <w:sz w:val="17"/>
          <w:szCs w:val="17"/>
          <w:color w:val="auto"/>
        </w:rPr>
        <w:t>” below for a description of the material terms pursuant to which this compensation was awarded.</w:t>
      </w:r>
    </w:p>
    <w:p>
      <w:pPr>
        <w:jc w:val="both"/>
        <w:ind w:left="540" w:right="50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for Dr. Lee, $11,600 in matching contributions made by Senti under Senti’s 401(k) plan; and (ii) for Mr. Herberts, $11,600 in matching contributions made by Senti under Senti’s 401(k) plan and $3,745 paid by us to cover taxes Mr. Herberts owed relating to a health savings account contribution.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Herberts, our former Chief Operating Officer, resigned from his employment with us effective as of August 19, 2022.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Senti’s compensation committee or board of directors reviews compensation annually for all employees, including named executive officers. In making compensation determinations, Senti considers compensation for comparable positions in the market, the historical compensation levels of executives, individual performance as compared to Senti’s expectations and objectives, Senti’s desire to motivate employees to achieve short- and long-term results that are in the best interests of Senti’s stockholders and a long-term commitment to the company.</w:t>
      </w:r>
    </w:p>
    <w:p>
      <w:pPr>
        <w:spacing w:after="0" w:line="180"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Either the compensation committee or the board of directors has historically determined the executive officers’ compensation and has typically reviewed and discussed management’s proposed compensation with the chief executive officer for all executives other than the chief executive officer. Based on those discussions and its discretion, either Senti’s board of directors or compensation committee then approved the compensation of each executive officer. Upon the closing of the Business Combination, the compensation committee will determine the executive officers’ compensation and follow this process, but generally the compensation committee itself, rather than the board of directors, will approve the compensation of each executive officer.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Base salaries for the executive officers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Senti’s annual performance review process, and adjusted from time to time to realign salaries with market levels after taking into account individual responsibilities, performance and experience. In making decisions regarding salary increases, Senti may also draw upon the experience of members of the board of directors with executives at other companies. The 2021 base salaries for the named executive officers were as follows: (a) $475,000 for Dr. Lu; (b) $410,000 for Mr. Herberts; and (c) $400,000 for Dr. Lee.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Senti’s named executive officers are each eligible to receive a discretionary annual bonus based on individual and company performance. In 2021,</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Dr. Lu was eligible to earn an annual target performance bonus equal to 50% of his 2021 base salary based on the achievement of corporate objectives. Mr. Herberts and Dr. Lee were eligible to earn an annual target performance bonus equal to 40% of their respective 2021 base salary based on the achievement of both individual and corporate objectives. Payment of 2021 annual bonuses was based in part on us achieving certain research and product development, capital raising and other target goals. The compensation committee determined that Dr. Lu, Mr. Herberts and Dr. Lee were entitled to approximately 92.3%, 92.3% and 100% respectively, of their target bonuses.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Senti’s equity-based incentive awards are designed to align our interests and those of Senti’s stockholders with those of Senti’s employees and consultants, including Senti’s named executive officers. As of December 31, 2021, stock option awards were the only form of equity award we granted to the named executive officers.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historically used stock options as incentives for long-term compensation to the named executive officers as the return on the awards is tied to an increase in our stock price. Senti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Prior to the completion of the Business Combination, all of the equity incentive awards Senti granted were made pursuant to Senti’s 2016 Stock Incentive Plan, as amended, or the 2016 Plan. Following the completion of the Business Combination, Senti will grant equity incentive awards under the terms of our 2022 Equity Incentive Plan, or the Incentive Plan. The terms of Senti’s 2016 Plan are described below under “—Equity Benefit Plans.”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All stock options are granted with an exercise price per share that is no less than the fair market value of Senti’s common stock on the date of grant of such award. Senti’s stock option grants generally vest over a four-year period, and may be subject to acceleration of vesting and exercisability under certain termination and change in control events. See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 below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outstanding equity awards held by the named executive officers as of December 31, 2021. All awards were granted pursuant to the 2016 Plan. See “—</w:t>
      </w:r>
      <w:r>
        <w:rPr>
          <w:rFonts w:ascii="Times New Roman" w:cs="Times New Roman" w:eastAsia="Times New Roman" w:hAnsi="Times New Roman"/>
          <w:sz w:val="18"/>
          <w:szCs w:val="18"/>
          <w:i w:val="1"/>
          <w:iCs w:val="1"/>
          <w:color w:val="auto"/>
        </w:rPr>
        <w:t>Equity Benefit Plans—2016 Stock Incentive Plan</w:t>
      </w:r>
      <w:r>
        <w:rPr>
          <w:rFonts w:ascii="Times New Roman" w:cs="Times New Roman" w:eastAsia="Times New Roman" w:hAnsi="Times New Roman"/>
          <w:sz w:val="18"/>
          <w:szCs w:val="18"/>
          <w:color w:val="auto"/>
        </w:rPr>
        <w:t>” below for additional information.</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4"/>
          </w:tcPr>
          <w:p>
            <w:pPr>
              <w:ind w:left="7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0" w:type="dxa"/>
            <w:vAlign w:val="bottom"/>
          </w:tcPr>
          <w:p>
            <w:pPr>
              <w:spacing w:after="0"/>
              <w:rPr>
                <w:sz w:val="1"/>
                <w:szCs w:val="1"/>
                <w:color w:val="auto"/>
              </w:rPr>
            </w:pPr>
          </w:p>
        </w:tc>
      </w:tr>
      <w:tr>
        <w:trPr>
          <w:trHeight w:val="135"/>
        </w:trPr>
        <w:tc>
          <w:tcPr>
            <w:tcW w:w="2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Vesting</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9"/>
              </w:rPr>
              <w:t>Exercise</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7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28"/>
        </w:trPr>
        <w:tc>
          <w:tcPr>
            <w:tcW w:w="26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Commencement</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2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9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8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98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2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5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(Exercisable)</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(Unexercisable)</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600" w:type="dxa"/>
            <w:vAlign w:val="bottom"/>
            <w:tcBorders>
              <w:top w:val="single" w:sz="8" w:color="CCEEFF"/>
            </w:tcBorders>
            <w:gridSpan w:val="3"/>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Timothy Lu, M.D., Ph.D.</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2/2/2021</w:t>
            </w:r>
          </w:p>
        </w:tc>
        <w:tc>
          <w:tcPr>
            <w:tcW w:w="420" w:type="dxa"/>
            <w:vAlign w:val="bottom"/>
            <w:tcBorders>
              <w:top w:val="single" w:sz="8" w:color="CCEEFF"/>
            </w:tcBorders>
            <w:shd w:val="clear" w:color="auto" w:fill="CCEEFF"/>
          </w:tcPr>
          <w:p>
            <w:pPr>
              <w:jc w:val="right"/>
              <w:ind w:right="226"/>
              <w:spacing w:after="0" w:line="111" w:lineRule="exact"/>
              <w:rPr>
                <w:sz w:val="20"/>
                <w:szCs w:val="20"/>
                <w:color w:val="auto"/>
              </w:rPr>
            </w:pPr>
            <w:r>
              <w:rPr>
                <w:rFonts w:ascii="Times New Roman" w:cs="Times New Roman" w:eastAsia="Times New Roman" w:hAnsi="Times New Roman"/>
                <w:sz w:val="11"/>
                <w:szCs w:val="11"/>
                <w:color w:val="auto"/>
                <w:w w:val="93"/>
              </w:rPr>
              <w:t>(1)</w:t>
            </w:r>
          </w:p>
        </w:tc>
        <w:tc>
          <w:tcPr>
            <w:tcW w:w="88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1/1/2021</w:t>
            </w:r>
          </w:p>
        </w:tc>
        <w:tc>
          <w:tcPr>
            <w:tcW w:w="2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2,320,000</w:t>
            </w:r>
          </w:p>
        </w:tc>
        <w:tc>
          <w:tcPr>
            <w:tcW w:w="2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0.52</w:t>
            </w:r>
          </w:p>
        </w:tc>
        <w:tc>
          <w:tcPr>
            <w:tcW w:w="2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2/1/2031</w:t>
            </w: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600" w:type="dxa"/>
            <w:vAlign w:val="bottom"/>
            <w:gridSpan w:val="3"/>
            <w:shd w:val="clear" w:color="auto" w:fill="CCEEFF"/>
          </w:tcPr>
          <w:p>
            <w:pPr>
              <w:ind w:left="28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 and President</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6"/>
              <w:spacing w:after="0" w:line="151" w:lineRule="exact"/>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(3)</w:t>
            </w:r>
          </w:p>
        </w:tc>
        <w:tc>
          <w:tcPr>
            <w:tcW w:w="108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6/8/2022</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14,695,435</w:t>
            </w:r>
          </w:p>
        </w:tc>
        <w:tc>
          <w:tcPr>
            <w:tcW w:w="66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1.94</w:t>
            </w:r>
          </w:p>
        </w:tc>
        <w:tc>
          <w:tcPr>
            <w:tcW w:w="80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12/18/2031</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(4)</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6/8/2022</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3,093,776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12/18/2031</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Curt Herberts III</w:t>
            </w:r>
          </w:p>
        </w:tc>
        <w:tc>
          <w:tcPr>
            <w:tcW w:w="1280" w:type="dxa"/>
            <w:vAlign w:val="bottom"/>
            <w:gridSpan w:val="3"/>
          </w:tcPr>
          <w:p>
            <w:pPr>
              <w:jc w:val="right"/>
              <w:ind w:right="106"/>
              <w:spacing w:after="0"/>
              <w:rPr>
                <w:sz w:val="20"/>
                <w:szCs w:val="20"/>
                <w:color w:val="auto"/>
              </w:rPr>
            </w:pPr>
            <w:r>
              <w:rPr>
                <w:rFonts w:ascii="Times New Roman" w:cs="Times New Roman" w:eastAsia="Times New Roman" w:hAnsi="Times New Roman"/>
                <w:sz w:val="14"/>
                <w:szCs w:val="14"/>
                <w:color w:val="auto"/>
              </w:rPr>
              <w:t>6/18/2018</w:t>
            </w:r>
            <w:r>
              <w:rPr>
                <w:rFonts w:ascii="Times New Roman" w:cs="Times New Roman" w:eastAsia="Times New Roman" w:hAnsi="Times New Roman"/>
                <w:sz w:val="10"/>
                <w:szCs w:val="10"/>
                <w:color w:val="auto"/>
              </w:rPr>
              <w:t>(1)(2)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6/4/2018</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133,871</w:t>
            </w:r>
            <w:r>
              <w:rPr>
                <w:rFonts w:ascii="Times New Roman" w:cs="Times New Roman" w:eastAsia="Times New Roman" w:hAnsi="Times New Roman"/>
                <w:sz w:val="10"/>
                <w:szCs w:val="10"/>
                <w:color w:val="auto"/>
              </w:rPr>
              <w:t>(5)</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  236,952</w:t>
            </w:r>
          </w:p>
        </w:tc>
        <w:tc>
          <w:tcPr>
            <w:tcW w:w="0" w:type="dxa"/>
            <w:vAlign w:val="bottom"/>
          </w:tcPr>
          <w:p>
            <w:pPr>
              <w:spacing w:after="0"/>
              <w:rPr>
                <w:sz w:val="1"/>
                <w:szCs w:val="1"/>
                <w:color w:val="auto"/>
              </w:rPr>
            </w:pPr>
          </w:p>
        </w:tc>
      </w:tr>
      <w:tr>
        <w:trPr>
          <w:trHeight w:val="151"/>
        </w:trPr>
        <w:tc>
          <w:tcPr>
            <w:tcW w:w="2600" w:type="dxa"/>
            <w:vAlign w:val="bottom"/>
            <w:gridSpan w:val="3"/>
          </w:tcPr>
          <w:p>
            <w:pPr>
              <w:ind w:left="280"/>
              <w:spacing w:after="0" w:line="151" w:lineRule="exact"/>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1280" w:type="dxa"/>
            <w:vAlign w:val="bottom"/>
            <w:gridSpan w:val="3"/>
          </w:tcPr>
          <w:p>
            <w:pPr>
              <w:jc w:val="right"/>
              <w:ind w:right="226"/>
              <w:spacing w:after="0" w:line="151" w:lineRule="exact"/>
              <w:rPr>
                <w:sz w:val="20"/>
                <w:szCs w:val="20"/>
                <w:color w:val="auto"/>
              </w:rPr>
            </w:pPr>
            <w:r>
              <w:rPr>
                <w:rFonts w:ascii="Times New Roman" w:cs="Times New Roman" w:eastAsia="Times New Roman" w:hAnsi="Times New Roman"/>
                <w:sz w:val="14"/>
                <w:szCs w:val="14"/>
                <w:color w:val="auto"/>
              </w:rPr>
              <w:t>2/2/2021</w:t>
            </w:r>
            <w:r>
              <w:rPr>
                <w:rFonts w:ascii="Times New Roman" w:cs="Times New Roman" w:eastAsia="Times New Roman" w:hAnsi="Times New Roman"/>
                <w:sz w:val="10"/>
                <w:szCs w:val="10"/>
                <w:color w:val="auto"/>
              </w:rPr>
              <w:t>(1)</w:t>
            </w:r>
          </w:p>
        </w:tc>
        <w:tc>
          <w:tcPr>
            <w:tcW w:w="1080" w:type="dxa"/>
            <w:vAlign w:val="bottom"/>
            <w:gridSpan w:val="2"/>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1/1/2021</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7,734,440</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12/18/2031</w:t>
            </w:r>
          </w:p>
        </w:tc>
        <w:tc>
          <w:tcPr>
            <w:tcW w:w="980" w:type="dxa"/>
            <w:vAlign w:val="bottom"/>
            <w:gridSpan w:val="2"/>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10"/>
                <w:szCs w:val="10"/>
                <w:color w:val="auto"/>
              </w:rPr>
              <w:t>(5)</w:t>
            </w:r>
          </w:p>
        </w:tc>
        <w:tc>
          <w:tcPr>
            <w:tcW w:w="720" w:type="dxa"/>
            <w:vAlign w:val="bottom"/>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color w:val="auto"/>
              </w:rPr>
              <w:t>$2,212,500</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gridSpan w:val="3"/>
          </w:tcPr>
          <w:p>
            <w:pPr>
              <w:jc w:val="right"/>
              <w:ind w:right="226"/>
              <w:spacing w:after="0"/>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6/8/2022</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6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60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Philip Lee, Ph.D.</w:t>
            </w:r>
          </w:p>
        </w:tc>
        <w:tc>
          <w:tcPr>
            <w:tcW w:w="1280" w:type="dxa"/>
            <w:vAlign w:val="bottom"/>
            <w:gridSpan w:val="3"/>
            <w:shd w:val="clear" w:color="auto" w:fill="CCEEFF"/>
          </w:tcPr>
          <w:p>
            <w:pPr>
              <w:jc w:val="right"/>
              <w:ind w:right="226"/>
              <w:spacing w:after="0" w:line="124" w:lineRule="exact"/>
              <w:rPr>
                <w:sz w:val="20"/>
                <w:szCs w:val="20"/>
                <w:color w:val="auto"/>
              </w:rPr>
            </w:pPr>
            <w:r>
              <w:rPr>
                <w:rFonts w:ascii="Times New Roman" w:cs="Times New Roman" w:eastAsia="Times New Roman" w:hAnsi="Times New Roman"/>
                <w:sz w:val="14"/>
                <w:szCs w:val="14"/>
                <w:color w:val="auto"/>
              </w:rPr>
              <w:t>2/2/2021</w:t>
            </w:r>
            <w:r>
              <w:rPr>
                <w:rFonts w:ascii="Times New Roman" w:cs="Times New Roman" w:eastAsia="Times New Roman" w:hAnsi="Times New Roman"/>
                <w:sz w:val="10"/>
                <w:szCs w:val="10"/>
                <w:color w:val="auto"/>
              </w:rPr>
              <w:t>(1)</w:t>
            </w:r>
          </w:p>
        </w:tc>
        <w:tc>
          <w:tcPr>
            <w:tcW w:w="10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1/1/2021</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1,035,000</w:t>
            </w:r>
            <w:r>
              <w:rPr>
                <w:rFonts w:ascii="Times New Roman" w:cs="Times New Roman" w:eastAsia="Times New Roman" w:hAnsi="Times New Roman"/>
                <w:sz w:val="10"/>
                <w:szCs w:val="10"/>
                <w:color w:val="auto"/>
              </w:rPr>
              <w:t>(5)</w:t>
            </w:r>
          </w:p>
        </w:tc>
        <w:tc>
          <w:tcPr>
            <w:tcW w:w="720" w:type="dxa"/>
            <w:vAlign w:val="bottom"/>
            <w:gridSpan w:val="2"/>
            <w:shd w:val="clear" w:color="auto" w:fill="CCEEFF"/>
          </w:tcPr>
          <w:p>
            <w:pPr>
              <w:jc w:val="center"/>
              <w:ind w:right="20"/>
              <w:spacing w:after="0" w:line="124" w:lineRule="exact"/>
              <w:rPr>
                <w:sz w:val="20"/>
                <w:szCs w:val="20"/>
                <w:color w:val="auto"/>
              </w:rPr>
            </w:pPr>
            <w:r>
              <w:rPr>
                <w:rFonts w:ascii="Times New Roman" w:cs="Times New Roman" w:eastAsia="Times New Roman" w:hAnsi="Times New Roman"/>
                <w:sz w:val="14"/>
                <w:szCs w:val="14"/>
                <w:color w:val="auto"/>
              </w:rPr>
              <w:t>$1,831,950</w:t>
            </w:r>
          </w:p>
        </w:tc>
        <w:tc>
          <w:tcPr>
            <w:tcW w:w="0" w:type="dxa"/>
            <w:vAlign w:val="bottom"/>
          </w:tcPr>
          <w:p>
            <w:pPr>
              <w:spacing w:after="0"/>
              <w:rPr>
                <w:sz w:val="1"/>
                <w:szCs w:val="1"/>
                <w:color w:val="auto"/>
              </w:rPr>
            </w:pPr>
          </w:p>
        </w:tc>
      </w:tr>
      <w:tr>
        <w:trPr>
          <w:trHeight w:val="173"/>
        </w:trPr>
        <w:tc>
          <w:tcPr>
            <w:tcW w:w="2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6/8/2022</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7,734,440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12/18/2031</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20" w:hanging="424"/>
        <w:spacing w:after="0" w:line="208" w:lineRule="auto"/>
        <w:tabs>
          <w:tab w:leader="none" w:pos="54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25% of the shares underlying this option vest on the one-year anniversary of the vesting commencement date and the remainder vest in 36 equal monthly installments thereafter, subject to the named executive officer’s continued employment through the applicable vesting date.</w:t>
      </w:r>
    </w:p>
    <w:p>
      <w:pPr>
        <w:spacing w:after="0" w:line="1" w:lineRule="exact"/>
        <w:rPr>
          <w:rFonts w:ascii="Times New Roman" w:cs="Times New Roman" w:eastAsia="Times New Roman" w:hAnsi="Times New Roman"/>
          <w:sz w:val="27"/>
          <w:szCs w:val="27"/>
          <w:color w:val="auto"/>
          <w:vertAlign w:val="superscript"/>
        </w:rPr>
      </w:pPr>
    </w:p>
    <w:p>
      <w:pPr>
        <w:ind w:left="540" w:right="360" w:hanging="424"/>
        <w:spacing w:after="0" w:line="200" w:lineRule="auto"/>
        <w:tabs>
          <w:tab w:leader="none" w:pos="54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grant is eligible for accelerated vesting as described below under the section titled “Potential Payments and Benefits upon Termination or Change in Control.”</w:t>
      </w:r>
    </w:p>
    <w:p>
      <w:pPr>
        <w:ind w:left="540" w:right="40" w:hanging="424"/>
        <w:spacing w:after="0" w:line="233" w:lineRule="auto"/>
        <w:tabs>
          <w:tab w:leader="none" w:pos="54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shares underlying this option are subject to both time-based and performance-based vesting conditions, or the BCA Vesting Conditions. 100% of the shares underlying the option satisfy the performance-based vesting condition upon consummation of the transactions contemplated by the BCA subject to the named executive officer’s continued employment or other service relationship through such date. The shares underlying the option shall satisfy the time-based vesting condition as follows: 25% on the one-year anniversary of the vesting commencement date and the remainder vest in 36 equal monthly installments thereafter, subject to the named executive officer’s continued employment through the applicable vesting date. In February 2022, this option was amended to provide that the vesting commencement date would be the Closing Date, rather than December 19, 2021.</w:t>
      </w:r>
    </w:p>
    <w:p>
      <w:pPr>
        <w:spacing w:after="0" w:line="4" w:lineRule="exact"/>
        <w:rPr>
          <w:rFonts w:ascii="Times New Roman" w:cs="Times New Roman" w:eastAsia="Times New Roman" w:hAnsi="Times New Roman"/>
          <w:sz w:val="27"/>
          <w:szCs w:val="27"/>
          <w:color w:val="auto"/>
          <w:vertAlign w:val="superscript"/>
        </w:rPr>
      </w:pPr>
    </w:p>
    <w:p>
      <w:pPr>
        <w:jc w:val="both"/>
        <w:ind w:left="540" w:right="20" w:hanging="424"/>
        <w:spacing w:after="0" w:line="234" w:lineRule="auto"/>
        <w:tabs>
          <w:tab w:leader="none" w:pos="540"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shares underlying this option are subject to the BCA Vesting Conditions and additional market conditions based upon the attainment of certain share prices, or hurdle prices. 25% of the shares underlying the option satisfy the additional market condition on the date that the applicable hurdle price is reached for 20 out of 30 consecutive trading days. The hurdle prices are $2.90, $3.87, $4.84 and $5.81, respectively. In February 2022, this option was amended to provide that the vesting commencement date would be the Closing Date, rather than December 19, 2021.</w:t>
      </w:r>
    </w:p>
    <w:p>
      <w:pPr>
        <w:ind w:left="540" w:right="100" w:hanging="424"/>
        <w:spacing w:after="0" w:line="200" w:lineRule="auto"/>
        <w:tabs>
          <w:tab w:leader="none" w:pos="54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 reflects the number of unvested shares issued upon the early exercise of a stock option grant that remain subject to Senti’s repurchase right.</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82"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600" w:hanging="424"/>
        <w:spacing w:after="0" w:line="208" w:lineRule="auto"/>
        <w:tabs>
          <w:tab w:leader="none" w:pos="54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amounts reported in this column reflect the number of unvested shares multiplied by $1.77, which was the fair market value of Senti’s common stock as of December 20, 2021 as determined by an independent third-party valuation.</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and retirement benefits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Senti’s named executive officers did not participate in, or otherwise receive any benefits under, any pension or defined benefit retirement plan sponsored by Senti during the fiscal year ended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Senti’s named executive officers did not participate in, or earn any benefits under, any nonqualified deferred compensation plan sponsored by Senti during the fiscal year ended December 31, 2021. Senti’s board of directors may elect to provide the officers and other employees with nonqualified deferred compensation benefits in the future if it determines that doing so is in Senti’s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Below are descriptions of Senti’s employment offer letters with Dr. Lu, Mr. Herberts and Dr. Lee. The letters generally provide for at-will employment without any specific term and set forth the named executive officer’s initial base salary and eligibility for employee benefits. Each of Senti’s named executive officers has executed a form of Senti’s standard confidential information and inventions assignment agreement.</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Additionally, the named executive officers are entitled to certain severance benefits pursuant to their employment offer letters, the terms of which are described under the section titled “Potential Payments and Benefits upon Termination or Change in Control”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Timothy Lu, M.D., Ph.D.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2018, Senti entered into an employment letter agreement with Dr. Lu, Senti’s current Chief Executive Officer. Pursuant to his letter agreement, Dr. Lu was initially entitled to an annual base salary of $400,000, a signing bonus of $168,333.33, and a discretionary annual target bonus equal to 40% of his base salary, contingent upon the achievement of performance objectives established by Senti. In January 2021, Dr. Lu’s annual base salary was increased to $475,000. Prior to his employment, starting in July 2016, Dr. Lu provided services to Senti pursuant to a consulting agreement. In connection with such consulting services, Dr. Lu was issued 8,100,000 shares of Senti common stock pursuant to a restricted stock purchase agreement, which vested as follows: 25% on the date of issuance and the remainder in 36 equal monthly installments thereafter, subject to Dr. Lu’s continued service through each such date. Dr. Lu was also granted options to purchase 2,320,000 shares of Senti common stock in 2021 as described in “—Outstanding Equity Awards at Fiscal Year-End” above. Dr. Lu remains eligible for future equity awards as determined by our board of directors or its compensation committee.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Curt Herberts III</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April 2018, Senti entered into an employment agreement with Mr. Herberts, Senti’s former Chief Operating Officer. Pursuant to his agreement,</w:t>
      </w:r>
    </w:p>
    <w:p>
      <w:pPr>
        <w:spacing w:after="0" w:line="27"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color w:val="auto"/>
        </w:rPr>
        <w:t>Mr. Herberts held the positions of Chief Financial Officer and Chief Business Officer, and was initially entitled to an annual base salary of $370,000, a signing bonus of $100,000, and a discretionary annual target bonus equal to 35% of his base salary, contingent upon the achievement of performance objectives established by Senti. In January 2021, Mr. Herberts’ annual base salary was increased to $410,000. Mr. Herberts’ agreement also provided that Mr. Herberts was entitled to the grant of a stock option to purchase 1,070,964 shares of Senti common stock, which was granted in June 2018 and subject to vesting as follows: 25% on the one-year anniversary of June 4, 2018 and the remainder in 36 equal monthly installments thereafter, subject to</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Mr. Herberts’ continued employment through each such date. Mr. Herberts was also granted “early exercise” options to purchase 1,250,000 shares of Senti common stock in 2021, which Mr. Herberts exercised in February 2021 and were subject to vesting as described in “—Outstanding Equity Awards at Fiscal Year-End” above. Mr. Herberts resigned from his employment with us effective as of August 19,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Philip Lee, Ph.D.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December 2018, Senti entered into an employment letter agreement with Dr. Lee, Senti’s current Chief Technology Officer. Pursuant to his letter agreement, Dr. Lee held the position of Chief Operating Officer, and was initially entitled to an annual base salary of $350,000, a signing bonus of $126,666.67, and a discretionary annual target bonus equal to 35% of his base salary, contingent upon the achievement of performance objectives established by Senti. In January 2021, Dr. Lee’s annual base salary was increased to $400,000. Prior to his employment, starting in July 2016, Dr. Lee provided services to Senti pursuant to a consulting agreement. In connection with such consulting services, Dr. Lee was issued 3,750,000 shares of Senti common stock pursuant to a restricted stock purchase agreement, which vested as follows: 25% on the date of issuance and the remainder in 36 equal monthly installments thereafter, subject to Dr. Lee’s continued service through each such date. Dr. Lee was also granted options to purchase 1,035,000 shares of Senti common stock in 2021, which Dr. Lee exercised in February 2021 and remain subject to vesting as described in “—Outstanding Equity Awards at Fiscal Year-End” above. Dr. Lee remains eligible for future equity awards as determined by our board of directors or its compensation committee.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employment with Senti terminates, the named executive officer is entitled to receive amounts earned during his term of service, including salary and accrued unused vacation pay.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 and Benefits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Under the terms of their respective employment agreements, Dr. Lu, Mr. Herberts and Dr. Lee are each eligible to receive the following severance payments and benefits upon a termination without “cause” or upon “resignation for good reason,” each as defined below, contingent upon the named executive officer’s timely delivery to Senti of a satisfactory release of claims:</w:t>
      </w:r>
    </w:p>
    <w:p>
      <w:pPr>
        <w:spacing w:after="0" w:line="81" w:lineRule="exact"/>
        <w:rPr>
          <w:sz w:val="20"/>
          <w:szCs w:val="20"/>
          <w:color w:val="auto"/>
        </w:rPr>
      </w:pPr>
    </w:p>
    <w:p>
      <w:pPr>
        <w:ind w:left="1080" w:right="6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Lu, he is entitled to a cash severance equal to 12 months of his then current base salary, plus the prorated portion of his target annual bonus, and up to 12 months of payment for continued group health plan benefits. If such termination or resignation occurs within 3 months before or 12 months after a change of control, then all of his then remaining unvested shares of restricted common stock will become fully vested, although such restricted stock has already vested in full.</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Herberts, he is entitled to a cash severance equal to 9 months of his then current base salary, plus any unpaid bonus from a prior fiscal year, plus reimbursement for any unreimbursed expenses, and up to 9 months of payment for continued group health plan benefits. If such termination or resignation occurs within 3 months before or 12 months after a change of control, then all of the outstanding stock options granted to him in June 2018 will become fully vested.</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Lee, he is entitled to a cash severance equal to 9 months of his then current base salary, plus the prorated portion of his target annual bonus, and up to 9 months of payment for continued group health plan benefits. If such termination or resignation occurs within 3 months before or 12 months after a change of control, then all of his then remaining unvested shares of restricted common stock will become fully vested, although such restricted stock has already vested in full.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82"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purposes of Senti’s named executive officers’ severance benefits, the following definitions apply:</w:t>
      </w:r>
    </w:p>
    <w:p>
      <w:pPr>
        <w:spacing w:after="0" w:line="131" w:lineRule="exact"/>
        <w:rPr>
          <w:sz w:val="20"/>
          <w:szCs w:val="20"/>
          <w:color w:val="auto"/>
        </w:rPr>
      </w:pPr>
    </w:p>
    <w:p>
      <w:pPr>
        <w:ind w:left="1080" w:hanging="424"/>
        <w:spacing w:after="0" w:line="255"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the occurrence of any of the following: (i) the employee’s material breach of their employment agreement; (ii) any act (other than retirement) or omission which has a material and adverse effect on our business, or on the employee’s ability to perform services for us, including the commission of any crime (other than minor traffic violations); or (iii) material misconduct or material neglect of the employee’s duties in connection with our business or affairs; provided, however, that before terminating the employee’s employment for cause, we will: (a) provide them with 30 days’ advance written notice with the event specifically set forth in the notice and the opportunity to cure the event (if curable); (b) provide them with a reasonable opportunity to present their case to our board of directors; and (c) require that to our board of directors determine, by majority vote, whether their employment should be terminated for cause.</w:t>
      </w:r>
    </w:p>
    <w:p>
      <w:pPr>
        <w:spacing w:after="0" w:line="94"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the closing of: (i) a sale of all or substantially all of our assets; (ii) any consolidation or merger by us with or into any other corporation or other entity or person, or any other corporate reorganization, other than any such consolidation, merger or reorganization in which our stockholders immediately prior to such consolidation, merger or reorganization, continue to hold a majority of the voting power of the surviving entity (or, if the surviving entity is a wholly owned subsidiary, its parent) immediately after such consolidation, merger or reorganization; or (iii) a stock tender or a merger, consolidation or similar event pursuant to a transaction or series of related transactions in which a third party (which term shall include a current stockholder) acquires more than fifty percent (50%) of our equity voting securities outstanding immediately prior to the consummation of such transaction or series of related transactions, and our stockholders do not retain a majority of the equity voting securities of the surviving entity, other than (a) a merger, conversion or other transaction the principal goal of which is to change our jurisdiction of incorporation, or (b) an equity security financing for our account in which our capital stock is sold to one or more institutional investors.</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employee’s termination of their own employment because of any of the following: (i) our breach of any one or more of the material provisions of this Agreement; (ii) a material reduction by us of their annual base salary, unless they consent to such reduction or unless such reduction is applied equally, as a percentage of base salary, to all our senior executives; (iii) a relocation of our location such that their one-way commute as of the effective date of their employment agreement increases by more than 35 miles;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any such termination by them shall only be deemed for good reason pursuant to this definition if: (a) they give us written notice of their intent to terminate for good reason within 90 days following the first occurrence of the condition that they believe constitutes good reason, which notice shall describe such condition; (b) we fail to remedy such condition within 30 days following receipt of the written notice (referred to as the cure period); and (c) they voluntarily terminate their employment within 30 days following the end of the cure period.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and Perquisites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All of Senti’s current named executive officers are eligible to participate in Senti’s employee benefit plans, including Senti’s medical, dental, vision, disability and life insurance plans, in each case on the same basis as all of Senti’s other employees. Senti pays the premiums for the life, disability and accidental death and dismemberment insurance for all of its employees, including its named executive officers. Senti generally does not provide perquisites or personal benefits to its named executive officers, except in limited circumstances.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Senti currently maintains a 401(k) retirement savings plan for its employees, including its named executive officers, who satisfy certain eligibility requirements. The 401(k) plan is intended to qualify as a tax-qualified plan under the Code. Senti’s named executive officers are eligible to participate in the 401(k) plan on the same basis as its other employees. The Code allows eligible employees to defer a portion of their compensation, within prescribed limits, on a pre-tax basis through contributions to the 401(k) plan. Senti currently provides matching 401(k) contributions to its named executive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Senti’s board of directors adopted, and Senti’s stockholders approved the 2016 Stock Incentive Plan, or the 2016 Plan, in July 2016. As of December 31, 2021, under the 2016 Plan, options to purchase 57,732,604 shares of common stock were outstanding, and 3,648,364 shares of common stock remained available for future issuance.</w:t>
      </w:r>
    </w:p>
    <w:p>
      <w:pPr>
        <w:spacing w:after="0" w:line="174"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2016 Plan provides for the grant of ISOs to employees of Senti, any parent or certain subsidiary companies, and for the grant of NSOs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to such employees, Senti’s directors, and to consultants engaged by Senti or any of its subsidiary companies.</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Senti’s board of directors administers and interprets the provisions of the 2016 Plan. Senti’s board of directors may delegate 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its powers under the 2016 Plan to a committee appointed by the Board (to the extent permitted under applicable law and regulations), except that the Board retains control to amend or terminate the plan and to determine share issuances pursuant to the terms of the 2016 Plan. Under the 2016 Plan, Senti’s board of directors (or a committee delegated by Senti’s board of directors) has the authority to construe terms of awards granted under the 2016 Plan and to prescribe, amend and rescind rules and regulations relating to the 2016 Plan, to determine the terms and provisions of awards granted under the 2016 Plan and to make all other determinations in the judgment of the Senti board of directors necessary or desirable for the administration of the 2016 Plan.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and Restricted Shares. </w:t>
      </w:r>
      <w:r>
        <w:rPr>
          <w:rFonts w:ascii="Times New Roman" w:cs="Times New Roman" w:eastAsia="Times New Roman" w:hAnsi="Times New Roman"/>
          <w:sz w:val="18"/>
          <w:szCs w:val="18"/>
          <w:color w:val="auto"/>
        </w:rPr>
        <w:t>Stock options and restricted shares granted under the 2016 Plan generally have terms similar to those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with respect to stock options and restricted shares granted under the Incentive Plan, except the 2016 Plan provides that (unless otherwise provided for in a stock option agreement) stock options may be exercised for a period of 12 months in the case of an optionee’s death or permanent and total disability.</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If, through or as a result of Senti’s merger, consolidation, sale of all or substantially all of our assets,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reclassification, stock dividend, stock split, reverse stock split or other similar transaction, (i) the outstanding shares of common stock are increased, decreased or exchanged for a different number or kind of shares or other securities of Senti, or (ii) additional shares or new or different or other securities of Senti or other noncash assets are distributed with respect to such shares of Senti common stock or other securities, an appropriate and proportionate adjustment shall be made in (x) the maximum number and kind of shares reserved for issuance under the 2016 Plan, (y) the number and kind of shares or other securities subject to any then outstanding stock options, and (z) the price for each share or other security subject to any then outstanding stock options, so that upon exercise of such stock options, in lieu of the share of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common stock immediately prior to the event requiring adjustment would own as a result of the event.</w:t>
      </w:r>
    </w:p>
    <w:p>
      <w:pPr>
        <w:spacing w:after="0" w:line="185"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If Senti is merged with or into or consolidated with another corporation under circumstances where Senti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such merger or consolidation do not own after such merger or consolidation shares representing at least fifty percent (50%) of the voting power of Senti or the surviving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or resulting corporation, as the case may be, or if shares representing fifty percent (50%) or more of the voting power of Senti are transferred to an unrelated third party, as hereinafter defined, or if Senti is liquidated, or sells or otherwise disposes of all or substantially all of its assets (each such transaction is referred to as a “change in control transaction”), Senti’s board of directors, or the board of directors of any corporation assuming the obligations of Senti, may, in its discretion, take any one or more of the following actions, as to some or all outstanding stock options or restricted stock awards (and need not take the same action as to each such option or restricted stock award): (i) provide that such stock options shall be assumed, or equivalent stock options will be substituted, by the acquiring or succeeding corporation (or an affiliate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stock options substituted for incentive stock options shall meet the requirements of Section 424(a) of the Code, (ii) upon written notice to the optionees, provide that all unexercised stock options (whether vested or unvested)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common stock will receive upon consummation of the change in control transaction (the “per share transaction price”) times the number of shares of common stock subject to outstanding vested stock options (to the extent then exercisable at prices not equal to or in excess of the per share transaction price) and (B) the aggregate exercise price of such outstanding vested stock options, in exchange for the termination of such stock options, or (v) provide that all or any outstanding stock options shall become exercisable and all or any outstanding restricted stock awards shall vest in part or in full immediately prior to such event. To the extent that any stock options are exercisable at a price equal to or in excess of the per share transaction price, the Senti board of directors may provide that such stock options shall terminate immediately upon the consummation of the change in control transaction without any payment being made to the holders of such stock options.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Inc. 2022 Stock Option and Incentive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June 8, 2022, the Senti Biosciences, Inc. 2022 Equity Incentive Plan (the “Incentive Plan”) became effective. At the Special Meeting, the DYNS stockholders approved the Incentive Plan, which was recommended to them for approval by the DYNS board of directors. Our equity compensation program, as implemented under the Incentive Plan, allows us to grant stock options and other equity awards at levels it determines to be appropriate in order to attract new employees and other service providers, retain existing employees and service providers and to provide incentives for such persons to exert maximum efforts for our success and ultimately increase stockholder value. The Incentive Plan allows us to utilize a broad array of equity incentives with flexibility in designing equity incentives, including traditional stock option grants, stock appreciation rights, restricted stock awards, restricted stock unit awards, other stock awards and performance awards to offer competitive equity compensation packages in order to retain and motivate necessary talent.</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2,492,735 Senti Common Shares were initially reserved for grant under the Incentive Plan. In addition, as further described below under “—Description of the Incentive Plan—Authorized Shares,” the share reserve is subject to annual increases each January 1 of up to 5% of the shares of our common stock (or a lesser number determined by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Incentive Plan</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 summary description of the material features of the Incentive Plan is set forth below. The following summary does not purport to be a complete description of all the provisions of the Incentive Plan and is qualified by reference to the Incentive Plan, the form of which is included as an exhibit to this prospectus and is incorporated by reference in its entirety. Stockholders should refer to the Incentive Plan for more complete and detailed information about the terms and conditions of the Incentive Plan.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Any individual who is an employee of Senti or any of its affiliates, or any person who provides services to Senti or its affiliates,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Senti board of directors, is eligible to receive awards under the Incentive Plan at the discretion of the plan administrator.</w:t>
      </w:r>
    </w:p>
    <w:p>
      <w:pPr>
        <w:spacing w:after="0" w:line="158"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Incentive Plan provides for the grant of ISOs, within the meaning of Section 422 of the Code, to employees, including employees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or subsidiary, and for the grant of nonstatutory stock options (“NSOs”), stock appreciation rights, restricted stock awards, restricted stock unit awards, performance awards and other forms of awards to employees, directors and consultants, including employees and consultants of Senti’s affiliates.</w:t>
      </w:r>
    </w:p>
    <w:p>
      <w:pPr>
        <w:spacing w:after="0" w:line="180"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adjustment as set forth in the Incentive Plan, the maximum number of Senti Common Shares that may be issued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is 2,492,735 shares. In addition, the number of Senti Common Shares reserved for issuance under the Incentive Plan will automatically increase on January 1 of each year, starting on January 1, 2023 through January 1, 2032, in an amount equal to (1) 5% of the total number of Senti Common Shares on December 31 of the preceding year, or (2) a lesser number of Senti Common Shares determined by our board of directors prior to the date of the increase. The maximum number of Senti Common Shares that may be issued on the exercise of ISOs under the Incentive Plan is 2,492,735 shares.</w:t>
      </w:r>
    </w:p>
    <w:p>
      <w:pPr>
        <w:spacing w:after="0" w:line="18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subject to stock awards granted under the Incentive Plan that expire or terminate without being exercised or otherwise issued in full or that are paid out in cash rather than in shares do not reduce the number of shares available for issuance under the Incentive Plan. Shares withheld under a stock award to satisfy the exercise, strike or purchase price of a stock award or to satisfy a tax withholding obligation do not reduce the number of shares available for issuance under the Incentive Plan. If any Senti Common Shares issued pursuant to a stock award or Rollover Option are forfeited back to or repurchased or reacquired by us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Incentive Plan.</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year, including awards granted and cash fees paid to such non-employee director, will not exceed (1) $750,000 in total value or (2) if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spacing w:after="0" w:line="180"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duly authorized committee thereof, administers the Incentive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Our board of directors (or committee thereof) may also delegate to one or more of our officers the authority to (1) designate employees (other than officers) to receive specified stock awards and (2) determine the number of shares subject to such stock awards. Under the Incentive Plan, our board of directors (or an authorized delegate)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Under the Incentive Plan, our board of directors also generally has the authority to effect, without the approval of stockholders but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GAAP.</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stock options, within the terms and conditions of the Incentive Plan, provided that the exercise price of a stock option generally cannot be less than 100% of the fair market value of a share of our common stock on the date of grant. Options granted under the Incentive Plan vest at the rate specified in the stock option agreement as determined by the plan administrator.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Incentive Plan, up to a maximum of 10 years. Unless the terms of an optionholder’s stock option agreement provide otherwise or as otherwise provided by the plan administrator,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Unless the terms of an optionholder’s stock option agreement provide otherwise or as otherwise provided by the plan administrator,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9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Senti Common Shares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74"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Senti Common Shares with respect to ISOs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(including services) that may be acceptable to the plan administrator and permissible under applicable law. A restricted stock unit award may be settled by cash, delivery of Senti Common Shares, a combination of cash and Senti Common Shares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18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us ends for any reason, we may receive any or all of the Senti Common Shares held by the participant that have not vested as of the date the participant terminates service with us through a forfeiture condition or a repurchase right.</w:t>
      </w:r>
    </w:p>
    <w:p>
      <w:pPr>
        <w:spacing w:after="0" w:line="182"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 agreements adopted by the plan administrator.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right, which generally cannot be less than 100% of the fair market value of Senti Common Shares on the date of grant. A stock appreciation right granted under the Incentive Plan vests at the rate specified in the stock appreciation right agreement as determined by the plan administrator. Stock appreciation rights may be settled in cash or Senti Common Shares or in any other form of payment, as determined by the plan administrator and specified in the stock appreciation right agreement.</w:t>
      </w:r>
    </w:p>
    <w:p>
      <w:pPr>
        <w:spacing w:after="0" w:line="180"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The plan administrator determines the term of stock appreciation rights granted under the Incentive Plan, up to a maximum of 10 years. Unless the terms of a participant’s stock appreciation rights agreement provide otherwise or as otherwise provided by the plan administrator,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7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Incentive Plan permits the grant of performance awards that may be settled in stock, cash or other property.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Senti Common Shares.</w:t>
      </w:r>
    </w:p>
    <w:p>
      <w:pPr>
        <w:spacing w:after="0" w:line="182"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The performance goals may be based on any measure of performance selected by the plan administrator.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plan administrator when the performance award is granted, the plan administrator will appropriately make adjustments in the method of calculating the attainment of performance goals as follows: (1) to exclude restructuring and/or other nonrecurring charges; (2) to exclude exchange rate effects; (3) to exclude the effects of changes to GAAP; (4) to exclude the effects of any statutory adjustments to corporate tax rates; (5) to exclude the effects of items that are “unusual” in nature or occur “infrequently” as determined under GAAP; (6) to exclude the dilutive effects of acquisitions or joint ventures;</w:t>
      </w:r>
    </w:p>
    <w:p>
      <w:pPr>
        <w:spacing w:after="0" w:line="2" w:lineRule="exact"/>
        <w:rPr>
          <w:sz w:val="20"/>
          <w:szCs w:val="20"/>
          <w:color w:val="auto"/>
        </w:rPr>
      </w:pPr>
    </w:p>
    <w:p>
      <w:pPr>
        <w:ind w:left="120" w:right="80" w:hanging="4"/>
        <w:spacing w:after="0" w:line="251" w:lineRule="auto"/>
        <w:tabs>
          <w:tab w:leader="none" w:pos="3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assume that any portion of our business which is divested achieved performance objectives at targeted levels during the balance of a performance period following such divestiture; (8) to exclude the effect of any change in the outstanding Senti Common Shares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GAAP; and (11) to exclude the goodwill and intangible asset impairment charges that are required to be recorded under GAAP. In addition, the our board of directors may establish or provide for other adjustment items in the award agreement at the time the award is granted or in such other document setting forth the performance goals at the time the performance goals are established.</w:t>
      </w:r>
    </w:p>
    <w:p>
      <w:pPr>
        <w:spacing w:after="0" w:line="192" w:lineRule="exact"/>
        <w:rPr>
          <w:sz w:val="20"/>
          <w:szCs w:val="20"/>
          <w:color w:val="auto"/>
        </w:rPr>
      </w:pPr>
    </w:p>
    <w:p>
      <w:pPr>
        <w:ind w:left="120" w:right="760"/>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Senti Common Shares.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(or cash equivalent) and all other terms and conditions of such awards.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82"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i w:val="1"/>
          <w:iCs w:val="1"/>
          <w:color w:val="auto"/>
        </w:rPr>
        <w:t>Changes to Capital Structure</w:t>
      </w:r>
      <w:r>
        <w:rPr>
          <w:rFonts w:ascii="Times New Roman" w:cs="Times New Roman" w:eastAsia="Times New Roman" w:hAnsi="Times New Roman"/>
          <w:sz w:val="17"/>
          <w:szCs w:val="17"/>
          <w:color w:val="auto"/>
        </w:rPr>
        <w:t>. In the event there is a specified type of change in our capital structure, such as a stock split, reverse stock split,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recapitalization, appropriate adjustments will be made to (1) the class and maximum number of shares reserved for issuance under the Incentive Plan,</w:t>
      </w:r>
    </w:p>
    <w:p>
      <w:pPr>
        <w:spacing w:after="0" w:line="1" w:lineRule="exact"/>
        <w:rPr>
          <w:sz w:val="20"/>
          <w:szCs w:val="20"/>
          <w:color w:val="auto"/>
        </w:rPr>
      </w:pPr>
    </w:p>
    <w:p>
      <w:pPr>
        <w:ind w:left="120" w:right="40" w:hanging="4"/>
        <w:spacing w:after="0" w:line="255" w:lineRule="auto"/>
        <w:tabs>
          <w:tab w:leader="none" w:pos="3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84"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Incentive Plan in the event of a corporate transaction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unless otherwise provided in a participant’s stock award agreement or other written agreement with us or one of its affiliates or unless otherwise expressly provided by the plan administrator at the time of grant.</w:t>
      </w:r>
    </w:p>
    <w:p>
      <w:pPr>
        <w:spacing w:after="0" w:line="17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Incentive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9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Senti Common Shares in connection with the corporate transaction, over (ii) any per share exercise price payable by such holder, if applicable.</w:t>
      </w:r>
    </w:p>
    <w:p>
      <w:pPr>
        <w:spacing w:after="0" w:line="17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of directors has the authority to amend, suspend, or terminate the Incentive Plan at any time,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does not materially impair the existing rights of any participant without such participant’s written consent. Certain material amendments also require approval of our stockholders. No ISOs may be granted after the tenth anniversary of the date the DYNS board of directors adopts the Incentive Plan. No stock awards may be granted under the Incentive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to participants and Senti with respect to participation in the Incentive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Incentive Plan. The Incentive Plan 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not qualified under the provisions of Section 401(a) of the Code and is not subject to any of the provisions of the Employee Retirement Income Security Act of 1974, as amended. Senti’s ability to realize the benefit of any tax deductions described below depends on Senti’s generation of taxable income as well as the requirement of reasonableness and the satisfaction of Senti’s tax reporting obligations.</w:t>
      </w:r>
    </w:p>
    <w:p>
      <w:pPr>
        <w:spacing w:after="0" w:line="17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Nonstatutory Stock Options</w:t>
      </w:r>
      <w:r>
        <w:rPr>
          <w:rFonts w:ascii="Times New Roman" w:cs="Times New Roman" w:eastAsia="Times New Roman" w:hAnsi="Times New Roman"/>
          <w:sz w:val="18"/>
          <w:szCs w:val="18"/>
          <w:color w:val="auto"/>
        </w:rPr>
        <w:t>. Generally, there is no taxation upon the grant of a NSO. Upon exercise, a participant will recognize ordinary income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Senti will generally be entitled to a tax deduction equal to the taxable ordinary income realized by the participant.</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s. The Incentive Plan provides for the grant of stock options that are intended to qualify as “incentive stock options,”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Senti is not allowed a tax deduction with respect to the grant or exercise of an ISO or the disposition of a share acquired upon exercise of an ISO after the required holding period. If there is a disqualifying disposition of a share, however, Senti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Senti timely satisfies its reporting requirements with respect to that amount.</w:t>
      </w:r>
    </w:p>
    <w:p>
      <w:pPr>
        <w:spacing w:after="0" w:line="18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Generally, the recipient of a restricted stock award will recognize ordinary income at the time the stock is received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Senti will generally be entitled to a tax deduction equal to the taxable ordinary income realized by the recipient of the restricted stock award.</w:t>
      </w:r>
    </w:p>
    <w:p>
      <w:pPr>
        <w:spacing w:after="0" w:line="185"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i w:val="1"/>
          <w:iCs w:val="1"/>
          <w:color w:val="auto"/>
        </w:rPr>
        <w:t>Restricted Stock Unit Awards</w:t>
      </w:r>
      <w:r>
        <w:rPr>
          <w:rFonts w:ascii="Times New Roman" w:cs="Times New Roman" w:eastAsia="Times New Roman" w:hAnsi="Times New Roman"/>
          <w:sz w:val="17"/>
          <w:szCs w:val="17"/>
          <w:color w:val="auto"/>
        </w:rPr>
        <w:t>. Generally, the recipient of a restricted stock unit award will generally recognize ordinary income at the time the stock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delivered equal to the excess, if any, of (i) the fair market value of the stock received over any amount paid by the recipient in exchange for the stock or</w:t>
      </w:r>
    </w:p>
    <w:p>
      <w:pPr>
        <w:spacing w:after="0" w:line="1" w:lineRule="exact"/>
        <w:rPr>
          <w:sz w:val="20"/>
          <w:szCs w:val="20"/>
          <w:color w:val="auto"/>
        </w:rPr>
      </w:pPr>
    </w:p>
    <w:p>
      <w:pPr>
        <w:ind w:left="120" w:right="260" w:hanging="4"/>
        <w:spacing w:after="0" w:line="253" w:lineRule="auto"/>
        <w:tabs>
          <w:tab w:leader="none" w:pos="3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Senti will generally be entitled to a tax deduction equal to the taxable ordinary income realized by the recipient of the restricted stock unit award.</w:t>
      </w:r>
    </w:p>
    <w:p>
      <w:pPr>
        <w:spacing w:after="0" w:line="18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Generally, the recipient of a stock appreciation right will recognize ordinary income equal to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cash received upon exercise. Subject to the requirement of reasonableness, the deduction limits under Section 162(m) of the Code and the satisfaction of a tax reporting obligation, Senti will generally be entitled to a tax deduction equal to the taxable ordinary income realized by the recipient of the stock appreciation right.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Senti</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of Covered Employees</w:t>
      </w:r>
      <w:r>
        <w:rPr>
          <w:rFonts w:ascii="Times New Roman" w:cs="Times New Roman" w:eastAsia="Times New Roman" w:hAnsi="Times New Roman"/>
          <w:sz w:val="18"/>
          <w:szCs w:val="18"/>
          <w:color w:val="auto"/>
        </w:rPr>
        <w:t>. The ability of Senti to obtain a deduction for amounts paid under the Incentive Plan could be limited by</w:t>
      </w:r>
    </w:p>
    <w:p>
      <w:pPr>
        <w:spacing w:after="0" w:line="29"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Section 162(m) of the Code. Section 162(m) of the Code limits Senti’s ability to deduct compensation, for U.S. federal income tax purposes, paid during any year to a “covered employee” (within the meaning of Section 162(m) of the Code) in excess of $1.0 million.</w:t>
      </w:r>
    </w:p>
    <w:p>
      <w:pPr>
        <w:spacing w:after="0" w:line="179"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Golden Parachute Payments</w:t>
      </w:r>
      <w:r>
        <w:rPr>
          <w:rFonts w:ascii="Times New Roman" w:cs="Times New Roman" w:eastAsia="Times New Roman" w:hAnsi="Times New Roman"/>
          <w:sz w:val="18"/>
          <w:szCs w:val="18"/>
          <w:color w:val="auto"/>
        </w:rPr>
        <w:t>. The ability of Senti (or the ability of one of its subsidiaries) to obtain a deduction for future payments under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could also be limited by the golden parachute rules of Section 280G of the Code, which prevent the deductibility of certain “excess parachute payments” made in connection with a change in control of an employer-corporation.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No awards have been previously granted under the Incentive Plan and no awards have been granted that are contingent on stockholder approval of the Incentive Plan. The awards that are to be granted to any participant or group of participants are indeterminable at the date of this prospectus because participation and the types of awards that may be granted under the Incentive Plan are subject to the discretion of the plan administrator. Consequently, no new plan benefits table is included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Inc. 2022 Employee Stock Purchase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On June 8, 2022, the Senti Biosciences, Inc. 2022 Employee Stock Purchase Plan (the “ESPP”) became effective. At the Special Meeting, the DYNS stockholders approved the ESPP, which was recommended to them for approval by the DYNS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82"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purpose of the ESPP is to provide a means whereby we can align the long-term financial interests of our employees with the financial interests of our stockholders. In addition, the board of directors believes that the ability to allow our employees to purchase Senti Common Shares will help us to attract, retain, and motivate employees and encourages them to devote their best efforts to our business and financial success. The ESPP allows us to provide our employees with the opportunity to acquire an ownership interest in us through their participation in the ESPP, thereby encouraging them to remain in service and more closely aligning their interests with those of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ESPP</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material features of the ESPP are described below. The following description of the ESPP is a summary only. This summary is not a complete statement of the ESPP and is qualified in its entirety by reference to the complete text of the ESPP, a copy of which is incorporated by reference as an exhibit to the registration statement of which this prospectus forms a part. Stockholders should refer to the ESPP for more complete and detailed information about the terms and conditions of the ESPP.</w:t>
      </w:r>
    </w:p>
    <w:p>
      <w:pPr>
        <w:spacing w:after="0" w:line="178"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ESPP is to provide a means by which eligible employees of Senti and certain designated companies may be given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purchase Senti Common Shares, to assist Senti in retaining the services of eligible employees, to secure and retain the services of new employees and to provide incentives for such persons to exert maximum efforts for our success.</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maximum number of Senti Common Shares that may be issued under the ESPP is 592,584 shares. Additionally, the number of Senti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reserved for issuance under the ESPP will automatically increase on January 1st of each year, beginning on January 1, 2023 and continuing through and including January 1, 2032, by the lesser of 1% of the total number of Senti Common Shares on December 31st of the preceding calendar year or such lesser number of Senti Common Shares as determined by our board of directors. Shares subject to purchase rights granted under the ESPP that terminate without having been exercised in full will not reduce the number of shares available for issuance under the ESPP.</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or a duly authorized committee thereof, will administer the ESPP.</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Our employees and the employees of any of our designated affiliates, will be eligible to participate in the ESPP, provided they may have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one or more of the following service requirements before participating in the ESPP, as determined by the administrator: (1) customary employment with us or one of our affiliates for more than 20 hours per week and five or more months per calendar year or (2) continuous employment with us or one of our affiliates for a minimum period of time, not to exceed two years, prior to the first date of an offering. In addition, our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our capital stock or (b) to the extent that such rights would accrue at a rate that exceeds $25,000 worth of our capital stock for each calendar year that the rights remain outstanding.</w:t>
      </w:r>
    </w:p>
    <w:p>
      <w:pPr>
        <w:spacing w:after="0" w:line="19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our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our common stock on any purchase date during the offering period is less than or equal to the fair market value of a share of our common stock on the first day of the offering period, then that offering will terminate immediately, and the participants in such terminated offering will be automatically enrolled in a new offering that begins immediately after such purchase date.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82"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purchase rights under the ESPP other than by will, the laws of descent and distribution, or as otherwise provided under the ESPP.</w:t>
      </w:r>
    </w:p>
    <w:p>
      <w:pPr>
        <w:spacing w:after="0" w:line="160"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The ESPP permits participants to purchase Senti Common Shares through payroll deductions. Unless otherwise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the purchase price of the shares will be 85% of the lower of the fair market value of Senti Common Shares on the first day of an offering or on the date of purchase.</w:t>
      </w:r>
    </w:p>
    <w:p>
      <w:pPr>
        <w:spacing w:after="0" w:line="17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Withdrawal. </w:t>
      </w:r>
      <w:r>
        <w:rPr>
          <w:rFonts w:ascii="Times New Roman" w:cs="Times New Roman" w:eastAsia="Times New Roman" w:hAnsi="Times New Roman"/>
          <w:sz w:val="18"/>
          <w:szCs w:val="18"/>
          <w:color w:val="auto"/>
        </w:rPr>
        <w:t>Participants may withdraw from an offering by delivering a withdrawal form to us and terminating their contributions. Such withdrawal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elected at any time prior to the end of an offering, except as otherwise provided by the plan administrator. Upon such withdrawal, we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spacing w:after="0" w:line="183" w:lineRule="exact"/>
        <w:rPr>
          <w:sz w:val="20"/>
          <w:szCs w:val="20"/>
          <w:color w:val="auto"/>
        </w:rPr>
      </w:pPr>
    </w:p>
    <w:p>
      <w:pPr>
        <w:jc w:val="both"/>
        <w:ind w:left="120" w:right="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Termination of Employment. </w:t>
      </w:r>
      <w:r>
        <w:rPr>
          <w:rFonts w:ascii="Times New Roman" w:cs="Times New Roman" w:eastAsia="Times New Roman" w:hAnsi="Times New Roman"/>
          <w:sz w:val="17"/>
          <w:szCs w:val="17"/>
          <w:color w:val="auto"/>
        </w:rPr>
        <w:t>A participant’s rights under any offering under the ESPP will terminate immediately if the participant either (i) is no longer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us or any of our parent or subsidiary companies (subject to any post-employment participation period required by law) or (ii) is otherwise no longer eligible to participate. In such event, we will distribute to the participant his or her accumulated but unused contributions, without interest.</w:t>
      </w:r>
    </w:p>
    <w:p>
      <w:pPr>
        <w:spacing w:after="0" w:line="15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certain specified significant corporate transactions, such as a merger or change in control,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assume, continue, or substitute each outstanding purchase right. If the successor corporation does not assume, continue, or substitute for the outstanding purchase rights, the offering in progress will be shortened and a new purchase date will be set. The participants’ purchase rights will be exercised on the new purchase date and such purchase rights will terminate immediately thereafter.</w:t>
      </w:r>
    </w:p>
    <w:p>
      <w:pPr>
        <w:spacing w:after="0" w:line="18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has the authority to amend, suspend, or terminate the ESPP, at any time and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types of amendments will require the approval of our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requirements,or governmental regulations, or (iii) as necessary to obtain or maintain favorable tax, listing, or regulatory treatment. The ESPP will remain in effect until terminated by our board of directors in accordance with the terms of the ESPP.</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to participants and Senti with respect to participation in the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Senti Common Shares acquired under the ESPP. The ESPP is not qualified under the provisions of Section 401(a) of the Code and is not subject to any of the provisions of the Employee Retirement Income Security Act of 1974, as amended.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423 of the Code</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Rights granted under the ESPP are intended to qualify for favorable U.S. federal income tax treatment associated with rights granted under an employee stock purchase plan which qualifies under the provisions of Section 423 of the Code.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82"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 participant will be taxed on amounts withheld for the purchase of Senti Common Shares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187"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are not allowed a deduction upon the grant or exercise of a purchase right or the disposition of a share acquired upon exercise of a purchase right after the required holding period. If the shares are sold or otherwise disposed of before the expiration of either holding period, we will generally be entitled to a tax deduction equal to the taxable ordinary income, realized by the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Participation in the ESPP is voluntary and each eligible employee will make his or her own decision regarding whether and to what extent to participate in the ESPP. Therefore, we cannot currently determine the benefits or number of shares subject to purchase rights and a new plan benefits table is thus not provided.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60"/>
          </w:cols>
          <w:pgMar w:left="320" w:top="482" w:right="5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none of Senti’s non-employee directors, other than Ms. Berland who is not affiliated with any of our stockholders, earned compensation in connection with their service on our board of directors, except as described below. We have reimbursed and will continue to reimburse our non-employee directors for their reasonable out-of-pocket expenses incurred in connection with attending meetings of our board of directors or its committees.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 Table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Senti’s non-employee directors for service on the Senti board of directors during the year ended December 31, 2021. Dr. Lu also served on the Senti board of directors, but did not receive any additional compensation for his service as a director and therefore is not included in the table below. The compensation for Dr. Lu, as a named executive officer, is set forth above under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3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3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3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Awards(1)(2)</w:t>
            </w: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Berland</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27,843</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96,763</w:t>
            </w: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124,606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Lee Cooper</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Ran Geng</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Kolicich</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200" w:hanging="424"/>
        <w:spacing w:after="0" w:line="25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fiscal year 2021 computed in accordance with ASC 718. Assumptions used in the calculation of these amounts are included in Note 9 to Senti’s consolidated financial statements included elsewhere in this prospectus. These amounts do not reflect the actual economic value that will be realized by our non-employee directors upon the vesting of the stock options, the exercise of the stock options or the sale of the common stock underlying such stock options.</w:t>
      </w:r>
    </w:p>
    <w:p>
      <w:pPr>
        <w:spacing w:after="0" w:line="3"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number of shares of common stock underlying stock options granted to our non-employee directors that were outstanding as of December 31,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at Year-End</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386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Berland</w:t>
            </w:r>
          </w:p>
        </w:tc>
        <w:tc>
          <w:tcPr>
            <w:tcW w:w="3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Lee Cooper</w:t>
            </w:r>
          </w:p>
        </w:tc>
        <w:tc>
          <w:tcPr>
            <w:tcW w:w="386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4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160,645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Ran Geng</w:t>
            </w:r>
          </w:p>
        </w:tc>
        <w:tc>
          <w:tcPr>
            <w:tcW w:w="386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Kolicich</w:t>
            </w:r>
          </w:p>
        </w:tc>
        <w:tc>
          <w:tcPr>
            <w:tcW w:w="3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386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2780" w:type="dxa"/>
            <w:vAlign w:val="bottom"/>
          </w:tcPr>
          <w:p>
            <w:pPr>
              <w:spacing w:after="0"/>
              <w:rPr>
                <w:sz w:val="24"/>
                <w:szCs w:val="24"/>
                <w:color w:val="auto"/>
              </w:rPr>
            </w:pPr>
          </w:p>
        </w:tc>
        <w:tc>
          <w:tcPr>
            <w:tcW w:w="38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201</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Senti Common Shares as of June 30, 2022:</w:t>
      </w:r>
    </w:p>
    <w:p>
      <w:pPr>
        <w:spacing w:after="0" w:line="13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Senti to be the beneficial owner of more than 5% of the Senti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Senti’s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Senti’s executive officers and directors as a group.</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restricted stock units that are currently exercisable or vested or that will become exercisable or vest within 60 days. Unless otherwise indicated, Senti believes that all persons named in the table below have sole voting and investment power with respect to the voting securities beneficially owned by them.</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beneficial ownership of the Senti Common Shares is based on 43,657,077 Senti Common Shares issued and outstanding as of June 30,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Timothy Lu, M.D., Ph.D.</w:t>
            </w:r>
            <w:r>
              <w:rPr>
                <w:rFonts w:ascii="Times New Roman" w:cs="Times New Roman" w:eastAsia="Times New Roman" w:hAnsi="Times New Roman"/>
                <w:sz w:val="24"/>
                <w:szCs w:val="24"/>
                <w:color w:val="auto"/>
                <w:vertAlign w:val="sub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2,070,300</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Curt Herberts, M.B.S.</w:t>
            </w:r>
            <w:r>
              <w:rPr>
                <w:rFonts w:ascii="Times New Roman" w:cs="Times New Roman" w:eastAsia="Times New Roman" w:hAnsi="Times New Roman"/>
                <w:sz w:val="25"/>
                <w:szCs w:val="25"/>
                <w:color w:val="auto"/>
                <w:vertAlign w:val="subscript"/>
              </w:rPr>
              <w:t>(3)</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454,208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Philip Lee, Ph. D.</w:t>
            </w:r>
            <w:r>
              <w:rPr>
                <w:rFonts w:ascii="Times New Roman" w:cs="Times New Roman" w:eastAsia="Times New Roman" w:hAnsi="Times New Roman"/>
                <w:sz w:val="25"/>
                <w:szCs w:val="25"/>
                <w:color w:val="auto"/>
                <w:vertAlign w:val="subscript"/>
              </w:rPr>
              <w:t>(4)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936,424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James J. (Jim) Collins</w:t>
            </w:r>
            <w:r>
              <w:rPr>
                <w:rFonts w:ascii="Times New Roman" w:cs="Times New Roman" w:eastAsia="Times New Roman" w:hAnsi="Times New Roman"/>
                <w:sz w:val="25"/>
                <w:szCs w:val="25"/>
                <w:color w:val="auto"/>
                <w:vertAlign w:val="subscript"/>
              </w:rPr>
              <w:t>(5)</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180,701</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Omid Farokhzad</w:t>
            </w:r>
            <w:r>
              <w:rPr>
                <w:rFonts w:ascii="Times New Roman" w:cs="Times New Roman" w:eastAsia="Times New Roman" w:hAnsi="Times New Roman"/>
                <w:sz w:val="25"/>
                <w:szCs w:val="25"/>
                <w:color w:val="auto"/>
                <w:vertAlign w:val="subscript"/>
              </w:rPr>
              <w:t>(6)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1,950,875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Brenda Cooperstone</w:t>
            </w:r>
            <w:r>
              <w:rPr>
                <w:rFonts w:ascii="Times New Roman" w:cs="Times New Roman" w:eastAsia="Times New Roman" w:hAnsi="Times New Roman"/>
                <w:sz w:val="25"/>
                <w:szCs w:val="25"/>
                <w:color w:val="auto"/>
                <w:vertAlign w:val="subscript"/>
              </w:rPr>
              <w:t>(7)</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25,736</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Susan Berland</w:t>
            </w:r>
            <w:r>
              <w:rPr>
                <w:rFonts w:ascii="Times New Roman" w:cs="Times New Roman" w:eastAsia="Times New Roman" w:hAnsi="Times New Roman"/>
                <w:sz w:val="25"/>
                <w:szCs w:val="25"/>
                <w:color w:val="auto"/>
                <w:vertAlign w:val="subscript"/>
              </w:rPr>
              <w:t>(8)</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8,607</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David Epstein</w:t>
            </w:r>
            <w:r>
              <w:rPr>
                <w:rFonts w:ascii="Times New Roman" w:cs="Times New Roman" w:eastAsia="Times New Roman" w:hAnsi="Times New Roman"/>
                <w:sz w:val="25"/>
                <w:szCs w:val="25"/>
                <w:color w:val="auto"/>
                <w:vertAlign w:val="subscript"/>
              </w:rPr>
              <w:t>(9)</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126,724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Mathers</w:t>
            </w:r>
            <w:r>
              <w:rPr>
                <w:rFonts w:ascii="Times New Roman" w:cs="Times New Roman" w:eastAsia="Times New Roman" w:hAnsi="Times New Roman"/>
                <w:sz w:val="25"/>
                <w:szCs w:val="25"/>
                <w:color w:val="auto"/>
                <w:vertAlign w:val="subscript"/>
              </w:rPr>
              <w:t>(10)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3,472</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6"/>
                <w:szCs w:val="26"/>
                <w:color w:val="auto"/>
                <w:vertAlign w:val="subscript"/>
              </w:rPr>
              <w:t>(11)</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5,802,910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Five Percent Holders:</w:t>
            </w: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4"/>
                <w:szCs w:val="24"/>
                <w:color w:val="auto"/>
                <w:vertAlign w:val="subscript"/>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2,537,558</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bscript"/>
              </w:rPr>
              <w:t>(13)</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4,429,725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Bayer Healthcare LLC</w:t>
            </w:r>
            <w:r>
              <w:rPr>
                <w:rFonts w:ascii="Times New Roman" w:cs="Times New Roman" w:eastAsia="Times New Roman" w:hAnsi="Times New Roman"/>
                <w:sz w:val="25"/>
                <w:szCs w:val="25"/>
                <w:color w:val="auto"/>
                <w:vertAlign w:val="subscript"/>
              </w:rPr>
              <w:t>(14)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5,878,488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Accounts Advised or Sub Advised by T. Rowe Price Associates</w:t>
            </w:r>
            <w:r>
              <w:rPr>
                <w:rFonts w:ascii="Times New Roman" w:cs="Times New Roman" w:eastAsia="Times New Roman" w:hAnsi="Times New Roman"/>
                <w:sz w:val="25"/>
                <w:szCs w:val="25"/>
                <w:color w:val="auto"/>
                <w:vertAlign w:val="subscript"/>
              </w:rPr>
              <w:t>(15)</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3,916,551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ARK Genomic Revolution EFT</w:t>
            </w:r>
            <w:r>
              <w:rPr>
                <w:rFonts w:ascii="Times New Roman" w:cs="Times New Roman" w:eastAsia="Times New Roman" w:hAnsi="Times New Roman"/>
                <w:sz w:val="25"/>
                <w:szCs w:val="25"/>
                <w:color w:val="auto"/>
                <w:vertAlign w:val="subscript"/>
              </w:rPr>
              <w:t>(16)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2,410,394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540" w:hanging="424"/>
        <w:spacing w:after="0" w:line="250"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individuals and entities listed in the table above is c/o Senti Biosciences, Inc., 2 Corporate Drive, First Floor, South San Francisco, California 94080.</w:t>
      </w:r>
    </w:p>
    <w:p>
      <w:pPr>
        <w:ind w:left="540" w:right="160" w:hanging="424"/>
        <w:spacing w:after="0" w:line="253"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559,496 shares of Common Stock held directly by Dr. Lu, (ii) 528,390 shares of Common Stock held by Luminen Services, LLC, as trustee of the Luminen Trust, of which Dr. Lu is the settlor, (iii) 528,390 shares of Common Stock held by Dr. Lu’s wife, Sandy Shan Wang, and (iv) 454,024 shares of Common Stock issuable upon exercise of stock options held by Dr. Lu that are exercisable within 60 days of June 30, 2022.</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82"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57"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454,208 shares of Common Stock held by the C. and E. Herberts Revocable Trust dated July 17, 2013, over which Mr. Herberts and his wife share voting and investment power as trustees. Mr. Herberts, our former Chief Operating Officer, resigned from his employment with us effective as of August 19, 2022.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936,424 shares of Common Stock held directly by Dr. Lee.</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176,130 shares of Common Stock held directly by Dr. Collins and 4,571 shares of Common Stock issuable upon exercise of stock options held by Dr. Collins that are exercisable within 60 days of June 30, 2022.</w:t>
      </w:r>
    </w:p>
    <w:p>
      <w:pPr>
        <w:ind w:left="540" w:right="28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Dr. Farokhzad’s ownership interests following the distribution of shares by Dynamics Sponsor LLC to its members upon Closing. Consists of 1,947,403 shares of Common Stock held by Dynamics Group, LLC and 3,472 shares of Common Stock issuable upon exercise of stock options held by Dr. Farokhzad that are exercisable within 60 days of June 30, 2022. Dr. Farokhzad controls and is the sole member of Dynamics Group, LLC.</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25,736 shares of Common Stock issuable upon exercise of stock options held by Ms. Cooperstone that are exercisable within 60 days of June 30, 2022.</w:t>
      </w:r>
    </w:p>
    <w:p>
      <w:pPr>
        <w:spacing w:after="0" w:line="1"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8,607 shares of Common Stock issuable upon exercise of stock options held by Ms. Berland that are exercisable within 60 days of</w:t>
      </w:r>
    </w:p>
    <w:p>
      <w:pPr>
        <w:spacing w:after="0" w:line="207" w:lineRule="exact"/>
        <w:rPr>
          <w:sz w:val="20"/>
          <w:szCs w:val="20"/>
          <w:color w:val="auto"/>
        </w:rPr>
      </w:pPr>
    </w:p>
    <w:p>
      <w:pPr>
        <w:ind w:left="540" w:right="320" w:hanging="424"/>
        <w:spacing w:after="0" w:line="261"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123,252 shares of Common Stock held by Mr. Epstein and 3,472 shares of Common Stock issuable upon exercise of stock options held by Mr. Epstein that are exercisable within 60 days of June 30, 2022.</w:t>
      </w:r>
    </w:p>
    <w:p>
      <w:pPr>
        <w:ind w:left="540" w:right="3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3,472 shares of Common Stock issuable upon exercise of stock options held by Mr. Mathers that are exercisable within 60 days of June 30, 2022.</w:t>
      </w:r>
    </w:p>
    <w:p>
      <w:pPr>
        <w:ind w:left="540" w:right="60" w:hanging="424"/>
        <w:spacing w:after="0" w:line="265" w:lineRule="auto"/>
        <w:tabs>
          <w:tab w:leader="none" w:pos="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shares beneficially owned by the named executive officers and directors listed in the table above and 45,863 shares of Common Stock issuable upon exercise of stock options held by Deborah Knobelman that are exercisable within 60 days of June 30, 2022. Does not include any holdings of Kanya Rajangam, who joined Senti as an executive officer in July 2022 and does not beneficially own any shares of Common Stock.</w:t>
      </w:r>
    </w:p>
    <w:p>
      <w:pPr>
        <w:ind w:left="540" w:right="6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2,498,277 shares of Common Stock held by 8VC Fund I, L.P. (“8VC”); and (ii) 39,281 shares of Common Stock held by 8VC Entrepreneurs Fund I, L.P. (“8VC Entrepreneurs” and, collectively with 8VC, the “8VC Entities”). 8VC GP I, LLC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 the 8VC Entities. Mr. Lonsdale and 8VC GP I disclaim beneficial ownership of the shares held by the 8VC Entities. The address of each of the 8VC Entities is 907 South Congress Avenue, Austin, Texas 78704.</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4,426,151 shares of Common Stock held by New Enterprise Associates 15, L.P. (“NEA 15”); and (ii) 3,574 shares of Common Stock held by NEA Ventures 2018, L.P. (“Ven 2018”). The securities directly held by NEA 15 are indirectly held by NEA Partners 15, L.P. (“NEA Partners 15”), which is the sole general partner of NEA 15, NEA 15 GP, LLC (“NEA 15 LLC”), which is the sole general partner of NEA Partners 15, and each of the individual managers of NEA 15 LLC. The individual managers of NEA 15 LLC (collectively the “NEA 15 Managers”) are Forest Baskett, Anthony A. Florence, Mohamad Makhzoumi, Scott D. Sandell and Peter Sonsini. NEA 15, NEA Partners 15, NEA 15 LLC and the NEA 15 Managers share voting and dispositive power with regard to the shares directly held by NEA 15. The securities directly held by Ven 2018 are indirectly held by Karen P. Welsh, the general partner of Ven 2018. Mr. Edward Mathers, a member of the board of directors of the Combined Company, is a partner at New Enterprise Associates, Inc., which is affiliated with NEA 15 and Ven 2018, but does not have voting or investment power over the shares held by NEA 15 or Ven 2018. All indirect holders of the above referenced shares disclaim beneficial ownership of all applicable shares of Common Stock. The address for these entities and individuals is 1954 Greenspring Drive, Suite 600, Timonium, Maryland 21093.</w:t>
      </w:r>
    </w:p>
    <w:p>
      <w:pPr>
        <w:spacing w:after="0" w:line="4"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5,878,488 shares of Common Stock held by Bayer HealthCare LLC (“Bayer”). Bayer is an indirect wholly-owned subsidiary of Bayer AG, which may be deemed to be an indirect beneficial owner of the shares owned directly by Bayer. Kelly Gast, President of Bayer, and Brian Branca, Treasurer of Bayer, share voting and dispositive power over the shares held by Bayer. The address of Bayer is 100 Bayer Boulevard, Whippany, New Jersey 07981.</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82"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54"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1,688,908 shares of common stock held by T. Rowe Price Health Sciences Fund, Inc., (ii) 75,977 shares of common stock held by T. Rowe Price Health Sciences Portfolio, (iii) 1,626,003 shares held by T. Rowe Price New Horizons Fund, Inc., (iv) 200,916 shares held by T. Rowe Price New Horizons Fund Trust, (v) 9,952 shares held by T. Rowe Price U.S. Equities Trust, (vi) 144,636 shares of common stock held by TD Mutual Funds—TD Health Sciences Fund, (vii) 1,761 shares of common stock held by Saint-Gobain Corporation, (viii) 38,709 shares of common stock held by New York City Deferred Compensation Plan, (ix) 16,675 shares of common stock held by Dow Retirement Group Trust,</w:t>
      </w:r>
    </w:p>
    <w:p>
      <w:pPr>
        <w:spacing w:after="0" w:line="3" w:lineRule="exact"/>
        <w:rPr>
          <w:rFonts w:ascii="Times New Roman" w:cs="Times New Roman" w:eastAsia="Times New Roman" w:hAnsi="Times New Roman"/>
          <w:sz w:val="18"/>
          <w:szCs w:val="18"/>
          <w:color w:val="auto"/>
        </w:rPr>
      </w:pPr>
    </w:p>
    <w:p>
      <w:pPr>
        <w:jc w:val="both"/>
        <w:ind w:left="540" w:right="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5,739 shares of common stock held by Master Trust Agreement Between Pfizer Inc. &amp; The Northern Trust Company, (xi) 6,130 shares of common stock held by Bank of America Pension Plan, (xii) 6,069 shares of common stock held by MassMutual Select Funds—MassMutual Select T. Rowe Price Small and Mid Cap</w:t>
      </w:r>
    </w:p>
    <w:p>
      <w:pPr>
        <w:spacing w:after="0" w:line="1"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Blend Fund, (xiii) 31,062 shares of common stock held by Johnson &amp; Johnson Pension and Savings Plans Master Trust, (xiv) 13,193 shares of common stock held by EQ Advisors Trust—EQ/T. Rowe Health Sciences Portfolio, (xv) 2,934 shares of common stock held by Swarthmore College, (xvi) 18,789 shares of common stock held by John Hancock Variable Insurance Trust—Health Sciences Trust, (xvii) 26,772 shares of common stock held by John Hancock Funds II—Health Sciences Fund, and (xviii) 2,326 shares of common stock held by Johnson and Johnson Pension and Savings Plan Master Trust. T. Rowe Price Associates, Inc. (“TRPA”) serves as investment adviser or subadviser with power to direct investments and/or sole power to vote the securities. For purposes of reporting requirements of the Securities Exchange Act of 1934, TRPA may be deemed to be the beneficial owner of all of these shares; however, TRPA expressly disclaims that it is, in fact, the beneficial owner of such securities. TRPA is the wholly owned subsidiary of T. Rowe Price Group, Inc., which is a publicly traded financial services holding company. The address of each of these entities is 100 East Pratt Street, Baltimore, MD 21202.</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entity is 200 Central Avenue, Suite 1850, Saint Petersburg, FL 33701.</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82"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possible offer and resale from time to time by Chardan of up to 8,727,049 Senti Common Shares that have been or may be issued by us to Chardan pursuant to the Purchase Agreement (including shares of common stock that have been or may be issued to Chardan as consideration for it entering into the Purchase Agreement) upon the terms and subject to the conditions and limitations of the Purchase Agreement. For additional information regarding the issuance of the shares of common stock to be offered by Chardan included in this prospectus, see the section titled “</w:t>
      </w:r>
      <w:r>
        <w:rPr>
          <w:rFonts w:ascii="Times New Roman" w:cs="Times New Roman" w:eastAsia="Times New Roman" w:hAnsi="Times New Roman"/>
          <w:sz w:val="18"/>
          <w:szCs w:val="18"/>
          <w:i w:val="1"/>
          <w:iCs w:val="1"/>
          <w:color w:val="auto"/>
        </w:rPr>
        <w:t>Committed Equity Financing</w:t>
      </w:r>
      <w:r>
        <w:rPr>
          <w:rFonts w:ascii="Times New Roman" w:cs="Times New Roman" w:eastAsia="Times New Roman" w:hAnsi="Times New Roman"/>
          <w:sz w:val="18"/>
          <w:szCs w:val="18"/>
          <w:color w:val="auto"/>
        </w:rPr>
        <w:t>.” We are registering the shares of common stock included in this prospectus pursuant to the provisions of the Chardan Registration Rights Agreement in order to permit Chardan to offer the shares of common stock for resale from time to time. Except for the transactions contemplated by the Purchase Agreement and as set forth in the section titled “</w:t>
      </w:r>
      <w:r>
        <w:rPr>
          <w:rFonts w:ascii="Times New Roman" w:cs="Times New Roman" w:eastAsia="Times New Roman" w:hAnsi="Times New Roman"/>
          <w:sz w:val="18"/>
          <w:szCs w:val="18"/>
          <w:i w:val="1"/>
          <w:iCs w:val="1"/>
          <w:color w:val="auto"/>
        </w:rPr>
        <w:t>Plan of Distribution (Conflicts of Interest)</w:t>
      </w:r>
      <w:r>
        <w:rPr>
          <w:rFonts w:ascii="Times New Roman" w:cs="Times New Roman" w:eastAsia="Times New Roman" w:hAnsi="Times New Roman"/>
          <w:sz w:val="18"/>
          <w:szCs w:val="18"/>
          <w:color w:val="auto"/>
        </w:rPr>
        <w:t>” in this prospectus, Chardan has not had any material relationship with us or any of our affiliates within the past three years.</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Chardan. It sets forth the name and address of Chardan, the aggregate number of Senti Common Shares that Chardan may offer pursuant to this prospectus, and the beneficial ownership of Chardan both before and after the offering. We have based percentage ownership after this offering on 43,657,077 shares of common stock outstanding as of the Closing Date.</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cannot advise you as to whether Chardan will in fact sell any or all of such Senti Common Shares or how long the Selling Securityholder will hold any Senti Common Shares before selling them. In addition, Chardan may sell, transfer or otherwise dispose of, at any time and from time to time, the Senti Common Shares in transactions exempt from the registration requirements of the Securities Act after the date of this prospectus. Because the purchase price of the Senti Common Shares that may be issued under the Purchase Agreement is determined on each purchase date with respect to each purchase, the number of Senti Common Shares that we may actually sell to the Selling Securityholder under the Purchase Agreement ay be fewer than or more than the number of Senti Common Shares being offered by this prospectus. For purposes of this table, we have assumed that Chardan will have sold all of the securities covered by this prospectus upon the completion of the offering. Any changed or new information given to us by Chardan, including regarding the identity of, and the securities held by, Chardan will be set forth in a prospectus supplement or amendments to the registration statement of which this prospectus is a part, if and when necessary.</w:t>
      </w:r>
    </w:p>
    <w:p>
      <w:pPr>
        <w:spacing w:after="0" w:line="186"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 (Conflicts of Interest)</w:t>
      </w:r>
      <w:r>
        <w:rPr>
          <w:rFonts w:ascii="Times New Roman" w:cs="Times New Roman" w:eastAsia="Times New Roman" w:hAnsi="Times New Roman"/>
          <w:sz w:val="18"/>
          <w:szCs w:val="18"/>
          <w:color w:val="auto"/>
        </w:rPr>
        <w:t>” for further information regarding Chardan’s method of distributing these securities.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vMerge w:val="restart"/>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 be Offered</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4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5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44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this Offering (3)</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440" w:type="dxa"/>
            <w:vAlign w:val="bottom"/>
            <w:tcBorders>
              <w:top w:val="single" w:sz="8" w:color="auto"/>
            </w:tcBorders>
          </w:tcPr>
          <w:p>
            <w:pPr>
              <w:jc w:val="center"/>
              <w:ind w:right="726"/>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4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Borders>
              <w:top w:val="single" w:sz="8" w:color="auto"/>
            </w:tcBorders>
          </w:tcPr>
          <w:p>
            <w:pPr>
              <w:jc w:val="center"/>
              <w:ind w:right="126"/>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40" w:type="dxa"/>
            <w:vAlign w:val="bottom"/>
          </w:tcPr>
          <w:p>
            <w:pPr>
              <w:jc w:val="center"/>
              <w:ind w:right="746"/>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Percent</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center"/>
              <w:ind w:right="146"/>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Chardan Capital Markets LLC </w:t>
            </w:r>
            <w:r>
              <w:rPr>
                <w:rFonts w:ascii="Times New Roman" w:cs="Times New Roman" w:eastAsia="Times New Roman" w:hAnsi="Times New Roman"/>
                <w:sz w:val="25"/>
                <w:szCs w:val="25"/>
                <w:color w:val="auto"/>
                <w:vertAlign w:val="subscript"/>
              </w:rPr>
              <w:t>(1)</w:t>
            </w:r>
          </w:p>
        </w:tc>
        <w:tc>
          <w:tcPr>
            <w:tcW w:w="144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8"/>
                <w:szCs w:val="18"/>
                <w:color w:val="auto"/>
              </w:rPr>
              <w:t>100,000(2)</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8,727,049</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0" w:hanging="424"/>
        <w:spacing w:after="0" w:line="252"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13d-3(d) under the Exchange Act, we have excluded from the number of shares beneficially owned prior to the offering all of the shares that Chardan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Chardan’s control, including the registration statement that includes this prospectus becoming and remaining effective. Furthermore, the Purchase Agreement prohibits us from issuing and selling any shares of common stock to Chardan to the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82"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extent such shares of common stock, when aggregated with all other Senti Common Shares then beneficially owned by Chardan, would cause Chardan’s beneficial ownership of our common stock to exceed 4.99%. The Purchase Agreement also prohibits us from issuing or selling shares of common stock under the Purchase Agreement in excess of the 19.99% Exchange Cap, unless we obtain stockholder approval to do so, or unless such approval is not required in accordance with the applicable rules of Nasdaq. The business address of Chardan is 17 State Street, Suite 2130, New York, NY 10004. Chardan is a broker-dealer and a member of the Financial Industry Regulatory Authority, Inc. Mr. Kerry Popper,</w:t>
      </w:r>
    </w:p>
    <w:p>
      <w:pPr>
        <w:spacing w:after="0" w:line="3" w:lineRule="exact"/>
        <w:rPr>
          <w:sz w:val="20"/>
          <w:szCs w:val="20"/>
          <w:color w:val="auto"/>
        </w:rPr>
      </w:pPr>
    </w:p>
    <w:p>
      <w:pPr>
        <w:jc w:val="both"/>
        <w:ind w:left="540" w:right="40"/>
        <w:spacing w:after="0" w:line="265" w:lineRule="auto"/>
        <w:rPr>
          <w:sz w:val="20"/>
          <w:szCs w:val="20"/>
          <w:color w:val="auto"/>
        </w:rPr>
      </w:pPr>
      <w:r>
        <w:rPr>
          <w:rFonts w:ascii="Times New Roman" w:cs="Times New Roman" w:eastAsia="Times New Roman" w:hAnsi="Times New Roman"/>
          <w:sz w:val="17"/>
          <w:szCs w:val="17"/>
          <w:color w:val="auto"/>
        </w:rPr>
        <w:t>Mr. Steven Urbach and Mr. Jonas Grossman, are Chardan’s Chairman, Chief Executive Officer and President, respectively, and are each Members and Managers of Chardan Securities LLC, which holds a controlling interest in Chardan. The foregoing should not be construed in and of itself as an admission by any of Mr. Popper, Mr. Urbach or Mr. Grossman as to beneficial ownership of the securities beneficially owned by Chardan.</w:t>
      </w:r>
    </w:p>
    <w:p>
      <w:pPr>
        <w:ind w:left="54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100,000 Senti Common Shares we issued to the Selling Securityholder on August 31, 2022 as Commitment Shares in consideration for entering into the Purchase Agreement.</w:t>
      </w: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82"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Exchange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the closing of the Business Combination, an unsecured convertible promissory note (the “Note”) in the aggregate principal amount of $5,175,000 that was previously issued by Senti to Bayer Healthcare LLC (“Bayer”) for a purchase price of $5,175,000 on May 19, 2022 was automatically cancelled and exchanged for 517,500 shares of DYNS Class A Common Stock (the “Convertible Note Exchange”). All interest accrued on the Note was cancelled as part of the Convertible Note Exchange. The shares of DYNS Class A Common Stock issued in the Convertible Note Exchange are entitled to the same registration rights granted to the PIPE Investors with respect to the PIPE Shares.</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Mr. Cooper, a former member of Senti’s board of directors, is employed as a Director of Venture Investments with Leaps by Bayer, an investment arm of Bayer AG, which is an affiliate of Bayer Healthcare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DYNS entered into subscription agreements with the PIPE Investors, pursuant to which the PIPE Investors agreed to purchase, and DYNS agreed to sell to the PIPE Investors, an aggregate of 6,680,000 shares of DYNS Class A Common Stock, for a purchase price of $10.00 per share and an aggregate purchase price of $66.8 million, in the PIPE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number of shares of DYNS Class A Common Stock purchased by Senti’s related parties: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DYNS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Related Person</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5920" w:type="dxa"/>
            <w:vAlign w:val="bottom"/>
            <w:vMerge w:val="continue"/>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 Peter Lee</w:t>
            </w:r>
            <w:r>
              <w:rPr>
                <w:rFonts w:ascii="Times New Roman" w:cs="Times New Roman" w:eastAsia="Times New Roman" w:hAnsi="Times New Roman"/>
                <w:sz w:val="24"/>
                <w:szCs w:val="24"/>
                <w:color w:val="auto"/>
                <w:vertAlign w:val="sub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New Enterprise Associates 15, L.P.</w:t>
            </w:r>
            <w:r>
              <w:rPr>
                <w:rFonts w:ascii="Times New Roman" w:cs="Times New Roman" w:eastAsia="Times New Roman" w:hAnsi="Times New Roman"/>
                <w:sz w:val="25"/>
                <w:szCs w:val="25"/>
                <w:color w:val="auto"/>
                <w:vertAlign w:val="subscript"/>
              </w:rPr>
              <w:t>(2)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bscript"/>
              </w:rPr>
              <w:t>(3)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355"/>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Matrix Partners China VI Hong Kong Limited</w:t>
            </w:r>
            <w:r>
              <w:rPr>
                <w:rFonts w:ascii="Times New Roman" w:cs="Times New Roman" w:eastAsia="Times New Roman" w:hAnsi="Times New Roman"/>
                <w:sz w:val="26"/>
                <w:szCs w:val="26"/>
                <w:color w:val="auto"/>
                <w:vertAlign w:val="subscript"/>
              </w:rPr>
              <w:t>(4)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Peter Lee is the father of Philip Lee, Ph.D., Senti’s Chief Technology Officer.</w:t>
      </w:r>
    </w:p>
    <w:p>
      <w:pPr>
        <w:spacing w:after="0" w:line="27"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New Enterprise Associates 15, L.P.</w:t>
      </w:r>
    </w:p>
    <w:p>
      <w:pPr>
        <w:ind w:left="540" w:right="3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Fund I L.P., or 8VC, and 8VC Entrepreneurs Fund I, L.P., or 8VC Entrepreneurs.</w:t>
      </w:r>
    </w:p>
    <w:p>
      <w:pPr>
        <w:ind w:left="540" w:right="380" w:hanging="424"/>
        <w:spacing w:after="0" w:line="26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Geng, is a former member of Senti’s board of directors and was a former Vice President of Matrix Partners China, which is an affiliate of Matrix Partners China VI Hong Kong Limited.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Financings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Redeemable Convertible Preferred Stock Financing</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February 2018 and January 2019, Senti issued and sold to investors in a private placement an aggregate of 35,199,610 shares of its Series A redeemable convertible preferred stock at a purchase price of $1.6427 per share for an aggregate purchase price of approximately $53.4 million, through the payment of cash proceeds and the conversion of convertible promissory notes issued in 2016 and the interest accrued thereon. Each share of Series A redeemable convertible preferred stock automatically converted into one share of our common stock upon closing of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82"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A redeemable convertible preferred stock purchased by holders of more than 5% of Senti’s capital stock, Senti’s directors, executive officers and entities affiliated with Senti’s executive officers and directors in February 2018 and January 2019.</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Series 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Promissory</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Cash</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Timothy Lu</w:t>
            </w:r>
            <w:r>
              <w:rPr>
                <w:rFonts w:ascii="Times New Roman" w:cs="Times New Roman" w:eastAsia="Times New Roman" w:hAnsi="Times New Roman"/>
                <w:sz w:val="24"/>
                <w:szCs w:val="24"/>
                <w:color w:val="auto"/>
                <w:vertAlign w:val="subscript"/>
              </w:rPr>
              <w:t>(1)</w:t>
            </w:r>
          </w:p>
        </w:tc>
        <w:tc>
          <w:tcPr>
            <w:tcW w:w="10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158,950</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bscript"/>
              </w:rPr>
              <w:t>(2)</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12,168,990</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1,336,045</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13,505,035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21,082,219.07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bscript"/>
              </w:rPr>
              <w:t>(3)</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8,370,366</w:t>
            </w:r>
          </w:p>
        </w:tc>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8,370,366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13,750,000.25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Lu is Senti’s Chief Executive Officer and President and a member of Senti’s board of directors.</w:t>
      </w:r>
    </w:p>
    <w:p>
      <w:pPr>
        <w:spacing w:after="0" w:line="27"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New Enterprise Associates 15, L.P., or NEA 15, and NEA Ventures 2018, L.P., or Ven 2018.</w:t>
      </w:r>
    </w:p>
    <w:p>
      <w:pPr>
        <w:ind w:left="540" w:right="320" w:hanging="424"/>
        <w:spacing w:after="0" w:line="26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Fund I L.P., or 8VC, and 8VC Entrepreneurs Fund I, L.P., or 8VC Entrepreneurs.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Convertible Note Financing</w:t>
      </w:r>
    </w:p>
    <w:p>
      <w:pPr>
        <w:spacing w:after="0" w:line="11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August 2020, Senti issued convertible promissory notes in the aggregate principal amount of $8.0 million, which are referred to as the 2020 Notes. The 2020 Notes accrued interest at the rate of 8% per annum. In October 2020, all of the 2020 Notes converted into 5,485,858 shares of Series B redeemable convertible preferred stock in connection with the issuance of Series B redeemable convertible preferred stock.</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principal amount of 2020 Notes issued to holders of more than 5% of Senti’s capital stock, Senti’s directors, executive officers and entities affiliated with Senti’s executive officers and directors.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Noteholders</w:t>
            </w: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4"/>
                <w:szCs w:val="24"/>
                <w:color w:val="auto"/>
                <w:vertAlign w:val="sub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8VC</w:t>
            </w:r>
            <w:r>
              <w:rPr>
                <w:rFonts w:ascii="Times New Roman" w:cs="Times New Roman" w:eastAsia="Times New Roman" w:hAnsi="Times New Roman"/>
                <w:sz w:val="26"/>
                <w:szCs w:val="26"/>
                <w:color w:val="auto"/>
                <w:vertAlign w:val="sub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2,231,640.00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40" w:hanging="424"/>
        <w:spacing w:after="0" w:line="26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NEA 15 and Ven 2018.</w:t>
      </w:r>
    </w:p>
    <w:p>
      <w:pPr>
        <w:ind w:left="540" w:hanging="424"/>
        <w:spacing w:after="0" w:line="260"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and 8VC Entrepreneurs.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B Redeemable Convertible Preferred Stock Financing</w:t>
      </w:r>
    </w:p>
    <w:p>
      <w:pPr>
        <w:spacing w:after="0" w:line="119" w:lineRule="exact"/>
        <w:rPr>
          <w:sz w:val="20"/>
          <w:szCs w:val="20"/>
          <w:color w:val="auto"/>
        </w:rPr>
      </w:pPr>
    </w:p>
    <w:p>
      <w:pPr>
        <w:jc w:val="both"/>
        <w:ind w:left="120" w:right="520"/>
        <w:spacing w:after="0" w:line="281" w:lineRule="auto"/>
        <w:rPr>
          <w:sz w:val="20"/>
          <w:szCs w:val="20"/>
          <w:color w:val="auto"/>
        </w:rPr>
      </w:pPr>
      <w:r>
        <w:rPr>
          <w:rFonts w:ascii="Times New Roman" w:cs="Times New Roman" w:eastAsia="Times New Roman" w:hAnsi="Times New Roman"/>
          <w:sz w:val="17"/>
          <w:szCs w:val="17"/>
          <w:color w:val="auto"/>
        </w:rPr>
        <w:t>Between October 2020 and May 2021, Senti issued and sold to investors in a private placement an aggregate of 64,534,933 shares of its Series B redeemable convertible preferred stock at a purchase price of $1.6427 per share for an aggregate purchase price of approximately $105.1 million, through the payment of cash proceeds and the conversion of the 2020 Notes and the interest accrued thereon. Each share of Series B redeemable convertible preferred stock automatically converted into one share of our common stock upon the closing of the Business Combination.</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82"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B redeemable convertible preferred stock purchased by holders of more than 5% of Senti’s capital stock, Senti’s directors, executive officers and entities affiliated with Senti’s executive officers and directors.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Series B</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Cash</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2020 Notes</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Bayer Healthcare LLC</w:t>
            </w:r>
            <w:r>
              <w:rPr>
                <w:rFonts w:ascii="Times New Roman" w:cs="Times New Roman" w:eastAsia="Times New Roman" w:hAnsi="Times New Roman"/>
                <w:sz w:val="24"/>
                <w:szCs w:val="24"/>
                <w:color w:val="auto"/>
                <w:vertAlign w:val="subscript"/>
              </w:rPr>
              <w:t>(1)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27,393,924</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27,393,924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44,999,998.98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bscript"/>
              </w:rPr>
              <w:t>(2)</w:t>
            </w:r>
          </w:p>
        </w:tc>
        <w:tc>
          <w:tcPr>
            <w:tcW w:w="13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2,742,931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2,742,931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4,055,232.88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bscript"/>
              </w:rPr>
              <w:t>(3)</w:t>
            </w:r>
          </w:p>
        </w:tc>
        <w:tc>
          <w:tcPr>
            <w:tcW w:w="13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1,530,308</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1,530,308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2,262,454.97</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Matrix Partners China VI Hong Kong Limited</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6,087,537</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6,087,537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9,999,997.05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60" w:hanging="424"/>
        <w:spacing w:after="0" w:line="261"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Cooper, a former member of Senti’s board of directors, is employed as a Director of Venture Investments with Leaps by Bayer, an investment arm of Bayer AG, which is an affiliate of Bayer Healthcare LLC.</w:t>
      </w:r>
    </w:p>
    <w:p>
      <w:pPr>
        <w:ind w:left="540" w:right="40" w:hanging="424"/>
        <w:spacing w:after="0" w:line="25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NEA 15 and Ven 2018.</w:t>
      </w:r>
    </w:p>
    <w:p>
      <w:pPr>
        <w:ind w:left="540" w:hanging="424"/>
        <w:spacing w:after="0" w:line="26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and 8VC Entrepreneurs.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Senti is party to an amended and restated investors’ rights agreement, or the IRA, with certain holders of Senti’s capital stock, including the holders of more than 5% of Senti’s outstanding capital stock, such as Bayer Healthcare LLC, entities affiliated with NEA, entities affiliated with 8VC and Matrix Partners China VI Hong Kong Limited. The IRA provides the holders of Senti redeemable convertible preferred stock with certain registration rights, including the right to demand that Senti file a registration statement or request that their shares be covered by a registration statement that Senti is otherwise filing. In addition, the IRA also grants a right of first offer with respect to future sales of Senti equity, as well as certain information and inspection rights to each holder who holds at least 2,815,507 shares of Senti redeemable convertible preferred stock, which rights will terminate on the closing of the Business Combination. In connection with the closing of the Business Combination, the holders of up to 99,734,543 shares of Senti common stock issued on conversion of outstanding redeemable convertible preferred stock will be entitled to rights with respect to the registration of their shares under the Securities Act under the Investors’ Rights Agreement filed as an exhibit hereto and incorporated herein by reference, which superseded and replaced the IRA.</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Senti was party to an amended and restated right of first refusal and co-sale agreement, or the ROFR Agreement, with certain holders of Senti capital stock including the holders of more than 5% of Senti’s outstanding capital stock, such as Bayer Healthcare LLC, entities affiliated with NEA, entities affiliated with 8VC, and Matrix Partners China VI Hong Kong Limited. The ROFR Agreement provided for rights of first refusal and co-sale relating to the shares of Senti capital stock held by certain parties to the agreement. The ROFR Agreement terminated upon the Closing of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Senti was party to an amended and restated voting agreement, or the Voting Agreement, under which certain holders of Senti capital stock, including the holders of more than 5% of Senti’s outstanding capital stock, such as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82"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Bayer Healthcare LLC, entities affiliated with NEA, entities affiliated with 8VC, and Matrix Partners China VI Hong Kong Limited, have agreed as to the manner in which they will vote their shares of Senti capital stock on certain matters, including with respect to the election of directors. The Voting Agreement terminated upon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BlueRock Therapeutics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May 2021, Senti entered into a collaboration and option agreement with BlueRock Therapeutics LP, or BlueRock, pursuant to which Senti granted to BlueRock an option, on a collaboration program-by-collaboration program basis, to obtain an exclusive or non-exclusive license under Senti’s intellectual property rights to develop, manufacture and commercialize, for the prevention, treatment or palliation of specified indications, or a licensed field, cell therapy products that contain cells of specified types that incorporate an option gene circuit from such collaboration program or a closely related derivative gene circuit. BlueRock is a wholly-owned subsidiary of Bayer Healthcare LLC, a holder of more than 5% of Senti’s common stock. Mr. Cooper, a member of Senti’s board of directors, is employed as a Director of Venture Investments with Leaps by Bayer, an investment arm of Bayer AG, which is the parent company of Bayer Healthcare LLC. For a description of the collaboration and option agreement, see the section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License and Collaboration Agreements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Charter contains provisions limiting the liability of directors, and the Bylaws provide that we will indemnify each of our directors and officers to the fullest extent permitted under Delaware law. The Charter and Bylaws also provide our board of directors with discretion to indemnify our employees and other agents when determined appropriate by the board of directors.</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or intend to enter into an indemnification agreement with each of our directors and executive officers, which will require us to indemnify them.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Grants to Directors and Executive Officers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to our directors and executive officers, as more fully described in the sections titled “Executive Compensation” and “Director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DYNS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March 8, 2021, the Sponsor was issued 5,750,000 shares of DYNS Class B Common Stock (the Founder Shares) for an aggregate price of $25,000. The Founder Shares included an aggregate of up to 750,000 shares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82"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 B Common Stock subject to forfeiture by the Sponsor to the extent that the underwriter’s over-allotment option was not exercised in full or in part, so that the Sponsor would own, on an as-converted basis, 20% of DYNS’ issued and outstanding shares after its Initial Public Offering (excluding the Private Placement Shares) and assuming its Sponsor did not purchase any Public Shares in its Initial Public Offering). The underwriter fully exercised the over-allotment option on May 28, 2021; thus, these 750,000 Founder Shares are no longer subject to forfeiture.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Shares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DYNS Initial Public Offering, DYNS consummated the sale of 715,500 shares of its Class A Common Stock (the “Private Placement Shares”) at a price of $10.00 per share in a private placement to its Sponsor, generating gross proceeds of $7,155,000. A portion of the proceeds from the sale of the Private Placement Shares was added to the net proceeds from its Initial Public Offering held in the Trust Account. If DYNS did not complete an initial business combination within 24 months from the closing of its Initial Public Offering, the proceeds from the sale of the Private Placement Shares held in the Trust Account would have been used to fund the redemption of Public Shares (subject to the requirements of applicable law).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Note—Related Party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March 8, 2021, DYNS issued an unsecured promissory note to its Sponsor (the “Promissory Note”), pursuant to which DYNS could borrow up to an aggregate of $300,000 to cover expenses related to its Initial Public Offering. The Promissory Note was non-interest bearing and was payable on the earlier of December 31, 2021 or the consummation of its Initial Public Offering. In April 2021, DYNS borrowed $250,000 under the Promissory Note, which was repaid on May 26,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DYNS entered into an agreement, commencing on the effective date of its Initial Public Offering, to pay the Sponsor up to a total of $10,000 per month for office space, administrative and support services. Upon the closing of the Business Combination, the agreement terminated. DYNS did not exercise its option to use such services and did not paid any fees to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and each of the DYNS officers and directors entered into the Sponsor Support Agreement with DYNS and Senti. Under the Sponsor Support Agreement, the Sponsor has agreed to vote, at any meeting of the stockholders of DYNS and in any action by written consent of the stockholders of DYNS, all of its shares of Class B Common Stock (together with any other equity securities of DYNS that it holds of record or beneficially, as of the date of the Sponsor Support Agreement, or of which it acquires record or beneficial ownership after the date thereof (the “Subject DYNS Equity Securities”)) (i) in favor of (a) the Business Combination Agreement and the transactions contemplated thereby and (b) the other proposals that DYNS and Senti agreed in the Business Combination Agreement shall be submitted at such meeting for approval by DYNS’s stockholders together with the proposal to obtain the DYNS stockholders’ approval for the Business Combination (the “Required Transaction Proposals”) and (ii) against any proposal that conflicts or materially impedes or interferes with any Required Transaction Proposals or that would adversely affect or delay the Business Combination. The Sponsor Support Agreement also prohibits the Sponsor from, among other things and subject to certain exceptions, selling, assigning or transferring any Subject DYNS Equity Securities held by the Sponsor or taking any action that would have the effect of preventing or materially delaying the Sponsor from performing its obligations under the Sponsor Support Agreement. In addition, in the Sponsor Support Agreement, the Sponsor agrees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82"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Placement Shares are entitled to registration rights pursuant to the registration and stockholder rights agreement requiring us to register such securities for resale. As at the date of this prospectus, there are 5,750,000 Founder Shares, 871,028 of which were distributed to the Anchor Investors, and 715,500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w:t>
      </w:r>
    </w:p>
    <w:p>
      <w:pPr>
        <w:spacing w:after="0" w:line="19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addition, the PIPE Investors are entitled to registration rights pursuant to the subscription agreements they entered into with DYNS in connection with the PIPE Investment. The PIPE Investors subscribed for, in aggregate, 5,060,000 shares of Class A Common Stock concurrently with the consummation of the Business Combination, and all such shares will have registration rights.</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total, after the consummation of the Business Combination, an aggregate of 11,525,500 shares of Senti common stock held by stockholders of DYNS prior to the consummation of the Business Combination and by the PIPE Investors are subject to registration rights, comprising 715,500 Private Placement Shares, 4,878,972 Founder Shares, 871,028 shares of common stock issued to Anchor Investors and 5,060,000 shares of common stock issued to PIPE Investors.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connection with its Initial Public Offering, DYNS granted the underwriter a 45-day option to purchase up to 3,000,000 additional shares of Class A Common Stock to cover over-allotments at the Initial Public Offering price, less the underwriting discounts and fees. The underwriter exercised its over-allotment option in full on May 28, 2021.</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the Initial Public Offering. In addition, approximately $0.306 per share, or $7,050,000 in the aggregate, may be payable to the underwriter for deferred underwriting fees (this amount having being reduced from $8,050,000 by $1,000,000 by agreement with the underwriter on December 17, 2021). The deferred underwriting fee became payable to the underwriter from the amounts held in the Trust Account upon the completion of the Business Combination, subject to the terms of the underwriting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 Agreement</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December 16, 2021, DYNS entered into an agreement (the “Financial Advisor Agreement”) with Morgan Stanley for financial advisory services in connection with the Business Combination, which services Morgan Stanley had been engaged to provide, and which services Morgan Stanley had provided, since August 4, 2021. The Financial Advisor Agreement shall terminate automatically on December 16, 2022 unless terminated earlier, with or without cause, by either DYNS or Morgan Stanley. DYNS paid Morgan Stanley a fee of $1,000,000 upon the consummation of the Business Combination.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September 21, 2021, DYNS entered into an agreement (the “Placement Agent Agreement”) with Morgan Stanley, J.P. Morgan and BofA Securities (together, the “co-placement agents”) for services in connection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82"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placement of shares of our Class A Common Stock to the PIPE Investors. The Placement Agent Agreement shall terminate automatically on August 28, 2022 unless terminated earlier, with or without cause, by either DYNS or any co-placement agent (as to itself only). DYNS paid the co-placement agents a total fee equal to 4.0% of the aggregate price at which the shares of DYNS Class A Common Stock were sold to the PIPE Investors, which fee was payable upon the consummation of the placement of the shares. Each of the co-placement agents received 33.3% of the fee.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As described elsewhere in this prospectus, DYNS entered into the Business Combination Agreement with Merger Sub and Senti pursuant to which, among other things, Merger Sub merged with and into Senti, with Senti surviving as a wholly-owned subsidiary of DYNS. DYNS also entered into various ancillary transaction documents to give effect to the Business Combination.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40"/>
          </w:cols>
          <w:pgMar w:left="320" w:top="482" w:right="5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our capital stock as of the date of this prospectus as specified in our Charter and Bylaws. Because the following description is only a summary, it does not contain all the information that may be important to you. For a complete description of the matters set forth in this section titled “Description of Securities,” you should refer to the Charter, the Bylaws and the Registration Rights Agreement, which are included as exhibits to the registration statement of which this prospectus is a part, and to the applicable provisions of Delaware law.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510,000,000 shares, consisting of 500,000,000 shares of common stock, $0.0001 par value per share, and 10,000,000 shares of preferred stock, $0.0001 par value. As of September 1, 2022, there were 43,757,077 shares of common stock outstanding. No shares of preferred stock are currently outstanding.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Senti Common Shares.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Senti Common Shares possess all voting power for the election of the directors and all other matters requiring stockholder action. Holders of Senti Common Shares are entitled to one vote per share on matters to be voted on by stockholders.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Holders of Senti Common Shares will be entitled to receive such dividends, if any, as may be declared from time to time by our board of directors in its discretion out of funds legally available therefor. We have not historically paid any cash dividends on our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Senti Common Shares unless the Senti Common Shares at the time outstanding are treated equally and identically.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or winding-up, the net assets of Senti will be distributed pro rata to the holders of Senti Common Shares, subject to the rights of the holders of the preferred stock, if 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Senti Common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Charter provides that shares of preferred stock may be issued from time to time in one or more series. Our board of directors will be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will be able to, without stockholder approval, issue preferred stock with voting and other rights that could adversely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82"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affect the voting power and other rights of the holders of the Senti Common Shares and could have anti-takeover effects. The ability of our board of directors to issue preferred stock without stockholder approval could have the effect of delaying, deferring or preventing a change of control of Senti or the removal of existing management. We have no preferred stock currently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DYNS, and certain of our stockholders entered into the Investor Rights Agreement, pursuant to which, among other things, such stockholders were granted certain registration rights with respect to certain shares of securities held by them. A copy of the Investor Rights Agreement is incorporated by reference as an exhibit to the registration statement of which this prospectus forms a part.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Charter and Bylaws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the Charter and Bylaws (as amended from time to time):</w:t>
      </w:r>
    </w:p>
    <w:p>
      <w:pPr>
        <w:spacing w:after="0" w:line="131" w:lineRule="exact"/>
        <w:rPr>
          <w:sz w:val="20"/>
          <w:szCs w:val="20"/>
          <w:color w:val="auto"/>
        </w:rPr>
      </w:pPr>
    </w:p>
    <w:p>
      <w:pPr>
        <w:ind w:left="1080" w:right="22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jc w:val="both"/>
        <w:ind w:left="1080" w:right="520" w:hanging="424"/>
        <w:spacing w:after="0" w:line="312"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subject to the rights of any series of preferred stock to elect directors, directors may be removed only with cause by the holders of at least 75% of all of our then-outstanding shares of the capital stock entitled to vote generally at an election of directors;</w:t>
      </w:r>
    </w:p>
    <w:p>
      <w:pPr>
        <w:spacing w:after="0" w:line="45" w:lineRule="exact"/>
        <w:rPr>
          <w:rFonts w:ascii="Times New Roman" w:cs="Times New Roman" w:eastAsia="Times New Roman" w:hAnsi="Times New Roman"/>
          <w:sz w:val="17"/>
          <w:szCs w:val="17"/>
          <w:color w:val="auto"/>
        </w:rPr>
      </w:pPr>
    </w:p>
    <w:p>
      <w:pPr>
        <w:ind w:left="1080" w:right="48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subject to the rights of any series of preferred stock,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by our board of directors pursuant to a resolution adopted by a majority of the board;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divided into three classes of directors, with the directors serving three-year terms, therefore making it more difficult for stockholders to change the composition of the board of directors;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Senti Common Shares entitled to vote in any election of directors to elect all of the directors standing for election, if they should so choose.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the control of Senti.</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82"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the our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Anti-Takeover Provisions of Delaware Law</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This statute prevents certain Delaware corporations, under certain circumstances, from engaging in a “business combination” with:</w:t>
      </w:r>
    </w:p>
    <w:p>
      <w:pPr>
        <w:spacing w:after="0" w:line="67"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a corporation’s assets. However, the above provisions of Section 203 would not apply if:</w:t>
      </w:r>
    </w:p>
    <w:p>
      <w:pPr>
        <w:spacing w:after="0" w:line="67" w:lineRule="exact"/>
        <w:rPr>
          <w:sz w:val="20"/>
          <w:szCs w:val="20"/>
          <w:color w:val="auto"/>
        </w:rPr>
      </w:pPr>
    </w:p>
    <w:p>
      <w:pPr>
        <w:ind w:left="1080" w:right="3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board of directors approves the transaction that made the stockholder an “interested stockholder,” prior to the date of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Senti.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the Senti Common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Senti Common Shares are listed on Nasdaq under the symbol “SNTI”.</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00"/>
          </w:cols>
          <w:pgMar w:left="320" w:top="482" w:right="5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Senti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Senti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Senti Common Shares then outstanding;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Senti Common Shares during the four calendar weeks preceding the date on which notice of the sale if filed with the SEC.</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Sales by affiliates of Senti Common Shares under Rule 144 are also limited by manner of sale provisions and notice requirements and by the availability of current public information about Senti.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10-type information with the SEC reflecting its status as an entity that is not a shell company.</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are no longer a shell company, and so, once the conditions listed above are satisfied, Rule 144 will become available for the resale of the above-noted restricted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Rights and Lock-Up Agreement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DYNS, certain stockholders of DYNS (including the Sponsor) and certain stockholders of Senti entered into an Investor Rights and Lock-up Agreement (the “Investor Rights Agreement”). Pursuant to the Investor Rights Agreement, each signatory thereto (other than DYNS) was granted certain registration rights with respect to their respective Senti Common Shares.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restricts the ability of each stockholder who is a party thereto (other than DYNS) to transfer its Senti Common Shares (or any securities convertible into or exercisable or exchangeable for Senti Common Shares), subject to certain permitted transfers, for a period of one year following the Closing Date (the “Lock-Up Period”); provided that (i) the foregoing restrictions shall not apply to any Senti Common Shares purchased pursuant to the subscription agreements, and (ii) if the last reported sale price of the Senti Common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82"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Shares on Nasdaq, or any other national securities exchange on which the Senti Common Shares are then traded, is greater than or equal to $12.00 per share over any 20 trading days within any consecutive 30 trading day period following the Closing Date, then, commencing at least 150 days after the Closing Date, the Lock-Up Period shall be deemed to have expired with respect to each stockholder’s Senti Common Shares subject to the Lock-Up Period.</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Investor Rights Agreement does not purport to be complete and is qualified in its entirety by the terms and conditions of the Investor Rights Agreement, a form of which is included as an exhibit to this registration statement.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0940"/>
          </w:cols>
          <w:pgMar w:left="320" w:top="482" w:right="6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relating to the purchase, ownership and disposition of Senti Common Shares, which we also refer to as Senti “securities.” This discussion is limited to certain U.S. federal income tax considerations to investors that will hold securities as capital assets within the meaning of Section 1221 of the U.S. Internal Revenue Code of 1986, as amended (the “Code”) and that purchased such securities from Chardan pursuant to this offering.</w:t>
      </w:r>
    </w:p>
    <w:p>
      <w:pPr>
        <w:spacing w:after="0" w:line="180" w:lineRule="exact"/>
        <w:rPr>
          <w:sz w:val="20"/>
          <w:szCs w:val="20"/>
          <w:color w:val="auto"/>
        </w:rPr>
      </w:pPr>
    </w:p>
    <w:p>
      <w:pPr>
        <w:ind w:left="120" w:right="840"/>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81"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“straddle,” “constructive sale”, “hedge”, “wash sale”, “conversion” or other integrated or similar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purchase, ownership and disposition of our securities.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82"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PURCHASE, OWNERSHIP AND DISPOSITION OF SENTI SECURITIES ACQUIRED PURSUANT TO THIS OFFERING. EACH PROSPECTIVE INVESTOR IN SENTI SECURITIES IS URGED TO CONSULT ITS TAX ADVISOR WITH RESPECT TO THE PARTICULAR TAX CONSEQUENCES TO SUCH INVESTOR OF THE PURCHASE, OWNERSHIP AND DISPOSITION OF SENTI SECURITIES, INCLUDING THE APPLICABILITY AND EFFECT OF ANY U.S. FEDERAL NON-INCOME, STATE, LOCAL, AND NON-U.S. TAX LAWS OR ANY APPLICABLE INCOME TAX TREATY.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Senti Common Shares who or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If we pay distributions in cash or other property (other than certain distributions of Senti Common Shares or rights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Senti Common Shares) to U.S. holders of Senti Common Shares,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Senti Common Shares. Any remaining excess will be treated as gain realized on the sale or other disposition of its Senti Common Shares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Senti Common Shares</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treated as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applicable maximum tax rate accorded to long-term capital gains. If the applicable holding period requirements are not satisfied, then a U.S. holder that is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82"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Senti Common Shares.</w:t>
      </w:r>
    </w:p>
    <w:p>
      <w:pPr>
        <w:spacing w:after="0" w:line="11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Upon a sale or other taxable disposition of Senti Common Shares, a U.S. holder generally will recognize capital gain or loss in an amount equal to the difference between the amount realized and the U.S. holder’s adjusted tax basis in its Senti Common Shares. Any such capital gain or loss generally will be long-term capital gain or loss if the U.S. holder’s holding period for its Senti Common Shares so disposed of exceeds one year. Long-term capital gains recognized by non-corporate U.S. holders may be eligible to be taxed at reduced rates. The deductibility of capital losses is subject to limitations.</w:t>
      </w:r>
    </w:p>
    <w:p>
      <w:pPr>
        <w:spacing w:after="0" w:line="16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Senti Common Shares so disposed of. A U.S. holder’s adjusted tax basis in its Senti Common Shares generally will equal the U.S. holder’s acquisition cost less, in the case of Senti Common Shares, any prior distributions treated as a return of capital.</w:t>
      </w:r>
    </w:p>
    <w:p>
      <w:pPr>
        <w:spacing w:after="0" w:line="17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distributions paid to a U.S. holder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of the sale or other disposition of Senti Common Shares,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U.S. federal income tax liability and may entitle such holder to a refund, provided the required information is timely furnished to the IRS.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Senti Common Shares who or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their securities. If you are such an individual, you should consult your tax advisor regarding the U.S. federal income tax consequences of the purchase, ownership or sale or other disposition of our securities.</w:t>
      </w:r>
    </w:p>
    <w:p>
      <w:pPr>
        <w:spacing w:after="0" w:line="17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general, any distributions (other than certain distributions of Senti stock or rights to acquire Senti stock) we make to a Non-U.S. holder of Senti Common Shares,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Senti Common Shares and, to the extent such distribution exceeds the Non-U.S. holder’s adjusted tax basis, as gain realized from the sale or other disposition of its Senti Common Shares,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Senti Common Shares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40"/>
          </w:cols>
          <w:pgMar w:left="320" w:top="482"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below. In addition, if we determine that we are likely to be classified as a “United States real property holding corporation” (see “</w:t>
      </w: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on Sale, Taxable Exchange or Other Taxable Disposition of Senti Common Shares</w:t>
      </w:r>
      <w:r>
        <w:rPr>
          <w:rFonts w:ascii="Times New Roman" w:cs="Times New Roman" w:eastAsia="Times New Roman" w:hAnsi="Times New Roman"/>
          <w:sz w:val="18"/>
          <w:szCs w:val="18"/>
          <w:color w:val="auto"/>
        </w:rPr>
        <w:t>” below), we may withhold 15% of any distribution that exceeds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and accumulated earnings and profits.</w:t>
      </w:r>
    </w:p>
    <w:p>
      <w:pPr>
        <w:spacing w:after="0" w:line="17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81" w:lineRule="exact"/>
        <w:rPr>
          <w:sz w:val="20"/>
          <w:szCs w:val="20"/>
          <w:color w:val="auto"/>
        </w:rPr>
      </w:pPr>
    </w:p>
    <w:p>
      <w:pPr>
        <w:ind w:left="120" w:right="40"/>
        <w:spacing w:after="0" w:line="315" w:lineRule="auto"/>
        <w:rPr>
          <w:sz w:val="20"/>
          <w:szCs w:val="20"/>
          <w:color w:val="auto"/>
        </w:rPr>
      </w:pPr>
      <w:r>
        <w:rPr>
          <w:rFonts w:ascii="Times New Roman" w:cs="Times New Roman" w:eastAsia="Times New Roman" w:hAnsi="Times New Roman"/>
          <w:sz w:val="17"/>
          <w:szCs w:val="17"/>
          <w:i w:val="1"/>
          <w:iCs w:val="1"/>
          <w:color w:val="auto"/>
        </w:rPr>
        <w:t>Gain on Sale, Taxable Exchange or Other Taxable Disposition of Senti Common Shares</w:t>
      </w:r>
      <w:r>
        <w:rPr>
          <w:rFonts w:ascii="Times New Roman" w:cs="Times New Roman" w:eastAsia="Times New Roman" w:hAnsi="Times New Roman"/>
          <w:sz w:val="17"/>
          <w:szCs w:val="17"/>
          <w:color w:val="auto"/>
        </w:rPr>
        <w:t>. A Non-U.S. holder generally will not be subject to U.S.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or withholding tax in respect of gain recognized on a sale, taxable exchange or other taxable disposition of its Senti Common Shares unless:</w:t>
      </w:r>
    </w:p>
    <w:p>
      <w:pPr>
        <w:spacing w:after="0" w:line="42" w:lineRule="exact"/>
        <w:rPr>
          <w:sz w:val="20"/>
          <w:szCs w:val="20"/>
          <w:color w:val="auto"/>
        </w:rPr>
      </w:pPr>
    </w:p>
    <w:p>
      <w:pPr>
        <w:ind w:left="1080" w:right="40" w:hanging="424"/>
        <w:spacing w:after="0" w:line="312" w:lineRule="auto"/>
        <w:tabs>
          <w:tab w:leader="none" w:pos="10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45" w:lineRule="exact"/>
        <w:rPr>
          <w:rFonts w:ascii="Times New Roman" w:cs="Times New Roman" w:eastAsia="Times New Roman" w:hAnsi="Times New Roman"/>
          <w:sz w:val="17"/>
          <w:szCs w:val="17"/>
          <w:color w:val="auto"/>
        </w:rPr>
      </w:pPr>
    </w:p>
    <w:p>
      <w:pPr>
        <w:ind w:left="1080" w:right="100" w:hanging="424"/>
        <w:spacing w:after="0" w:line="254"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 “USRPHC”) for U.S. federal income tax purposes at any time during the shorter of the five-year period ending on the date of disposition or the Non-U.S. holder’s holding period for its Senti Common Shares, except, in the case where Senti Common Shares are regularly traded on an established securities market, the Non-U.S. holder has owned, directly or constructively, at all times within the shorter of the five-year period preceding the disposition of its Senti Common Shares or such Non-U.S. holder’s holding period for such Senti Common Shares, 5% or less of Senti Common Shares. There can be no assurance that our Senti Common Shares will be treated as regularly traded on an established securities market for this purpose. Non-U.S. holders should consult their own tax advisors regarding the application of the foregoing rules in light of their particular facts and circumstances.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its securities will be subject to tax at generally applicable U.S. federal income tax rates. In addition, a buyer of our securities from such holder may be required to withhold U.S. federal income tax at a rate of 15% of the amount realized upon such disposition if our Senti Common Shares are not treated as regularly traded on an established securities market. We will be classified as a USRPHC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85"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Information returns generally will be filed with the IRS in connection with payments to a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distributions on Senti Common Shares. Proceeds from a sale or other taxable disposition of our securities within the United States or conducted through certain U.S.-related brokers may be subject to backup withholding or information reporting unless a Non-U.S. holder complies with certification procedures to establish that it is not a United States person. The certification procedures required to claim a reduced rate of withholding under a treaty generally will satisfy such certification requirements. Proceeds of a disposition of our securities conducted through a non-U.S. office of a non-U.S. broker generally will not be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00"/>
          </w:cols>
          <w:pgMar w:left="320" w:top="482"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subject to backup withholding or information reporting.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required information is timely furnished to the IRS.</w:t>
      </w:r>
    </w:p>
    <w:p>
      <w:pPr>
        <w:spacing w:after="0" w:line="17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FATCA Withholding Taxes</w:t>
      </w:r>
      <w:r>
        <w:rPr>
          <w:rFonts w:ascii="Times New Roman" w:cs="Times New Roman" w:eastAsia="Times New Roman" w:hAnsi="Times New Roman"/>
          <w:sz w:val="18"/>
          <w:szCs w:val="18"/>
          <w:color w:val="auto"/>
        </w:rPr>
        <w:t>. Provisions commonly referred to as “FATCA” impose withholding of 30% on payments of dividends on Senti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(subject to the proposed Treasury Regulations discussed below) gross proceeds from the sale or other disposition of, our securities paid (or deemed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Prospective investors should consult their tax advisors regarding the effects of FATCA on their investment in securities.</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40"/>
          </w:cols>
          <w:pgMar w:left="320" w:top="482"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0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are registering the resale by Chardan of up to 8,727,049 Senti Common Shares, including 100,000 Senti Common Shares that have been issued to Chardan as Commitment Shares under the Purchase Agreement. Although the Purchase Agreement provides that we may sell up to an aggregate of $50.0 million of Senti Common Shares to the Selling Securityholder, only 8,727,049 Senti Common Shares issuable under the Facility, including the 100,000 Commitment Shares issued to Chardan as consideration for its execution and delivery of the Purchase Agreement on the Signing Date, are being registered for resale under the registration statement that includes this prospectus. The actual number of Senti Common Shares issuable will vary depending on the then current market price of Senti Common Shares sold to Chardan in this offering.</w:t>
      </w:r>
    </w:p>
    <w:p>
      <w:pPr>
        <w:spacing w:after="0" w:line="187"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Chardan. However, we may receive up to $50.0 million in aggregate gross proceeds from Chardan under the Purchase Agreement in connection with sales of Senti Common Shares to Chardan pursuant to the Purchase Agreement after the date of this prospectus. The aggregate proceeds to Chardan will be the purchase price of the securities less any discounts and commissions borne by Chardan.</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Once issued and upon effectiveness of the registration statement of which this prospectus forms a part, the securities beneficially owned by Chardan covered by this prospectus may be offered and sold from time to time by Chardan, including any donees, pledgees, transferees or other successors in interest selling securities received after the date of this prospectus from Chardan as a gift, pledge, partnership distribution or other transfer. Chardan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Chardan reserves the right to accept and, together with its respective agents, to reject, any proposed purchase of securities to be made directly or through agents. Chardan and any of its permitted transferees may sell their securities offered by this prospectus on any stock exchange, market or trading facility on which the securities are traded or in private transactions.</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Subject to any limitations set forth in any applicable agreement that provides for registration rights, Chardan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members, partners or stockholders;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the registration statement of which this prospectus is a part is declared effective by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00"/>
          </w:cols>
          <w:pgMar w:left="320" w:top="482"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shares of the Senti Common Shares to be offered and sold pursuant to this prospectus.</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Chardan is a selling securityholder and is an “underwriter” within the meaning of Section 2(a)(11) of the Securities Act. Chardan is a registered broker-dealer and FINRA member and has informed us that it presently anticipates effectuating resales, if any, of our common shares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Chardan has informed us that each such broker-dealer (excluding Chardan), may receive commissions from Chardan for executing such sales for Chardan and, if so, such commissions will not exceed customary brokerage commissions.</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consideration for its irrevocable commitment to, at our request, purchase our shares of common stock under the Purchase Agreement, we issued 100,000 shares of common stock with a value of $196,000 to Chardan upon execution of the Purchase Agreement. The $1.96 value of the Commitment Shares is based on the closing price of the Company’s shares of common stock on Nasdaq on August 31, 2022. In accordance with FINRA Rule 5110, the $196,000 value of the Commitment Shares (calculated at the time such shares were issued) is deemed underwriting compensation in connection with sales of the shares of common stock by Chardan to the public. In addition, pursuant to the Purchase Agreement we have also agreed to pay a document preparation fee of $350,000 to Chardan prior to the Signing Date. We also have agreed to reimburse Chardan up to $100,000 for the fees and disbursements of its counsel in connection with the transactions contemplated by the Purchase Agreement and up to $25,000 per fiscal quarter thereafter for up to 36 months, or up to $400,000 in the aggregate, in connection with Chardan’s ongoing due diligence review. In accordance with FINRA Rule 5110 these reimbursed fees and expenses are deemed underwriting compensation in connection with sales of shares of common stock by Chardan to the public. The Commitment Shares will not be sold, transferred, assigned, pledged, or hypothecated, or be the subject of any hedging, short sale, derivative, put or call transaction that would result in the effective economic disposition of the Commitment Shares for a period of 180 days beginning on the date of commencement of sales of the public offering under the Facility, except as provided in FINRA Rule 5110(e)(2).</w:t>
      </w:r>
    </w:p>
    <w:p>
      <w:pPr>
        <w:spacing w:after="0" w:line="19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total underwriting compensation to be received in connection with sales of shares of common stock by Chardan to the public, as determined under FINRA Rule 5110, will not exceed 8% of the maximum dollar amount of common shares to be sold to the public under the Facility.</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also have agreed to indemnify Chardan and certain other persons against certain liabilities in connection with the offering of Senti Common Shares offered hereby, including liabilities arising under the Securities Act or, if such indemnity is unavailable, to contribute amounts required to be paid in respect of such liabilities. Chardan has agreed to indemnify us against liabilities under the Securities Act that may arise from certain written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82"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information furnished to us by Chardan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shares or otherwise, Chardan may enter into hedging transactions with broker-dealers or other financial institutions. In connection with such transactions, broker-dealers or other financial institutions may engage in short sales of shares of common stock in the course of hedging transactions, and broker-dealers or other financial institutions may engage in short sales of shares of common stock in the course of hedging the positions they assume with Chardan. Chardan may also sell shares of common stock short and redeliver the shares to close out such short positions. Chardan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Chardan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9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Chardan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Shareholder or borrowed from any Shareholder or others to settle those sales or to close out any related open borrowings of stock, and may use securities received from any Shareholder in settlement of those derivatives to close out any related open borrowings of stock. The third party in such sale transactions will be an underwriter and will be identified in the applicable prospectus supplement (or a post-effective amendment). In addition, any Shareholder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Chardan may arrange for other broker-dealers to participate. Broker-dealers or agents may receive commissions, discounts or concessions from Chardan in amounts to be negotiated immediately prior to the sale.</w:t>
      </w:r>
    </w:p>
    <w:p>
      <w:pPr>
        <w:spacing w:after="0" w:line="162"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have advised Chardan that the anti-manipulation rules of Regulation M under the Exchange Act may apply to sales of shares in the market and to the activities of Chardan and its affiliates. In addition, we will make copies of this prospectus available to Chardan for the purpose of satisfying the prospectus delivery requirements of the Securities Act. Chardan may indemnify any broker-dealer that participates in transactions involving the sale of the shares against certain liabilities, including liabilities arising under the Securities Act.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82"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Chardan or any other shareholder, broker, dealer, underwriter or agent relating to the sale or distribution of the shares of common stock offered by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Chardan is a member of FINRA and is expected to act as an executing broker for the resale of the Senti Common Shares in this offering. The receipt by Chardan of all the proceeds from resales of Senti Common Shares results in a “conflict of interest” under FINRA Rule 5121. Accordingly, such resales will be conducted in compliance with FINRA Rule 5121. To the extent that the Senti Common Shares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will receive an upfront fee of $100,000 and, beginning one year after the date of the Purchase Agreement, quarterly fees of $25,000 for doing so. Pursuant to FINRA Rule 5121, Chardan will not confirm resales of Senti Common Shares to any account over which it exercises discretionary authority without the prior written approval of the customer.</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82"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Goodwin Procter LLP has passed upon the validity of the Senti Common Shares offered by this prospectus and certain other legal matters related to this prospectus.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Dynamics Special Purpose Corp. as of December 31, 2021, and for the period from March 1, 2021 (inception) through December 31, 2021, included in this prospectus have been audited by Marcum LLP, independent registered public accounting firm, as stated in their report herein (which contains an explanatory paragraph relating to substantial doubt about the ability of Dynamics Special Purpose Corp. to continue as going concern, as described in Note 1 to the consolidated financial statements), appearing elsewhere in this prospectus, and are included in reliance upon such report given on the authority of such firm as experts in accounting and auditing.</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Senti Biosciences, Inc. and subsidiary as of December 31, 2021 and 2020, and for each of the years in the two-year period ended December 31, 2021, have been included herein and elsewhere in the registration statement in reliance upon the report of KPMG LLP, independent registered public accounting firm, appearing elsewhere herein, and upon authority of said firm as experts in accounting and auditing. The audit report covering the December 31, 2021 consolidated financial statements contains an explanatory paragraph that states that Senti Biosciences, Inc. and subsidiary’s recurring losses, negative cash flows from operations and accumulated deficit raised substantial doubt about the entity’s ability to continue as a going concern as of the date of such audit report. The consolidated financial statements do not include any adjustments that might result from the outcome of that uncertainty.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60"/>
          </w:cols>
          <w:pgMar w:left="320" w:top="482" w:right="5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(a)Dismissal of independent registered public accounting firm</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June 8, 2022, our board of directors approved the engagement of KPMG LLP (“KPMG”) as Senti’s independent registered public accounting firm to audit Senti’s consolidated financial statements as of and for the year ending December 31, 2022. Marcum LLP (“Marcum”) served as independent registered public accounting firm of DYNS prior to the Business Combination. Accordingly, Marcum was informed that they have been dismissed as Senti’s independent registered public accounting firm.</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report of Marcum on DYNS’s balance sheet as of December 31, 2021, and for the period from March 1, 2021 (inception) through December 31, 2021, and the related notes to the financial statements, did not contain an adverse opinion or a disclaimer of opinion, and were not qualified or modified as to audit scope or accounting principles. However, the opinion was modified as management of DYNS concluded that DYNS has a working capital deficiency as of December 31, 2021 and lacks the financial resources it needs to sustain operations for a reasonable period of time, which is considered to be one year from the issuance date of the financial statements. These conditions raise substantial doubt about DYNS’s ability to continue as a going concern.</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During the period from March 1, 2021 (DYNS inception) through December 31, 2021, and the subsequent interim period through June 8, 2022, there were no “disagreements” (as such term is defined in Item 304(a)(1)(iv) of Regulation S-K under the Exchange Act) between Senti and Marcum on any matter of accounting principles or practices, financial statement disclosure or auditing scope or procedure, which disagreements, if not resolved to the satisfaction of Marcum, would have caused it to make reference to the subject matter of the disagreements in its reports on DYNS’s financial statements for such period.</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the period from March 1, 2021 (DYNS inception) to December 31, 2021 and the subsequent interim period preceding Marcum’s dismissal, there was one “reportable event” (as defined in Item 304(a)(1)(v) of Regulation S-K under the Exchange Act). As previously disclosed in DYNS’s quarterly report for the period ended March 31, 2022, management determined that a material weakness in internal control over financial reporting existed relating to the accounting treatment for complex financial instruments.</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Senti provided Marcum with a copy of the foregoing disclosures and requested that Marcum furnish Senti with a letter addressed to the Commission stating whether it agrees with the statements made by Senti set forth above. A copy of Marcum’s letter, dated June 14, 2022, is filed as Exhibit 16.1 hereto.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(b)Disclosures regarding the new independent auditor</w:t>
      </w:r>
    </w:p>
    <w:p>
      <w:pPr>
        <w:spacing w:after="0" w:line="121"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As described above, on June 8, 2022, our board of directors approved the engagement of KPMG as Senti’s independent registered public accounting firm to audit Senti’s consolidated financial statements as of and for the year ending December 31, 2022. KPMG served as the independent registered public accounting firm of Senti prior to the Business Combination. During the period from March 1, 2021 (inception) through December 31, 2021, and the subsequent interim period through June 8, 2022, Senti did not consult with KPMG with respect to (i) the application of accounting principles to a specified transaction, either completed or proposed, the type of audit opinion that might be rendered on Senti’s financial statements, and neither a written report nor oral advice was provided to Senti that KPMG concluded was an important factor considered by Senti in reaching a decision as to any accounting, auditing or financial reporting issue, or (ii) any other matter that was the subject of a disagreement or a reportable event (as defined above).</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80"/>
          </w:cols>
          <w:pgMar w:left="320" w:top="482"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Senti Common Shares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https://sentibio.com/.</w:t>
      </w:r>
      <w:r>
        <w:rPr>
          <w:rFonts w:ascii="Times New Roman" w:cs="Times New Roman" w:eastAsia="Times New Roman" w:hAnsi="Times New Roman"/>
          <w:sz w:val="18"/>
          <w:szCs w:val="18"/>
          <w:color w:val="auto"/>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Information contained on our website is not a part of or incorporated by reference into this prospectus and the inclusion of our website and investor relations website addresses in this prospectus is an inactive textual reference only.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80"/>
          </w:cols>
          <w:pgMar w:left="320" w:top="482"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 INDEX TO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(Audited) for the period from March 1, 2021 (inception) to December 31, 2021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2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 as of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Operations for the period from March 1, 2021 (inception) through December 31, 2021</w:t>
            </w:r>
          </w:p>
        </w:tc>
        <w:tc>
          <w:tcPr>
            <w:tcW w:w="24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97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Stockholder’s Deficit for the period from March 1, 2021 (inception) through December 31, 2021</w:t>
            </w:r>
          </w:p>
        </w:tc>
        <w:tc>
          <w:tcPr>
            <w:tcW w:w="8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Cash Flows for the period from March 1, 2021 (inception) through December 31, 2021</w:t>
            </w:r>
          </w:p>
        </w:tc>
        <w:tc>
          <w:tcPr>
            <w:tcW w:w="23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 for the three months ended March 31, 2022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28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Consolidated Balance Sheets as of March 31, 2022 and December 31, 2021</w:t>
            </w:r>
          </w:p>
        </w:tc>
        <w:tc>
          <w:tcPr>
            <w:tcW w:w="4280" w:type="dxa"/>
            <w:vAlign w:val="bottom"/>
            <w:gridSpan w:val="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96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2022 and for the period from March 1, 2021</w:t>
            </w:r>
          </w:p>
        </w:tc>
        <w:tc>
          <w:tcPr>
            <w:tcW w:w="92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(inception) through March 31, 2021</w:t>
            </w:r>
          </w:p>
        </w:tc>
        <w:tc>
          <w:tcPr>
            <w:tcW w:w="780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104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(Deficit) for the three months ended March 31, 2022 and for the period</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from March 1, 2021 (inception) through March 31, 2021</w:t>
            </w:r>
          </w:p>
        </w:tc>
        <w:tc>
          <w:tcPr>
            <w:tcW w:w="63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97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for the period from March 1, 2021</w:t>
            </w:r>
          </w:p>
        </w:tc>
        <w:tc>
          <w:tcPr>
            <w:tcW w:w="8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(inception) through March 31, 2021</w:t>
            </w:r>
          </w:p>
        </w:tc>
        <w:tc>
          <w:tcPr>
            <w:tcW w:w="780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SENTI BIOSCIENCES,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(Audited) for the years ended December 31, 2020 and December 31, 2021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2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F-47</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58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F-48</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196"/>
        </w:trPr>
        <w:tc>
          <w:tcPr>
            <w:tcW w:w="6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70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20"/>
        </w:trPr>
        <w:tc>
          <w:tcPr>
            <w:tcW w:w="29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 for the three and six months ended June 30, 2022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5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F-80</w:t>
            </w:r>
          </w:p>
        </w:tc>
        <w:tc>
          <w:tcPr>
            <w:tcW w:w="0" w:type="dxa"/>
            <w:vAlign w:val="bottom"/>
          </w:tcPr>
          <w:p>
            <w:pPr>
              <w:spacing w:after="0"/>
              <w:rPr>
                <w:sz w:val="1"/>
                <w:szCs w:val="1"/>
                <w:color w:val="auto"/>
              </w:rPr>
            </w:pPr>
          </w:p>
        </w:tc>
      </w:tr>
      <w:tr>
        <w:trPr>
          <w:trHeight w:val="20"/>
        </w:trPr>
        <w:tc>
          <w:tcPr>
            <w:tcW w:w="292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504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Redeemable Convertible Preferred Stock and Stockholders’ Deficit</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F-82</w:t>
            </w:r>
          </w:p>
        </w:tc>
        <w:tc>
          <w:tcPr>
            <w:tcW w:w="0" w:type="dxa"/>
            <w:vAlign w:val="bottom"/>
          </w:tcPr>
          <w:p>
            <w:pPr>
              <w:spacing w:after="0"/>
              <w:rPr>
                <w:sz w:val="1"/>
                <w:szCs w:val="1"/>
                <w:color w:val="auto"/>
              </w:rPr>
            </w:pPr>
          </w:p>
        </w:tc>
      </w:tr>
      <w:tr>
        <w:trPr>
          <w:trHeight w:val="196"/>
        </w:trPr>
        <w:tc>
          <w:tcPr>
            <w:tcW w:w="76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9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20"/>
        </w:trPr>
        <w:tc>
          <w:tcPr>
            <w:tcW w:w="3700" w:type="dxa"/>
            <w:vAlign w:val="bottom"/>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F-85</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1"/>
          </w:tcPr>
          <w:p>
            <w:pPr>
              <w:jc w:val="center"/>
              <w:ind w:right="434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Dynamics Special Purpose Corp.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Dynamics Special Purpose Corp.(the “Company”) as of December 31, 2021, the related consolidated statements of operations, changes in stockholders’ deficit and cash flows for the period from March 1,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March 1, 2021 (inception) through December 31, 2021,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and the Company’s cash and working capital as of December 31, 2021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from 2021 to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7,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7"/>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DYNAMICS SPECIAL PURPOSE CORP.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889,323</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408,042</w:t>
            </w:r>
          </w:p>
        </w:tc>
        <w:tc>
          <w:tcPr>
            <w:tcW w:w="10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560" w:type="dxa"/>
            <w:vAlign w:val="bottom"/>
            <w:tcBorders>
              <w:top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1,297,365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 noncurrent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230,008,784</w:t>
            </w:r>
          </w:p>
        </w:tc>
        <w:tc>
          <w:tcPr>
            <w:tcW w:w="100" w:type="dxa"/>
            <w:vAlign w:val="bottom"/>
            <w:shd w:val="clear" w:color="auto" w:fill="CCEEFF"/>
          </w:tcPr>
          <w:p>
            <w:pPr>
              <w:spacing w:after="0"/>
              <w:rPr>
                <w:sz w:val="18"/>
                <w:szCs w:val="18"/>
                <w:color w:val="auto"/>
              </w:rPr>
            </w:pPr>
          </w:p>
        </w:tc>
      </w:tr>
      <w:tr>
        <w:trPr>
          <w:trHeight w:val="263"/>
        </w:trPr>
        <w:tc>
          <w:tcPr>
            <w:tcW w:w="120" w:type="dxa"/>
            <w:vAlign w:val="bottom"/>
          </w:tcPr>
          <w:p>
            <w:pPr>
              <w:spacing w:after="0"/>
              <w:rPr>
                <w:sz w:val="22"/>
                <w:szCs w:val="22"/>
                <w:color w:val="auto"/>
              </w:rPr>
            </w:pPr>
          </w:p>
        </w:tc>
        <w:tc>
          <w:tcPr>
            <w:tcW w:w="9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39,520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3,078,822</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163,839</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3,282,181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7,050,000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10,332,181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4"/>
        </w:trPr>
        <w:tc>
          <w:tcPr>
            <w:tcW w:w="120" w:type="dxa"/>
            <w:vAlign w:val="bottom"/>
          </w:tcPr>
          <w:p>
            <w:pPr>
              <w:spacing w:after="0"/>
              <w:rPr>
                <w:sz w:val="16"/>
                <w:szCs w:val="16"/>
                <w:color w:val="auto"/>
              </w:rPr>
            </w:pPr>
          </w:p>
        </w:tc>
        <w:tc>
          <w:tcPr>
            <w:tcW w:w="9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Class A common stock subject to possible redemption, 23,000,000 shares at redemption value (assumed to be $10.00 per</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20" w:type="dxa"/>
            <w:vAlign w:val="bottom"/>
          </w:tcPr>
          <w:p>
            <w:pPr>
              <w:spacing w:after="0"/>
              <w:rPr>
                <w:sz w:val="20"/>
                <w:szCs w:val="20"/>
                <w:color w:val="auto"/>
              </w:rPr>
            </w:pPr>
          </w:p>
        </w:tc>
        <w:tc>
          <w:tcPr>
            <w:tcW w:w="9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230,000,000</w:t>
            </w: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95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23,715,500 shares issued; 715,500 shares</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95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(excluding 23,000,000 shares subject to possible redemption)</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B common stock, $0.0001 par value; 10,000,000 shares authorized; 5,750,000 shares issued and outstanding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Additionalpaid-incapital</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(8,876,165)</w:t>
            </w:r>
          </w:p>
        </w:tc>
      </w:tr>
      <w:tr>
        <w:trPr>
          <w:trHeight w:val="223"/>
        </w:trPr>
        <w:tc>
          <w:tcPr>
            <w:tcW w:w="120" w:type="dxa"/>
            <w:vAlign w:val="bottom"/>
          </w:tcPr>
          <w:p>
            <w:pPr>
              <w:spacing w:after="0"/>
              <w:rPr>
                <w:sz w:val="19"/>
                <w:szCs w:val="19"/>
                <w:color w:val="auto"/>
              </w:rPr>
            </w:pPr>
          </w:p>
        </w:tc>
        <w:tc>
          <w:tcPr>
            <w:tcW w:w="9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(8,875,518)</w:t>
            </w:r>
          </w:p>
        </w:tc>
        <w:tc>
          <w:tcPr>
            <w:tcW w:w="120" w:type="dxa"/>
            <w:vAlign w:val="bottom"/>
            <w:tcBorders>
              <w:top w:val="single" w:sz="8" w:color="CCEEFF"/>
            </w:tcBorders>
            <w:gridSpan w:val="2"/>
            <w:shd w:val="clear" w:color="auto" w:fill="CCEEFF"/>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73" w:right="4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DYNAMICS SPECIAL PURPOSE CORP.</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PERIOD FROM MARCH 1, 2021 (INCEPTION) THROUGH DECEMBER 31, 2021</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3,702,033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(3,865,872)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(3,857,088)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A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B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73"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PERIOD FROM MARCH 1, 2021 (INCEPTION) THROUGH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66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1, 2021 (Inception)</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Class B common stock to Sponsor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5,750,000</w:t>
            </w: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24,425</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715,500 shares of Class A common</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in private placement to Sponsor, net of</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offering costs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715,500</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7,138,365</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7,138,437</w:t>
            </w: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Remeasurement of redeemable Class A</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stock to redemption amount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(7,162,790)</w:t>
            </w: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(6,019,077)</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(13,181,867)</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Waiver of deferred underwriting commissions by</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underwriter (see Note 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(3,857,088)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(3,857,088)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715,500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(8,876,165)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(8,875,518)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DYNAMICS SPECIAL PURPOSE CORP.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 FROM MARCH 1, 2021 (INCEPTION) THROUGH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(3,857,088)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(558,556)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3,078,822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(1,142,247)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deposited into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(230,000,000)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(230,000,000)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private placement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(523,430)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232,031,570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Class A common stock subject to redemption to redemption value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13,181,867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 in exchange for issuance of Class B common stock to Sponsor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Waiver of deferred underwriting commissions by underwriter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73"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Dynamics Special Purpose Corp. (the “Company”) is a blank check company incorporated in Delaware on March 1, 2021. As used herein, “the Company” refers to Dynamics Special Purpose Corp. and its wholly-owned andcontrolled subsidiary, Explore Merger Sub, Inc. (“Merger Sub”), unless the context indicates otherwise. The Company was formed for the purpose of entering into a merger, capital stock exchange, asset acquisition, stock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period from March 1, 2021 (inception) through December 31, 2021 relates to the Company’s formation, the initial public offering (“Initial Public Offering”), which is described below, and identifying a target company for a Business Combination and negotiating and entering into binding agreements in respect of such Business Combination. The Company will not generate any operating revenues until after the completion of a Business Combination, at the earliest. The Company will generatenon-operatingincome in the form of interest income on the proceeds derived from the Initial Public Offering. The Company has selected December 31 as its fiscal year end.</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May 25, 2021. On May 28, 2021, the Company consummated the Initial Public Offering of 23,000,000 shares of Class A common stock (the “Public Shares”), including 3,000,000 shares of Class A common stock that were issued pursuant to the underwriter’s exercise ofitsover-allotment option in full, at $10.00 per Public Share, generating gross proceeds of $230,000,000, which is discussed in Note 3.</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715,500 shares of Class A common stock (the “Private Placement Shares”) at a price of $10.00 per Private Placement Share in a private placement to Dynamics Sponsor LLC (the “Sponsor”), generating gross proceeds of $7,155,000, which is described in Note 4.</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Transaction costs for the Initial Public Offering amounted to $13,198,430 consisting of $4,600,000 of underwriting fees, $8,050,000 of deferred underwriting fees, and $548,430 of other offering costs. Subsequent to the Initial Public Offering, the underwriter agreed on December 17, 2021 to waive $1,000,000 of its deferred underwriting fees of $8,050,000, thereby reducing those fees to $7,050,000; thus, the transaction costs related to our Initial Public Offering amounted to $12,198,430.</w:t>
      </w:r>
    </w:p>
    <w:p>
      <w:pPr>
        <w:spacing w:after="0" w:line="180"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Following the closing of the Initial Public Offering on May 28, 2021, an amount of $230,000,000 ($10.00 per Public Share) from the net proceeds of the sale of the Public Shares in the Initial Public Offering and the sale of the Private Placement Shares was placed in a trust account (the “Trust Account”), and will be invested only in U.S. government securities with maturities of 185 days or less,or in money market funds meeting certain conditions under Rule2a-7under the Investment Company Act which invest only in direct U.S. government treasury obligations, as determined by the Company, until the earlier of: (i) the completion of a Business Combination,and (ii) the distribution of the funds held in the Trust Account, as described below.</w:t>
      </w:r>
    </w:p>
    <w:p>
      <w:pPr>
        <w:spacing w:after="0" w:line="16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Shares, although substantially all of the net proceeds are intended to be applied generally toward consummating a Business Combination. There is no assurance that the Company will be able to complete a Business Combination successfully. The Company must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complete a Business Combination with one or more target businesses that together have an aggregate fair market value of at least 80% of the value of the Trust Account (excluding the deferred underwriting fees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1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subject to applicable law and stock exchange listing requirements. The stockholders will be entitled to redeem their Public Shares for a pro rata portion of the amount held in the Trust Account (initially anticipated to be $10.00 per share), calculated as of two business days prior to the completion of a Business Combination, including any pro rata interest earned on the funds held in the Trust Account and not previously released to the Company to pay its tax obligations.</w:t>
      </w:r>
    </w:p>
    <w:p>
      <w:pPr>
        <w:spacing w:after="0" w:line="18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consummation of such Business Combination and a majority of the shares voted are voted in favor of the Business Combination. If a stockholder vote is not required under applicable law or stock exchange listing requirements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Securities and Exchange Commission (“SEC”), and file tender offer documents with the SEC prior to completing a Business Combination. If the Company seeks stockholder approval in connection with a Business Combination, the holders of the Founder Shares (as defined in Note 5) have agreed to vote their Founder Shares, Private Placement Shares and any Public Shares purchased in or after the Initial Public Offering in favor of approving a Business Combination and to waive their redemption rights with respect to any such shares in connection with a stockholder vote to approve a Business Combination. Additionally, each public stockholder may elect to redeem their Public Shares without voting, and if they do vote, irrespective of whether they vote for or against the proposed Business Combination.</w:t>
      </w:r>
    </w:p>
    <w:p>
      <w:pPr>
        <w:spacing w:after="0" w:line="194"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it does not conduct redemptions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(a) their redemption rights with respect to any Founder Shares, Private Placement Shares and Public Shares they hold in connection with the completion of an initial Business Combination, (b) their redemption rights with respect to any Founder Shares, Private Placement Shares and Public Shares they hold in connection with a stockholder vote to approve an amendment to the Amended and Restated Certificate of Incorporation to modify the substance or timing of the Company’s obligation to allow redemption in connection with an initial Business Combination or to redeem 100% of the Public Shares if the Company has not consummated an initial Business Combination within 24 months from the closing of the Initial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3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Public Offering or with respect to any material provision relating to the rights of holders of Public Shares, and (c) their rights to liquidating distributions from the Trust Account with respect to any Founder Shares and Private Placement Shares they hold if the Company fails to complete an initial Business Combination within 24 months from the closing of the Initial Public Offering. However, if the initial stockholders acquire Public Shares in or after the Initial Public Offering, such Public Shares will be entitled to liquidating distributions from the Trust Account if the Company fails to complete a Business Combination within the Combination Period (as defined below).</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will have until May 28, 2023 to complete a Business Combination (the “Combination Period”). If the Company is unable to complete a Business Combination within the Combination Period, the Company will (i) cease all operations except for the purpose of winding up, (ii) as promptly as reasonably possible but no more than ten business days thereafter, subject to lawfully available funds therefor, redeem the Public Shares at aper-shareprice, payable in cash, equal to the aggregate amount then on deposit in the Trust Account,including interest earned on the funds held in the Trust Account and not previously released to the Company to pay its franchise and income taxes (less up to $100,000 ofinterest to pay dissolution expenses), divided by the number of then-outstanding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board of directors, dissolve and liquidate, subject in each case to the Company’s obligations under Delaware law to provide for claims of creditors and the requirements of other applicable law.</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underwriter has agreed to waive its rights to its deferred underwriting commission (see Note 6)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Public Share ($10.00).</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in the Trust Account, the Sponsor has agreed that it will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the actual amount per Public Share held in the Trust Account as of the date of the liquidation of the Trust Account, if less than$10.00per Public Share due to reductions in the value of the Trust Account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(other than the Company’s independent registered accounting firm), prospective target businesses or other entities with which the Company does business, execute agreements with the Company waiving any right, title, interest or claim of any kind in or to monies held in the Trust Account.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 December 19, 2021, the Company entered into a business combination agreement (the “Business Combination Agreement”) by and among the Company, Merger Sub and Senti Biosciences, Inc., a Delaware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corporation (“Senti”). The Business Combination Agreement provides, among other things, that on the terms and subject to the conditions set forth therein, Merger Sub will merge with and into Senti, with Senti surviving as a wholly-owned subsidiary of the Company (the “Merger”). Upon the closing of the Merger (the “Closing”), the Company will change its name to “Senti Biosciences, Inc.” The date on which the Closing actually occurs is hereinafter referred to as the “Closing Date.”</w:t>
      </w:r>
    </w:p>
    <w:p>
      <w:pPr>
        <w:spacing w:after="0" w:line="178" w:lineRule="exact"/>
        <w:rPr>
          <w:sz w:val="20"/>
          <w:szCs w:val="20"/>
          <w:color w:val="auto"/>
        </w:rPr>
      </w:pPr>
    </w:p>
    <w:p>
      <w:pPr>
        <w:ind w:left="120" w:right="140"/>
        <w:spacing w:after="0" w:line="315" w:lineRule="auto"/>
        <w:rPr>
          <w:sz w:val="20"/>
          <w:szCs w:val="20"/>
          <w:color w:val="auto"/>
        </w:rPr>
      </w:pPr>
      <w:r>
        <w:rPr>
          <w:rFonts w:ascii="Times New Roman" w:cs="Times New Roman" w:eastAsia="Times New Roman" w:hAnsi="Times New Roman"/>
          <w:sz w:val="17"/>
          <w:szCs w:val="17"/>
          <w:color w:val="auto"/>
        </w:rPr>
        <w:t>The Business Combination Agreement and the transactions contemplated thereby are referred to in these</w:t>
      </w:r>
      <w:r>
        <w:rPr>
          <w:rFonts w:ascii="Times New Roman" w:cs="Times New Roman" w:eastAsia="Times New Roman" w:hAnsi="Times New Roman"/>
          <w:sz w:val="17"/>
          <w:szCs w:val="17"/>
          <w:i w:val="1"/>
          <w:iCs w:val="1"/>
          <w:color w:val="auto"/>
        </w:rPr>
        <w:t>Notes to Consolidated Financial Statements</w:t>
      </w:r>
      <w:r>
        <w:rPr>
          <w:rFonts w:ascii="Times New Roman" w:cs="Times New Roman" w:eastAsia="Times New Roman" w:hAnsi="Times New Roman"/>
          <w:sz w:val="17"/>
          <w:szCs w:val="17"/>
          <w:color w:val="auto"/>
        </w:rPr>
        <w:t>as the “Senti Business Combination.” The Senti Business Combination was approved by the boards of directors of each of the Company and Senti.</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the Company will acquire all of the outstanding equity interests of Senti in exchange for shares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Class A common stock, par value $0.0001 per share (the “Class A Common Stock”), based on an implied Senti equity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$240,000,000, to be paid to Senti stockholders at the effective time of the Merger (the “Effective Time”). In addition, Senti stockholders will have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receive (i) an aggregateof 1,000,000 shares of Class A Common Stock if, after Closing, the volume weighted average price of the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on the Nasdaq Capital Market (“Nasdaq”), or any other national securities exchange on which the shares of Class A Common Stock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then traded (“VWAP”), is greater thanor equal to $15.00 over any 20 trading days within any consecutive 30 trading day period, in the period that ends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on the second anniversary of the Closing, and (ii) an additional 1,000,000 shares of Class A Common Stock in the aggregate if, after Closing, the VWAP</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Class A Common Stock is greater than or equal to $20.00 over any 20 trading days within any consecutive 30 trading day period, in the period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ends on the third anniversary of the Closing.</w:t>
      </w:r>
    </w:p>
    <w:p>
      <w:pPr>
        <w:spacing w:after="0" w:line="207"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at or prior to the Effective Time, each option exercisable for Senti equity that is outstanding immediately prior to the Effective Time shall be assumed by the Company and continue in full force and effect on the same terms and conditions as are currently applicable to such options, subject to adjustments to exercise price and number of shares of Class A Common Stock issued upon exercise.</w:t>
      </w:r>
    </w:p>
    <w:p>
      <w:pPr>
        <w:spacing w:after="0" w:line="15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to customary representations and warranties for transactions of this type. In addition, the parties to the Business Combination Agreement agreed to be bound by certain customary covenants for transactions of this type, including, among others, covenants with respect to the conduct of Senti, the Company and their respective subsidiaries during the period between execution of the Business Combination Agreement and Closing. The representations, warranties, agreements and covenants of the parties set forth in the Business Combination Agreement will terminate at Closing, except for those covenants and agreements that, by their terms, contemplate performance after Closing. Each of the parties to the Business Combination Agreement has agreed to use its reasonable best efforts to take or cause to be taken all actions, and to do or cause to be done all things, reasonably necessary to consummate and expeditiously implement the Merger.</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Business Combination Agreement, the obligations of the parties to consummate the Merger are subject to the satisfaction or waiver of certain customary closing conditions of the respective parties, including, without limitation: (i) the approval and adoption of the Business Combination Agreement and transactions contemplated thereby by requisite vote of the Company’s stockholders (the “Company Stockholder Approval”) and Senti’s stockholders (the “Senti Stockholder Approval”); (ii) the expiration or termination of the applicable waiting period under the Hart-Scott-Rodino Antitrust Improvements Act of 1976, as amended; (iii) the absence of a Company Material Adverse Effect or DYNS Material Adverse Effect (each, as defined in the Business Combination Agreement) since the date of the Business Combination Agreement that is continuing; (iv) after giving effect to the transactions contemplated by the Business Combination Agreement, the Company has net tangible assets of at least $5,000,001 upon consummation of the Merger; (v) the Company’s initial listing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80" w:right="80"/>
        <w:spacing w:after="0" w:line="254" w:lineRule="auto"/>
        <w:rPr>
          <w:sz w:val="20"/>
          <w:szCs w:val="20"/>
          <w:color w:val="auto"/>
        </w:rPr>
      </w:pPr>
      <w:r>
        <w:rPr>
          <w:rFonts w:ascii="Times New Roman" w:cs="Times New Roman" w:eastAsia="Times New Roman" w:hAnsi="Times New Roman"/>
          <w:sz w:val="18"/>
          <w:szCs w:val="18"/>
          <w:color w:val="auto"/>
        </w:rPr>
        <w:t>application with Nasdaq in connection with the Merger has been approved and, immediately following the Effective Time, the Company has satisfied any applicable initial and continuing listing requirements of Nasdaq and the shares of the Company’s Class A Common Stock have been approved for listing on Nasdaq, subject only to official notice of the issuance thereof; and (vi) the registration statement filed with the SEC on Form S-4 (the “Registration Statement”) has become effective, no stop order has been issued by the SEC and remains in effect with respect to the Registration Statement, and no proceeding seeking such a stop order has been threatened or initiated by the SEC and remains pending. In addition, Senti’s obligation to consummate the Merger is subject to the condition that the Available Closing Cash (as defined in the Business Combination Agreement) shall be greater than or equal to $150,000,000 (after reduction for the aggregate amount of payments made or required to be made in connection with the DYNS Stockholder Redemption (as defined in the Business Combination Agreement)) and the amount of funds available pursuant to the PIPE Financing (as defined in the Business Combination Agreement).</w:t>
      </w:r>
    </w:p>
    <w:p>
      <w:pPr>
        <w:spacing w:after="0" w:line="188" w:lineRule="exact"/>
        <w:rPr>
          <w:sz w:val="20"/>
          <w:szCs w:val="20"/>
          <w:color w:val="auto"/>
        </w:rPr>
      </w:pPr>
    </w:p>
    <w:p>
      <w:pPr>
        <w:ind w:left="180" w:right="60"/>
        <w:spacing w:after="0" w:line="266" w:lineRule="auto"/>
        <w:rPr>
          <w:sz w:val="20"/>
          <w:szCs w:val="20"/>
          <w:color w:val="auto"/>
        </w:rPr>
      </w:pPr>
      <w:r>
        <w:rPr>
          <w:rFonts w:ascii="Times New Roman" w:cs="Times New Roman" w:eastAsia="Times New Roman" w:hAnsi="Times New Roman"/>
          <w:sz w:val="18"/>
          <w:szCs w:val="18"/>
          <w:color w:val="auto"/>
        </w:rPr>
        <w:t>On February 12, 2022, following the period to which these consolidated financial statements relate, the Business Combination Agreement was amended by the parties thereto to reflect, among other things, (i) a correction to section 5.7 of the Business Combination Agreement, and (ii) changes to the options Senti granted to certain persons at the time the Business Combination Agreement was signed.</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ind w:left="180" w:right="7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180"/>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sole holder of the Company’s Class B common stock, par value$0.0001per share (the “Class B Common Stock”, and also referred to herein as the Founder Shares (as defined in Note 5)) and other persons party thereto (“Other Company Insiders,” and together with the Sponsor, collectively, the “Company Insiders”), entered into a support agreement with the Company and Senti (the “Sponsor Support Agreement”). Under the Sponsor Support Agreement, the Sponsor agreed to vote, at any meeting of the stockholders of the Company and in any action by written consent of the stockholders of the Company, all of such Sponsor’s Class A Common Stock and Class B Common Stock (i) in favor of (a) the Business Combination Agreement and the transactions contemplated thereby, and (b) the other proposals that the Company and Senti agreed in the Business Combination Agreement shall be submitted at such meeting for approval by the Company’s stockholders together with the proposal to obtain the Company Stockholder Approval (together with the Company Stockholder Approval, these proposals are the Required Transaction Proposals (as defined in the Business Combination Agreement)), and (ii) against any proposal that conflicts with, or materially impedes or interferes with, any such proposal or that would adversely affect or delay the Merger. The Sponsor Support Agreement also prohibits the Sponsor from, among other things and subject to certain exceptions, selling, assigning or transferring any Class A Common Stock or Class B Common Stock held by the Sponsor prior to the Closing or taking any action that would have the effect of preventing or materially delaying the Sponsor from performing its obligations under the Sponsor Support Agreement. In addition, in the Sponsor Support Agreement, the Sponsor agreed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195" w:lineRule="exact"/>
        <w:rPr>
          <w:sz w:val="20"/>
          <w:szCs w:val="20"/>
          <w:color w:val="auto"/>
        </w:rPr>
      </w:pPr>
    </w:p>
    <w:p>
      <w:pPr>
        <w:ind w:left="180" w:right="220"/>
        <w:spacing w:after="0" w:line="282" w:lineRule="auto"/>
        <w:rPr>
          <w:sz w:val="20"/>
          <w:szCs w:val="20"/>
          <w:color w:val="auto"/>
        </w:rPr>
      </w:pPr>
      <w:r>
        <w:rPr>
          <w:rFonts w:ascii="Times New Roman" w:cs="Times New Roman" w:eastAsia="Times New Roman" w:hAnsi="Times New Roman"/>
          <w:sz w:val="18"/>
          <w:szCs w:val="18"/>
          <w:color w:val="auto"/>
        </w:rPr>
        <w:t>The Sponsor Support Agreement also includes a lock-up in respect of the Sponsor’s equity interests in the Company. Pursuant to the Sponsor Support Agreement, the Sponsor agreed that, subject to limited exceptions, 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80"/>
          </w:cols>
          <w:pgMar w:left="260" w:top="482"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would not sell, assign or transfer any Class A Common Stock or Class B Common Stock until the earlier of (i) the one year anniversary of the Closing, and (ii) subsequent to the Closing, (x) if the last reported sale price of the Class A Common Stock equals or exceeds $12.00 per share (as adjusted for stock splits, stock dividends, reorganizations, recapitalizations and the like) for any 20 trading days within any 30 consecutive trading day period commencing at least 150 days after the Closing, or (y) the date upon completion of a liquidation, merger, stock exchange, reorganization or other similar transaction that results in all of the public stockholders having the right to exchange their common stock for cash, securities or other property.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Senti Support Agreement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Senti stockholders (the “Senti Supporting Stockholders”) entered into support agreements with the Company (the “Senti Support Agreements”). Under the Senti Support Agreements, each Senti Supporting Stockholder agreed, within forty-eight hoursfollowing the effectiveness of the Registration Statement, to execute and deliver a written consent with respect to all outstanding shares of Senti common stock and preferred stock held by such Senti Supporting Stockholder (the “Subject Senti Shares”) approving the Business Combination Agreement and the transactions contemplated thereby. In addition to the foregoing, each Senti Supporting Stockholder agreed that, at any meeting of the holders of Senti capital stock, each such Senti Supporting Stockholder will appear at the meeting, in person or by proxy, and cause its Subject Senti Shares to be voted (i) to approve and adopt the Business Combination Agreement, the transactions contemplated thereby, and any other matters necessary or reasonably requested by Senti for consummation of the Merger, and (ii) against any proposal that conflicts or materially impedes or interferes with, or would adversely affect or delay, the consummation of the transactions contemplated by the Business Combination Agreement.</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Senti Support Agreement also prohibits the Senti Supporting Stockholders from, among other things, (i) transferring any of the Subject Senti Shares prior to the Closing, (ii) entering into (a) any option, commitment or other arrangement that would require the Senti Supporting Stockholders to transfer the Subject Senti Shares, or (b) any voting trust, proxy or other contract with respect to the voting of the Subject Senti Shares, or (iii) taking any action in furtherance of the foregoing. In addition, under the Senti Support Agreement, each Senti Supporting Stockholder agreed (i) not to exercise any rights of appraisal or dissenter’s rights relating to the Business Combination Agreement and the transactions contemplated thereby, and (ii) not to commence or participate in any claim or action against Senti, the Company or any of their affiliates relating to the negotiation, execution or delivery of the Senti Support Agreement or the Business Combination Agreement or the consummation of the Merger.</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Additionally, (i) certain Senti Support Agreements prohibit the applicable Senti Supporting Stockholders from transferring the shares of Class A Common Stock which they will receive in the Merger for, subject to certain permitted transfers, up to 18months following the Closing, which may be reducedto 12months upon the meeting of certain criteria (such period, the “ExtendedLock-Up”),and (ii) certain other Senti Support Agreements prohibit the applicable Senti Supporting Stockholders from transferring the shares of Class A Common Stock which they will receive in the Merger for, subject to certain permitted transfers,12months following the Closing (such period, the “GeneralLock-Up”);provided that, (a) with respect to the ExtendedLock-Up,if the last reported sale price of the Class A Common Stock on Nasdaq, or any other national securities exchange on which the Class A Common Stock is then traded, is greater than or equal to$12.00per share over any20trading days within any consecutive 30trading day commencing at least330days after the Closing Date, then the ExtendedLock-Upshall be deemed to have expired with respect to each stockholder’s Class A Common Stock subject to that lock-up, and (b) with respect to the GeneralLock-Up,if the last reported sale price of the Class A Common Stock on Nasdaq, or any other national securities exchange on which the Class A Common Stock is then traded, is greater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than or equal to$12.00 per share over any 20 trading days within any consecutive 30trading day period commencing at least150days after the Closing Date, then the GeneralLock-Upshall be deemed to have expired with respect to each stockholder’s Class A Common Stock subject to that lock-up.</w:t>
      </w:r>
    </w:p>
    <w:p>
      <w:pPr>
        <w:spacing w:after="0" w:line="14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On February 12, 2022, following the period to which these consolidated financial statements relate, the Company entered into amendments to certain Senti Support Agreements to amend those agreements such that, among other things, the shares of Class A Common Stock of the relevant Senti Supporting Stockholders may not be transferred, subject to certain permitted transfers, for three years following the Closing (such period, “the Three Year Lock-Up”). Unlike the Extended Lock-Up and the General Lock-Up described above, the Three Year Lock-Up does not terminate early based on the share price performance of Class A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Company entered into subscription agreements with certain private investors (the “Subscription Agreements”), pursuant to which, among other things, such investors have subscribed to purchase an aggregate of6,680,000shares of Class A Common Stock (together, the “Subscriptions”) for a purchase priceof $10.00per share, or an aggregate purchase price of $66,800,000, which shares are to be issued at the Closing; provided that the Subscription Agreements permit the Company to accept additional subscriptions for a purchase price of$10.00per share to be issued at the Closing, following the execution of the Business Combination Agreement. The obligations of each party to consummate the Subscriptions are conditioned upon, among other things, customary closing conditions and the consummation of the transactions contemplated by the Business Combination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holder of 5,750,000 shares of Class B Common Stock (the Founder Shares (as defined in Note 5)), the Company and each of Morgan Stanley Investment Management Inc., T. Rowe Price Group, Inc., The Invus Group, LLC and ARK Investment Management LLC and/or their respective investment funds (each, an “Investor”, and collectively, the “Investors”) entered into non-redemption agreements in respect of the Public Shares held by the Investors (the “Non-Redemption Agreements”).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each Investor agreed for the benefit of the Company (a) to not redeem the shares of Class A Common Stock beneficially owned by it, or any other shares, capital stock or other equity interests, as applicable, of the Company, which it held on the date of the Non-Redemption Agreement, representing 8,691,655 shares of Class A Common Stock, in the aggregate (the “Investor Shares”), and (b) to not, among other things, sell, encumber or otherwise transfer the Investor Shares other than in connection with non-discretionary ETF or mutual fund pro rata rebalancing transfers. In connection with these commitments from the Investors, the Sponsor agreed to forfeit 965,728 shares of its Class B Common Stock and the Company has agreed to cancel such shares and concurrently issue to the Investors an equivalent number of shares of Class A Common Stock, in each case, at or promptly following the consummation of the Merger.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Company, certain stockholders of the Company (including the Sponsor) and certain stockholders of Senti will enter into an investor rights and lock-up agreement (the “Investor Rights Agreement”). Pursuant to the Investor Rights Agreement, each signatory thereto (other than the Company) will be granted certain registration rights with respect to their respective shares of Class A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82"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Investor Rights Agreement will also restrict the ability of each stockholder who is a party thereto (other than the Company) to transfer its shares of Class A Common Stock (or any securities convertible into or exercisable or exchangeable for shares of Class A Common Stock) for, subject to certain permitted transfers and depending on the stockholder, a period of one year following the Closing Date (the “12 Month Lock-Up”) or a period of 18 months following the Closing Date (the “18 Month Lock-Up”); provided that (i) the foregoing restrictions shall not apply to any shares of Class A Common Stock purchased pursuant to the Subscription Agreements and (ii)(A) in respect of the 12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150 days after the Closing Date, then the 12 Month Lock-Up shall be deemed to have expired with respect to each stockholder’s Class A Common Stock subject to that lock-up; and</w:t>
      </w:r>
    </w:p>
    <w:p>
      <w:pPr>
        <w:spacing w:after="0" w:line="1" w:lineRule="exact"/>
        <w:rPr>
          <w:sz w:val="20"/>
          <w:szCs w:val="20"/>
          <w:color w:val="auto"/>
        </w:rPr>
      </w:pPr>
    </w:p>
    <w:p>
      <w:pPr>
        <w:ind w:left="120" w:right="220" w:hanging="4"/>
        <w:spacing w:after="0" w:line="253" w:lineRule="auto"/>
        <w:tabs>
          <w:tab w:leader="none" w:pos="4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18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330 days after the Closing Date, then the 18 Month Lock-Up shall be deemed to have expired with respect to each stockholder’s Class A Common Stock subject to that lock-up.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$889,323 in cash held outside of the Trust Account and a working capital deficit of $1,984,816. The Company has incurred and expects to continue to incur significant costs in pursuit of its acquisition plans (including in respect of the Senti Business Combination). These conditions raise substantial doubt about the Company’s ability to continue as a going concern for a period of time within one year after the date that the consolidated financial statements are issued. Management plans to address this uncertainty through the Senti Business Combination, as discussed above. There is no assurance that the Company’s plans to consummate the Senti Business Combination (or any other Business Combination) will be successful or successful within the Combination Period. The consolidated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 and Financial Statement Presentation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are presented in conformity with accounting principles generally accepted in the United States of America (“GAAP”) and pursuant to the rules and regulations of the SEC.</w:t>
      </w:r>
    </w:p>
    <w:p>
      <w:pPr>
        <w:spacing w:after="0" w:line="16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and controlled subsidiary, Merger Sub, after elimination of any intercompany transactions and balances as of December 31, 2021.</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82"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and the reported amounts of expenses during the reporting period.</w:t>
      </w:r>
    </w:p>
    <w:p>
      <w:pPr>
        <w:spacing w:after="0" w:line="176"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from those estimates.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As of December 31, 2021, we had operating cash (i.e. cash held outside the Trust Account) of $889,323.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2021, the assets held in the Trust Account were comprised of U.S. government securities, within the meaning set forth in Section 2(a) (16) of the Investment Company Act, with maturities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Company’s investments held in the Trust Account are comprised of money market funds, the investments are recognized at fair value. Trading securities and investments in money market funds are presented on the consolidated balance sheet at fair value at the end of each reporting period. Gains and losses resulting from the change in fair value of these securities are reported in the statements of operations. The estimated fair values of investments held in the Trust Account are determined using available market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The Public Shares sold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Accounting Standards Codification (“ASC”) Topic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w:t>
      </w:r>
      <w:r>
        <w:rPr>
          <w:rFonts w:ascii="Times New Roman" w:cs="Times New Roman" w:eastAsia="Times New Roman" w:hAnsi="Times New Roman"/>
          <w:sz w:val="18"/>
          <w:szCs w:val="18"/>
          <w:color w:val="auto"/>
        </w:rPr>
        <w:t>y, redemption provisions not solely within the control of the Company require common stock subject to redemption to be classified outside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permanent equity. Therefore, all Class A Common Stock has been classified outside of permanent equity.</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of December 31, 2021, the Investor Shares (see Note 1) are classified as temporary equity within Class A Common Stock subject to redemption in the Company’s consolidated balance sheet. The Non-Redemption Agreements are terminated in the event that the Business Combination Agreement as described above is terminated. As such, the Company determined that the Non-Redemption Agreements are contingent upon the successful completion of the Senti Business Combination. In the event that the Senti Business Combination is not successful, the Non-Redemption Agreements are terminated, and the Investors would again have the right to redeem the Investor Shares. As such, the Company determined that the Non-Redemption Agreements would not change the nature of the underlying shares as redeemable.</w:t>
      </w:r>
    </w:p>
    <w:p>
      <w:pPr>
        <w:spacing w:after="0" w:line="18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As of December 31, 2021, the Class A Common Stock subject to redemption reflected in the consolidated balance sheet is reconciled in the following table:</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$ 230,000,000</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allocated to Class A Common Stock</w:t>
            </w: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(13,181,867)</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13,181,867</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$ 230,000,000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$13,198,430 as a result of</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82"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Initial Public Offering (consisting of a $4,600,000 underwriting fee, $8,050,000 of deferred underwriting fees, and $548,430 of other offering costs). The Company recorded $13,181,867 of offering costs as a reduction of temporary equity in connection with the issuance of the Public Shares. The Company recorded $16,563 of offering costs as a reduction of permanent equity in connection with the issuance of the Private Placement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estimated future tax consequences attributable to differences between the consolidated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weighted-average number of shares of common stock outstanding during the period. As the Public Shares are considered to be redeemable at fair value, and a redemption at fair value does not amount to a distribution different than other stockholders, Class A Common Stock and Class B Common Stock are presented as one class of stock in calculating net loss per share. As a result, the calculated net loss per share is the same for Class A Common Stock and Class B Common Stock. As of December 31,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common share (in dollars, except per share amounts):</w:t>
      </w:r>
    </w:p>
    <w:p>
      <w:pPr>
        <w:spacing w:after="0" w:line="246"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For the Period from March 1,</w:t>
      </w:r>
    </w:p>
    <w:p>
      <w:pPr>
        <w:jc w:val="center"/>
        <w:ind w:left="6320"/>
        <w:spacing w:after="0" w:line="229" w:lineRule="auto"/>
        <w:rPr>
          <w:sz w:val="20"/>
          <w:szCs w:val="20"/>
          <w:color w:val="auto"/>
        </w:rPr>
      </w:pPr>
      <w:r>
        <w:rPr>
          <w:rFonts w:ascii="Times New Roman" w:cs="Times New Roman" w:eastAsia="Times New Roman" w:hAnsi="Times New Roman"/>
          <w:sz w:val="14"/>
          <w:szCs w:val="14"/>
          <w:b w:val="1"/>
          <w:bCs w:val="1"/>
          <w:color w:val="auto"/>
        </w:rPr>
        <w:t>2021</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(Inception) Through December 31,</w:t>
      </w:r>
    </w:p>
    <w:p>
      <w:pPr>
        <w:jc w:val="center"/>
        <w:ind w:left="6320"/>
        <w:spacing w:after="0" w:line="232" w:lineRule="auto"/>
        <w:rPr>
          <w:sz w:val="20"/>
          <w:szCs w:val="20"/>
          <w:color w:val="auto"/>
        </w:rPr>
      </w:pPr>
      <w:r>
        <w:rPr>
          <w:rFonts w:ascii="Times New Roman" w:cs="Times New Roman" w:eastAsia="Times New Roman" w:hAnsi="Times New Roman"/>
          <w:sz w:val="14"/>
          <w:szCs w:val="14"/>
          <w:b w:val="1"/>
          <w:bCs w:val="1"/>
          <w:color w:val="auto"/>
        </w:rPr>
        <w:t>2021</w:t>
      </w:r>
    </w:p>
    <w:tbl>
      <w:tblPr>
        <w:tblLayout w:type="fixed"/>
        <w:tblInd w:w="100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(2,919,481)</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(937,607)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16,872,995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346"/>
        </w:trPr>
        <w:tc>
          <w:tcPr>
            <w:tcW w:w="56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F-17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current assets and current liabilities approximate fair value due to their short-term nature.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9 for additional information on assets and liabilities measured at fair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 — 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(Subtopic 470-20) and Derivatives and Hedging — Contracts in Entity’s Own Equity (Subtopic 815-40) </w:t>
      </w:r>
      <w:r>
        <w:rPr>
          <w:rFonts w:ascii="Times New Roman" w:cs="Times New Roman" w:eastAsia="Times New Roman" w:hAnsi="Times New Roman"/>
          <w:sz w:val="18"/>
          <w:szCs w:val="18"/>
          <w:color w:val="auto"/>
        </w:rPr>
        <w:t>(“ASU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82"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January 1, 2021. The Company adopted ASU 2020-06 effective January 1, 2021 using the modified retrospective method of transition. The adoption of ASU 2020-06 did not have a material impact on the consolidated financial statements for the fiscal year ended December 31, 2021.</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The registration statement for the Company’s Initial Public Offering was declared effective on May 25, 2021. On May 28, 2021, the Company completed its Initial Public Offering of 23,000,000 shares of Class A Common Stock, including 3,000,000 shares of Class A Common Stock that were issued pursuant to the underwriter’s exercise of its over-allotment option in full, at $10.00 per Public Share, generating gross proceeds of $230,000,000.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715,500 Private Placement Shares at a price of $10.00 per Private Placement Share, generating gross proceeds of $7,155,000. A portion of the proceeds from the sale of the Private Placement Shares was added to the net proceeds from the Initial Public Offering held in the Trust Account. If the Company does not complete a Business Combination within the Combination Period, the proceeds from the sale of the Private Placement Shares held in the Trust Account will be used to fund the redemption of the Public Shares (subject to the requirements of applicable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March 8, 2021, the Sponsor was issued 5,750,000 shares (the “Founder Shares”) of Class B Common Stock for an aggregate price of $25,000. The Founder Shares included an aggregate of up to 750,000 shares of Class B Common Stock subject to forfeiture by the Sponsor to the extent that the underwriter’s over-allotment option was not exercised in full or in part, so that the Sponsor would own, on an as-converted basis, 20% of the Company’s issued and outstanding shares after the Initial Public Offering (excluding the Private Placement Shares) (assuming the Sponsor did not purchase any Public Shares in the Initial Public Offering, which it did not). The underwriter fully exercised the over-allotment option on May 28, 2021; thus, these 750,000 Founder Shares are no longer subject to forfeiture.</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Non-Redemption Agreements (see Note 1), the Sponsor has agreed to forfeit 965,728 Founder Shares and the Company has agreed to cancel such Founder Shares and concurrently issue to the Investors an equivalent number of shares of Class A Common Stock, in each case, at or promptly following the consummation of the Merger. The Company evaluated the forfeiture and cancellation of the Founder Shares by the Sponsor and concurrent issuance of an equivalent number of shares of Class A Common Stock to the Investors in accordance with Staff Accounting Bulletin Topic5A. The forfeiture and cancellation of the Founder Shares by the Sponsor and concurrent issuance of an equivalent number of shares of Class A Common Stock to the Investors has not been transacted as of December 31, 2021 and will not occur until at or promptly following the consummation of the Merger. As such, any expense associated with the issuance of the shares of Class A Common Stock to the Investors would be recognized at the date of issuance (i.e., upon consummation of the Merger).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82"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On March 8, 2021, the Company issued an unsecured promissory note to the Sponsor (the “Promissory Note”), pursuant to which the Company could borrow an aggregate of up to $300,000 to cover expenses related to the Initial Public Offering. The Promissory Note was non-interest bearing and was payable on the earlier of December 31, 2021 or the consummation of the Initial Public Offering. In April 2021, the Company borrowed $250,000 under the Promissory Note which was repaid in full on May 26,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2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held in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Up to $2,000,000 of such Working Capital Loans may be convertible into shares at a price of $10.00 per share at the option of the lender. The shares would be identical to the Private Placement Shares.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the Sponsor up to a total of $10,000 per month for office space, administrative and support services. Upon the completion of an initial Business Combination, the Company will cease paying these monthly fees (if any). To date, the Company has not exercised its option to use such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Class A Common Stock issuable upon conversion of any Working Capital Loans have registration rights pursuant to a registration and stockholder rights agreement signed in connection with our Initial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an initial Business Combination. The Company will bear the expenses incurred in connection with the filing of any such registration statements.</w:t>
      </w:r>
    </w:p>
    <w:p>
      <w:pPr>
        <w:spacing w:after="0" w:line="183"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In addition, it is anticipated that each signatory to the Investor Rights Agreement (see Note 1), other than the Company, will be granted certain registration rights with respect to their respective shares of Class A Common Stock when that agreement is signed (which is expected to occur at Closing).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 of its Initial Public Offering a 45-day option to purchase up to 3,000,000 additional shares of Class A Common Stock to cover over-allotments at the Initial Public Offering price, less the underwriting discounts and commissions. The underwriter exercised the over-allotment option in full on May 28, 2021.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82"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the Initial Public Offering. In addition, $0.35 per share, or $8,050,000 in the aggregate was payable to the underwriter for deferred underwriting commissions. On December 17, 2021, the underwriter agreed to waive its right to $1,000,000 of the fee payable by the Company for deferred underwriting commissions. The waived fee was recorded to accumulated deficit. The revised deferred underwriting fee of $7,050,000 will become payable to the underwriter from the amount held in the Trust Account solely in the event that the Company completes a Business Combination, subject to the terms of the underwriting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Advisor Agreement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16, 2021, the Company entered into an agreement (the “Financial Advisor Agreement”) with Morgan Stanley &amp; Co. LLC (“Morgan Stanley”) for financial advisory services in connection with the Senti Business Combination, which services Morgan Stanley had been engaged to provide, and which services Morgan Stanley had provided, since August 4, 2021. The Financial Advisor Agreement shall terminate automatically on December 16, 2022 unless terminated earlier, with or without cause, by either the Company or Morgan Stanley. The Company will pay Morgan Stanley a fee of $1,000,000 upon the consummation of our proposed initial business combination with Senti.</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September 21, 2021, the Company entered into an agreement (the “Placement Agent Agreement”) with Morgan Stanley, J.P. Morgan Securities LLC and BofA Securities, Inc. (together, the “Placement Agents”) for services in connection with the placement of shares of our Class A Common Stock to certain private investors which is anticipated to occur concurrently with the completion the Senti Business Combination (i.e. the Subscriptions – see Note 1). The Placement Agent Agreement shall terminate automatically on August 28, 2022 unless terminated earlier, with or without cause, by either the Company or any Placement Agent (as to itself only). The Company will pay to the Placement Agents a total fee equal to 4.0% of the aggregate price at which the shares of our Class A Common Stock are sold to the private investors in the Subscriptions, which fee shall be payable upon the consummation of the placement of the shares. Each of the Placement Agents will receive 33.3% of the fee.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As set forth in “Part I, Item 1. Business” of this Report, we have entered into the Business Combination Agreement with Merger Sub and Senti pursuant to which, among other things, Merger Sub will merge with and into Senti, with Senti surviving as a wholly-owned subsidiary of the Company. We have also entered into various ancillary transaction documents to give effect to the Merger, which are described throughout this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11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December 31, 2021, there were no shares of preferred stock issued or outstanding.</w:t>
      </w:r>
    </w:p>
    <w:p>
      <w:pPr>
        <w:spacing w:after="0" w:line="171"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Common Stockare entitled to one vote for each share. As of December 31, 2021, there were 23,715,500 shares of Class A Common Stock issued and outstanding, including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82"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23,000,000 shares of Class A common stock subject to possible redemption. Despite the Non-Redemption Agreements discussed in Note 1, it is possible, in certain limited circumstances, for the Investors to transfer their Public Shares, and a transfer of such shares to a third party who is not bound by a Non-Redemption Agreement would render such shares subject to possible redemption.</w:t>
      </w:r>
    </w:p>
    <w:p>
      <w:pPr>
        <w:spacing w:after="0" w:line="17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B Common Stock are entitled to one vote for each share. As of December 31, 2021, there were 5,750,000 shares of Class BCommon Stock issued and outstanding. Of the 5,750,000 shares of Class B Common Stock initially issued and outstanding, up to 750,000 shares were subject to forfeiture to the Company by the Sponsor for no consideration to the extent that the underwriter’s over-allotment option was not exercised in full or in part, so that the initial stockholders would collectively own 20% of the Company’s issued and outstanding common stock after the Initial Public Offering (excluding the Private Placement Shares). The over-allotment option was exercised in full on May 28, 2021; thus, these shares are no longer subject to forfeiture.</w:t>
      </w:r>
    </w:p>
    <w:p>
      <w:pPr>
        <w:spacing w:after="0" w:line="187"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stockholders, including any vote in connection with an initial Business Combination, except where a vote of each class is required by law.</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shares of Class B Common Stock are convertible into shares of Class A Common Stock at the option of the holder and will automatically convert into shares of Class A Common Stock at the time of an initial Business Combination on a one-for-one basis (subject to adjustment for stock splits, stock dividends, reorganizations, recapitalizations and the like). In the case that additional shares of Class A Common Stock, or equity-linked securities, are issued or deemed issued in excess of the amounts offered in the Initial Public Offering and related to the closing of an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as is the case for the proposed Senti Business Combination) so that the number of shares of Class A Common Stock issuable upon conversion of all shares of Class B Common Stock will equal, in the aggregate, on an as-converted basis, 20% of the sum of (i) the total number of all shares of common stock outstanding upon the completion of the Initial Public Offering (excluding the Private Placement Shares), plus (ii) all shares of Class A Common Stock and equity-linked securities issued or deemed issued in connection with an initial Business Combination (excluding any shares of Class A Common Stock or equity-linked securities issued, or to be issued, to any seller in an initial Business Combination and any Private Placement Shares issued to the Sponsor or its affiliates upon conversion of any Working Capital Loans).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Start-upcosts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551,466</w:t>
            </w:r>
          </w:p>
        </w:tc>
      </w:tr>
      <w:tr>
        <w:trPr>
          <w:trHeight w:val="216"/>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32,562</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584,028</w:t>
            </w:r>
          </w:p>
        </w:tc>
        <w:tc>
          <w:tcPr>
            <w:tcW w:w="100" w:type="dxa"/>
            <w:vAlign w:val="bottom"/>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(584,028)</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3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3560" w:type="dxa"/>
            <w:vAlign w:val="bottom"/>
            <w:gridSpan w:val="2"/>
          </w:tcPr>
          <w:p>
            <w:pPr>
              <w:jc w:val="right"/>
              <w:ind w:right="2716"/>
              <w:spacing w:after="0"/>
              <w:rPr>
                <w:sz w:val="20"/>
                <w:szCs w:val="20"/>
                <w:color w:val="auto"/>
              </w:rPr>
            </w:pPr>
            <w:r>
              <w:rPr>
                <w:rFonts w:ascii="Times New Roman" w:cs="Times New Roman" w:eastAsia="Times New Roman" w:hAnsi="Times New Roman"/>
                <w:sz w:val="18"/>
                <w:szCs w:val="18"/>
                <w:color w:val="auto"/>
              </w:rPr>
              <w:t>F-22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income tax provision for the period from March 1, 2021 (inception) through December 31, 2021 consists of the following:</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(584,028)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584,028</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$155,000 that may be carried forward indefinitely.</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period ended December 31, 2021, the valuation allowance was $584,028.</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as of December 31, 2021 is as follows: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 transaction costs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19"/>
                <w:szCs w:val="19"/>
                <w:color w:val="auto"/>
              </w:rPr>
            </w:pPr>
          </w:p>
        </w:tc>
        <w:tc>
          <w:tcPr>
            <w:tcW w:w="76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period presented differ from the expected (statutory) rates due to the recording of full valuation allowances on deferred tax assets and permanent differences.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California which remain open and subject to examination.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that are measured at fair value on a recurring basis as of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 at Fair</w:t>
            </w:r>
          </w:p>
        </w:tc>
        <w:tc>
          <w:tcPr>
            <w:tcW w:w="15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U.S. Treasury Securities</w:t>
            </w: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$230,008,784</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8"/>
              </w:rPr>
              <w:t>$230,008,784</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consolidated balance sheet date up to the date that the consolidated financial statements were issued. Based upon this review, other than the amendments to the Business Combination Agreement and Senti Support Agreements as discussed in Note 1, the Company did not identify any subsequent events that would have required adjustment or disclosure in the consolidated financial statements.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82"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3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396,693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889,323</w:t>
            </w:r>
          </w:p>
        </w:tc>
      </w:tr>
      <w:tr>
        <w:trPr>
          <w:trHeight w:val="22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408,042</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827,152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1,297,365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 noncurrent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56,764</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150,514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230,031,946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230,008,784</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230,915,862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39,520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3,968,324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3,078,822</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163,839</w:t>
            </w:r>
          </w:p>
        </w:tc>
      </w:tr>
      <w:tr>
        <w:trPr>
          <w:trHeight w:val="22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4,051,229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3,282,181</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7,050,000</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11,101,229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10,332,181</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0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23,000,000 shares at redemption value (assumed to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 $10.00 per share)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230,000,000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230,000,000</w:t>
            </w:r>
          </w:p>
        </w:tc>
      </w:tr>
      <w:tr>
        <w:trPr>
          <w:trHeight w:val="108"/>
        </w:trPr>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23,715,500 shares issued;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715,500 shares outstanding (excluding 23,000,000 shares subject to possible redemption)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r>
      <w:tr>
        <w:trPr>
          <w:trHeight w:val="198"/>
        </w:trPr>
        <w:tc>
          <w:tcPr>
            <w:tcW w:w="8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5,750,000 shares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8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(10,186,014)</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(8,876,165)</w:t>
            </w: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(10,185,367)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(8,875,518)</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230,915,862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from March 1,</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1,282,742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50,269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(1,333,011)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23,162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(1,309,849</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A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23,715,500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B common stock</w:t>
            </w:r>
            <w:r>
              <w:rPr>
                <w:rFonts w:ascii="Times New Roman" w:cs="Times New Roman" w:eastAsia="Times New Roman" w:hAnsi="Times New Roman"/>
                <w:sz w:val="22"/>
                <w:szCs w:val="22"/>
                <w:color w:val="auto"/>
                <w:vertAlign w:val="sub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5,750,000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right="100" w:hanging="424"/>
        <w:spacing w:after="0" w:line="266"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March 1, 2021 (inception) through March 31, 2021 excludes up to 750,000 shares of Class B common stock which were subject to forfeiture if the over-allotment option was not exercised in full or in part by the underwriter. The over-allotment option was exercised in full on May 28, 2021; thus, these shares are no longer subject to forfeiture (see Notes 5 and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82"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40" w:type="dxa"/>
            <w:vAlign w:val="bottom"/>
            <w:gridSpan w:val="7"/>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4"/>
                <w:szCs w:val="14"/>
                <w:color w:val="auto"/>
              </w:rPr>
            </w:pPr>
          </w:p>
        </w:tc>
        <w:tc>
          <w:tcPr>
            <w:tcW w:w="1300" w:type="dxa"/>
            <w:vAlign w:val="bottom"/>
            <w:gridSpan w:val="7"/>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88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40" w:type="dxa"/>
            <w:vAlign w:val="bottom"/>
            <w:gridSpan w:val="3"/>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715,500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72</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5,750,000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1"/>
              </w:rPr>
              <w:t>575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(8,876,165)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(8,875,518)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(1,309,849)</w:t>
            </w:r>
          </w:p>
        </w:tc>
        <w:tc>
          <w:tcPr>
            <w:tcW w:w="22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(1,309,849)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72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5,750,000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(10,186,014)</w:t>
            </w: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(10,185,367)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080" w:type="dxa"/>
            <w:vAlign w:val="bottom"/>
            <w:gridSpan w:val="26"/>
          </w:tcPr>
          <w:p>
            <w:pPr>
              <w:ind w:left="1980"/>
              <w:spacing w:after="0"/>
              <w:rPr>
                <w:sz w:val="20"/>
                <w:szCs w:val="20"/>
                <w:color w:val="auto"/>
              </w:rPr>
            </w:pPr>
            <w:r>
              <w:rPr>
                <w:rFonts w:ascii="Times New Roman" w:cs="Times New Roman" w:eastAsia="Times New Roman" w:hAnsi="Times New Roman"/>
                <w:sz w:val="18"/>
                <w:szCs w:val="18"/>
                <w:b w:val="1"/>
                <w:bCs w:val="1"/>
                <w:color w:val="auto"/>
              </w:rPr>
              <w:t>FOR THE PERIOD FROM MARCH 1, 2021 (INCEPTION) THROUGH MARCH 31, 2021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260" w:type="dxa"/>
            <w:vAlign w:val="bottom"/>
          </w:tcPr>
          <w:p>
            <w:pPr>
              <w:spacing w:after="0"/>
              <w:rPr>
                <w:sz w:val="24"/>
                <w:szCs w:val="24"/>
                <w:color w:val="auto"/>
              </w:rPr>
            </w:pPr>
          </w:p>
        </w:tc>
        <w:tc>
          <w:tcPr>
            <w:tcW w:w="160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8"/>
                <w:szCs w:val="8"/>
                <w:b w:val="1"/>
                <w:bCs w:val="1"/>
                <w:color w:val="auto"/>
              </w:rPr>
              <w:t>(1)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78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1, 2021 (Inception)</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Issuance of Class B common stock to Sponsor</w:t>
            </w:r>
            <w:r>
              <w:rPr>
                <w:rFonts w:ascii="Times New Roman" w:cs="Times New Roman" w:eastAsia="Times New Roman" w:hAnsi="Times New Roman"/>
                <w:sz w:val="22"/>
                <w:szCs w:val="22"/>
                <w:color w:val="auto"/>
                <w:vertAlign w:val="subscript"/>
              </w:rPr>
              <w:t>(1)</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575</w:t>
            </w:r>
          </w:p>
        </w:tc>
        <w:tc>
          <w:tcPr>
            <w:tcW w:w="8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24,425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4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$ 24,425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6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March 1, 2021 (inception) through March 31, 2021 includes up to 750,000 shares of Class B common stock which were subject to forfeiture if the over-allotment option was not exercised in full or in part by the underwriter. The over-allotment option was exercised in full on May 28, 2021; thus, these shares are no longer subject to forfeiture (see Notes 5 and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82"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1,</w:t>
            </w: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7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(1,309,849)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operating and formation costs by related party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71,333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889,502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(492,630)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(492,630)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889,323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396,693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337,157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included in due to related party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Offering costs paid in exchange for issuance of Class B common stock to Sponsor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82"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Dynamics Special Purpose Corp. (the “Company”) is a blank check company incorporated in Delaware on March 1, 2021. As used herein, “the Company” refers to Dynamics Special Purpose Corp. and its wholly-owned and controlled subsidiary, Explore Merger Sub, Inc. (“Merger Sub”), unless the context indicates otherwise. The Company was formed for the purpose of entering into a merger, capital stock exchange, asset acquisition, stock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As of March 31, 2022, the Company had not commenced any operations. All activity for the period from March 1, 2021 (inception) through March 31, 2022 related to the Company’s formation, its initial public offering (“Initial Public Offering”), which is described below, and identifying a target company for a Business Combination and negotiating and entering into binding agreements in respect of such Business Combination. The Company will not generate any operating revenues until after the completion of a Business Combination, at the earliest. The Company generates non-operating income in the form of interest income on the proceeds derived from the Initial Public Offering. The Company has selected December 31 as its fiscal year end.</w:t>
      </w:r>
    </w:p>
    <w:p>
      <w:pPr>
        <w:spacing w:after="0" w:line="168"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May 25, 2021. On May 28, 2021, the Company consummated the Initial Public Offering of 23,000,000 shares of Class A common stock (the “Public Shares”), including 3,000,000 shares of Class A common stock that were issued pursuant to the underwriter’s exercise of its over-allotment option in full, at $10.00 per Public Share, generating gross proceeds of $230,000,000, which is discussed in Note 3.</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715,500 shares of Class A common stock (the “Private Placement Shares”) at a price of $10.00 per Private Placement Share in a private placement to Dynamics Sponsor LLC (the “Sponsor”), generating gross proceeds of $7,155,000, which is described in Note 4.</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Transaction costs amounted to $13,198,430 consisting of $4,600,000 of underwriting fees, $8,050,000 of deferred underwriting fees, and $548,430 of other offering costs. Subsequent to the Initial Public Offering, the underwriter agreed on December 17, 2021 to waive $1,000,000 of its deferred underwriting fees of $8,050,000, thereby reducing those fees to $7,050,000; thus, the transaction costs related to the Company’s Initial Public Offering amounted to $12,198,430.</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Following the closing of the Initial Public Offering on May 28, 2021, an amount of $230,000,000 ($10.00 per Public Share) from the net proceeds of the sale of the Public Shares in the Initial Public Offering and the sale of the Private Placement Shares was placed in a trust account (the “Trust Account”), and is invested only in U.S. government securities with maturities of 185 days or less, or in money market funds meeting certain conditions under Rule 2a-7 under the Investment Company Act which invest only in direct U.S. government treasury obligations, as determined by the Company, until the earlier of: (i) the completion of a Business Combination, and (ii) the distribution of the funds held in the Trust Account, as described below.</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Shares, although substantially all of the net proceeds are intended to be applied generally toward consummating a Business Combination. There is no assurance that the Company will be able to complete a Business Combination, including the proposed Business Combination with Senti (as defined and discussed below) successfully. The Company must complete a Business Combination with one or more target businesses that together have an aggregate fair market value of at least 80%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80" w:right="60"/>
        <w:spacing w:after="0" w:line="261" w:lineRule="auto"/>
        <w:rPr>
          <w:sz w:val="20"/>
          <w:szCs w:val="20"/>
          <w:color w:val="auto"/>
        </w:rPr>
      </w:pPr>
      <w:r>
        <w:rPr>
          <w:rFonts w:ascii="Times New Roman" w:cs="Times New Roman" w:eastAsia="Times New Roman" w:hAnsi="Times New Roman"/>
          <w:sz w:val="18"/>
          <w:szCs w:val="18"/>
          <w:color w:val="auto"/>
        </w:rPr>
        <w:t>of the value of the Trust Account (excluding the deferred underwriting fees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80" w:lineRule="exact"/>
        <w:rPr>
          <w:sz w:val="20"/>
          <w:szCs w:val="20"/>
          <w:color w:val="auto"/>
        </w:rPr>
      </w:pPr>
    </w:p>
    <w:p>
      <w:pPr>
        <w:ind w:left="180"/>
        <w:spacing w:after="0" w:line="274" w:lineRule="auto"/>
        <w:rPr>
          <w:sz w:val="20"/>
          <w:szCs w:val="20"/>
          <w:color w:val="auto"/>
        </w:rPr>
      </w:pPr>
      <w:r>
        <w:rPr>
          <w:rFonts w:ascii="Times New Roman" w:cs="Times New Roman" w:eastAsia="Times New Roman" w:hAnsi="Times New Roman"/>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subject to applicable law and stock exchange listing requirements. The stockholders will be entitled to redeem their Public Shares for a pro rata portion of the amount held in the Trust Account, calculated as of two business days prior to the completion of a Business Combination, including any pro rata interest earned on the funds held in the Trust Account and not previously released to the Company to pay its tax obligations.</w:t>
      </w:r>
    </w:p>
    <w:p>
      <w:pPr>
        <w:spacing w:after="0" w:line="173" w:lineRule="exact"/>
        <w:rPr>
          <w:sz w:val="20"/>
          <w:szCs w:val="20"/>
          <w:color w:val="auto"/>
        </w:rPr>
      </w:pPr>
    </w:p>
    <w:p>
      <w:pPr>
        <w:ind w:left="180" w:right="8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consummation of such Business Combination and a majority of the shares voted are voted in favor of the Business Combination. If a stockholder vote is not required under applicable law or stock exchange listing requirements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Securities and Exchange Commission (“SEC”), and file tender offer documents with the SEC prior to completing a Business Combination. If the Company seeks stockholder approval in connection with a Business Combination, the holders of the Founder Shares (as defined in Note 5) have agreed to vote their Founder Shares, Private Placement Shares and any Public Shares purchased in or after the Initial Public Offering in favor of approving a Business Combination and to waive their redemption rights with respect to any such shares in connection with a stockholder vote to approve a Business Combination. Additionally, each public stockholder may elect to redeem their Public Shares without voting, and if they do vote, irrespective of whether they vote for or against the proposed Business Combination.</w:t>
      </w:r>
    </w:p>
    <w:p>
      <w:pPr>
        <w:spacing w:after="0" w:line="194" w:lineRule="exact"/>
        <w:rPr>
          <w:sz w:val="20"/>
          <w:szCs w:val="20"/>
          <w:color w:val="auto"/>
        </w:rPr>
      </w:pPr>
    </w:p>
    <w:p>
      <w:pPr>
        <w:jc w:val="both"/>
        <w:ind w:left="180"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it does not conduct redemptions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3" w:lineRule="exact"/>
        <w:rPr>
          <w:sz w:val="20"/>
          <w:szCs w:val="20"/>
          <w:color w:val="auto"/>
        </w:rPr>
      </w:pPr>
    </w:p>
    <w:p>
      <w:pPr>
        <w:ind w:left="180" w:right="80"/>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(a) their redemption rights with respect to any Founder Shares, Private Placement Shares and Public Shares they hold in connection with the completion of an initial Business Combination, (b) their redemption rights with respect to any Founder Shares, Private Placement Shares and Public Shares they hold in connection with a stockholder vote to approve an amendment to the Amended and Restated Certificate of Incorporation to modify the substance or timing of the Company’s obligation to allow redemption in connection with an initial Business Combination or to redeem 100% of the Public Shares if the Company has not consummated an initial Business Combination within 24 months from the closing of the Initial Public Offering or with respect to any material provision relating to the rights of holders of Public Shares, and (c) their rights to liquidating distributions from the Trust Account with respect to any Founder Shares and Private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80"/>
          </w:cols>
          <w:pgMar w:left="260" w:top="482"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Placement Shares they hold if the Company fails to complete an initial Business Combination within 24 months from the closing of the Initial Public Offering. However, if the initial stockholders acquired Public Shares in or after the Initial Public Offering, such Public Shares would be entitled to liquidating distributions from the Trust Account if the Company failed to complete a Business Combination within the Combination Period (as defined below).</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will have until May 28, 2023 to complete a Business Combination (the “Combination Period”). If the Company is unable to complete a Business Combination within the Combination Period, the Company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board of directors, dissolve and liquidate, subject in each case to the Company’s obligations under Delaware law to provide for claims of creditors and the requirements of other applicable law.</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underwriter has agreed to waive its rights to its deferred underwriting fees (see Note 6)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Public Share ($10.00).</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in the Trust Account, the Sponsor has agreed that it will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the actual amount per Public Share held in the Trust Account as of the date of the liquidation of the Trust Account, if less than $10.00 per Public Share due to reductions in the value of the Trust Account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(other than the Company’s independent registered accounting firm), prospective target businesses or other entities with which the Company does business, execute agreements with the Company waiving any right, title, interest or claim of any kind in or to monies held in the Trust Account.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jc w:val="both"/>
        <w:ind w:left="120" w:right="260"/>
        <w:spacing w:after="0" w:line="289" w:lineRule="auto"/>
        <w:rPr>
          <w:sz w:val="20"/>
          <w:szCs w:val="20"/>
          <w:color w:val="auto"/>
        </w:rPr>
      </w:pPr>
      <w:r>
        <w:rPr>
          <w:rFonts w:ascii="Times New Roman" w:cs="Times New Roman" w:eastAsia="Times New Roman" w:hAnsi="Times New Roman"/>
          <w:sz w:val="17"/>
          <w:szCs w:val="17"/>
          <w:color w:val="auto"/>
        </w:rPr>
        <w:t>On December 19, 2021, we entered into a business combination agreement (as amended from time to time, the “Business Combination Agreement”) with Merger Sub and Senti Biosciences, Inc., a Delaware corporation (“Senti”). The Business Combination Agreement provides, among other things, that on the terms and subject to the conditions set forth therein, Merger Sub will merge with and into Senti, with Senti surviving as a wholly-owned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subsidiary of the Company (the “Merger”). Upon the closing of the Merger (the “Closing”), the Company will change its name to “Senti Biosciences, Inc.” The date on which the Closing actually occurs is hereinafter referred to as the “Closing Date.”</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(and contemplated in the Ancillary Documents, as defined in the Business Combination Agreement) are referred to in these Notes to unaudited condensed consolidated financial statements as the “Senti Business Combination.” The Senti Business Combination was approved by the boards of directors of each of the Company and Senti.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the Company will acquire all of the outstanding equity interests of Senti in exchange for shares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Class A common stock, par value $0.0001 per share (the “Class A Common Stock”), based on an implied Senti equity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$240,000,000, to be paid to Senti stockholders at the effective time of the Merger (the “Effective Time”). In addition, Senti stockholders will have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receive (i) an aggregate of 1,000,000 shares of Class A Common Stock if, after Closing, the volume weighted average price of the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on the Nasdaq Capital Market (“Nasdaq”), or any other national securities exchange on which the shares of Class A Common Stock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then traded (“VWAP”), is greater than or equal to $15.00 over any 20 trading days within any consecutive 30 trading day period, in the period that ends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second anniversary of the Closing Date, and (ii) an additional 1,000,000 shares of Class A Common Stock in the aggregate if, after Closing,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VWAP of Class A Common Stock is greater than or equal to $20.00 over any 20 trading days within any consecutive 30 trading day period, in the period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ends on the third anniversary of the Closing Date.</w:t>
      </w:r>
    </w:p>
    <w:p>
      <w:pPr>
        <w:spacing w:after="0" w:line="2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at or prior to the Effective Time, each option exercisable for Senti equity that is outstanding immediately prior to the Effective Time shall be converted into an option to purchase a number of shares of Class A Common Stock equal to the number of shares of Senti common stock subject to such option immediately prior to the Effective time multiplied by the exchange ratio derived under the Business Combination Agreement.</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to customary representations and warranties for transactions of this type. In addition, the parties to the Business Combination Agreement agreed to be bound by certain customary covenants for transactions of this type, including, among others, covenants with respect to the conduct of Senti, the Company and their respective subsidiaries during the period between execution of the Business Combination Agreement and Closing. The representations, warranties, agreements and covenants of the parties set forth in the Business Combination Agreement will terminate at Closing, except for a limited number of representations and warranties and those covenants and agreements that, by their terms, contemplate performance after Closing. Each of the parties to the Business Combination Agreement has agreed to use its reasonable best efforts to take or cause to be taken all actions, and to do or cause to be done all things, reasonably necessary to consummate and expeditiously implement the Merger.</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Under the Business Combination Agreement, the obligations of the parties to consummate the Merger are subject to the satisfaction or waiver of certain customary closing conditions of the respective parties, including, without limitation: (i) the approval and adoption of the Business Combination Agreement and transactions contemplated thereby by requisite vote of the Company’s stockholders (the “Company Stockholder Approval”) and Senti’s stockholders (the “Senti Stockholder Approval”); (ii) the expiration or termination of the applicable waiting period under the Hart-Scott-Rodino Antitrust Improvements Act of 1976, as amended; (iii) the absence of a Company Material Adverse Effect or DYNS Material Adverse Effect (each, as defined in the Business Combination Agreement) since the date of the Business Combination Agreement that is continuing; (iv) after giving effect to the transactions contemplated by the Business Combination Agreement, the Company has net tangible assets of at least $5,000,001 upon consummation of the Merger; (v) the Company’s initial listing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application with Nasdaq in connection with the Merger has been approved and, immediately following the Effective Time, the Company has satisfied any applicable initial and continuing listing requirements of Nasdaq and the shares of the Company’s Class A Common Stock have been approved for listing on Nasdaq, subject only to official notice of the issuance thereof; and (vi) the registration statement filed with the SEC on Form S-4 (the “Registration Statement”) has become effective, no stop order has been issued by the SEC and remains in effect with respect to the Registration Statement, and no proceeding seeking such a stop order has been threatened or initiated by the SEC and remains pending. In addition, Senti’s obligation to consummate the Merger is subject to the condition that the Available Closing Cash (as defined in the Business Combination Agreement) shall be greater than or equal to $150,000,000 (after reduction for the aggregate amount of payments made or required to be made in connection with the DYNS Stockholder Redemption (as defined in the Business Combination Agreement)).</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February 12, 2022, the Business Combination Agreement was amended by the parties thereto to reflect, among other things, (i) corrections to certain aspects section 5.7 of the Business Combination Agreement, and (ii) changes to certain terms of the options Senti granted to certain persons at the time the Business Combination Agreement was signed.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sole holder of the Company’s Class B common stock, par value $0.0001 per share (the “Class B Common Stock”, and also referred to herein as the Founder Shares (as defined in Note 5)) and other persons party thereto (“Other Company Insiders,” and together with the Sponsor, collectively, the “Company Insiders”), entered into a support agreement with the Company and Senti (the “Sponsor Support Agreement”). Under the Sponsor Support Agreement, the Sponsor agreed to vote, at any meeting of the stockholders of the Company and in any action by written consent of the stockholders of the Company, all of such Sponsor’s Class A Common Stock and Class B Common Stock (i) in favor of (a) the Business Combination Agreement and the transactions contemplated thereby, and (b) the other proposals that the Company and Senti agreed in the Business Combination Agreement shall be submitted at such meeting for approval by the Company’s stockholders together with the proposal to obtain the Company Stockholder Approval (together with the Company Stockholder Approval, these proposals are the Required Transaction Proposals (as defined in the Business Combination Agreement)), and (ii) against any proposal that conflicts with, or materially impedes or interferes with, any such proposal or that would adversely affect or delay the Merger. The Sponsor Support Agreement also prohibits the Sponsor from, among other things and subject to certain exceptions, selling, assigning or transferring any Class A Common Stock or Class B Common Stock held by the Sponsor prior to the Closing or taking any action that would have the effect of preventing or materially delaying the Sponsor from performing its obligations under the Sponsor Support Agreement. In addition, in the Sponsor Support Agreement, the Sponsor agreed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19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Sponsor Support Agreement also includes a lock-up in respect of the Sponsor’s equity interests in the Company. Pursuant to the Sponsor Support Agreement, the Sponsor agreed that, subject to limited exceptions, it would not sell, assign or transfer any Class A Common Stock or Class B Common Stock until the earlier of (i) the one year anniversary of the Closing, and (ii) subsequent to the Closing, (x) if the last reported sale price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82"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80" w:right="180"/>
        <w:spacing w:after="0" w:line="261" w:lineRule="auto"/>
        <w:rPr>
          <w:sz w:val="20"/>
          <w:szCs w:val="20"/>
          <w:color w:val="auto"/>
        </w:rPr>
      </w:pPr>
      <w:r>
        <w:rPr>
          <w:rFonts w:ascii="Times New Roman" w:cs="Times New Roman" w:eastAsia="Times New Roman" w:hAnsi="Times New Roman"/>
          <w:sz w:val="18"/>
          <w:szCs w:val="18"/>
          <w:color w:val="auto"/>
        </w:rPr>
        <w:t>the Class A Common Stock equals or exceeds $12.00 per share (as adjusted for stock splits, stock dividends, reorganizations, recapitalizations and the like) for any 20 trading days within any 30 consecutive trading day period commencing at least 150 days after the Closing, or (y) the date upon completion of a liquidation, merger, stock exchange, reorganization or other similar transaction that results in all of the public stockholders having the right to exchange their common stock for cash, securities or other property.</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Senti Support Agreement</w:t>
      </w:r>
    </w:p>
    <w:p>
      <w:pPr>
        <w:spacing w:after="0" w:line="119"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Senti stockholders (the “Senti Supporting Stockholders”) entered into support agreements with the Company (the “Senti Support Agreements”). Under the Senti Support Agreements, each Senti Supporting Stockholder agreed, within forty-eight hours following the effectiveness of the Registration Statement, to execute and deliver a written consent with respect to all outstanding shares of Senti common stock and preferred stock held by such Senti Supporting Stockholder (the “Subject Senti Shares”) approving the Business Combination Agreement and the transactions contemplated thereby. In addition to the foregoing, each Senti Supporting Stockholder agreed that, at any meeting of the holders of Senti capital stock, each such Senti Supporting Stockholder will appear at the meeting, in person or by proxy, and cause its Subject Senti Shares to be voted (i) to approve and adopt the Business Combination Agreement, the transactions contemplated thereby, and any other matters necessary or reasonably requested by Senti for consummation of the Merger, and (ii) against any proposal that conflicts or materially impedes or interferes with, or would adversely affect or delay, the consummation of the transactions contemplated by the Business Combination Agreement.</w:t>
      </w:r>
    </w:p>
    <w:p>
      <w:pPr>
        <w:spacing w:after="0" w:line="194"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The Senti Support Agreements also prohibit the Senti Supporting Stockholders from, among other things, (i) transferring any of the Subject Senti Shares prior to the Closing, (ii) entering into (a) any option, commitment or other arrangement that would require the Senti Supporting Stockholders to transfer the Subject Senti Shares, or (b) any voting trust, proxy or other contract with respect to the voting of the Subject Senti Shares, or (iii) taking any action in furtherance of the foregoing. In addition, under the Senti Support Agreement, each Senti Supporting Stockholder agreed (i) not to exercise any rights of appraisal or dissenter’s rights relating to the Business Combination Agreement and the transactions contemplated thereby, and (ii) not to commence or participate in any claim or action against Senti, the Company or any of their affiliates relating to the negotiation, execution or delivery of the Senti Support Agreement or the Business Combination Agreement or the consummation of the Merger.</w:t>
      </w:r>
    </w:p>
    <w:p>
      <w:pPr>
        <w:spacing w:after="0" w:line="189" w:lineRule="exact"/>
        <w:rPr>
          <w:sz w:val="20"/>
          <w:szCs w:val="20"/>
          <w:color w:val="auto"/>
        </w:rPr>
      </w:pPr>
    </w:p>
    <w:p>
      <w:pPr>
        <w:ind w:left="180" w:right="80"/>
        <w:spacing w:after="0" w:line="253" w:lineRule="auto"/>
        <w:rPr>
          <w:sz w:val="20"/>
          <w:szCs w:val="20"/>
          <w:color w:val="auto"/>
        </w:rPr>
      </w:pPr>
      <w:r>
        <w:rPr>
          <w:rFonts w:ascii="Times New Roman" w:cs="Times New Roman" w:eastAsia="Times New Roman" w:hAnsi="Times New Roman"/>
          <w:sz w:val="18"/>
          <w:szCs w:val="18"/>
          <w:color w:val="auto"/>
        </w:rPr>
        <w:t>Additionally, (i) certain Senti Support Agreements prohibit the applicable Senti Supporting Stockholders from transferring the shares of Class A Common Stock which they will receive in the Merger for, subject to certain permitted transfers, up to 18 months following the Closing, which may be reduced to 12 months upon the meeting of certain criteria (such period, the “Extended Lock-Up”), and (ii) certain other Senti Support Agreements prohibit the applicable Senti Supporting Stockholders from transferring the shares of Class A Common Stock which they will receive in the Merger for, subject to certain permitted transfers, 12 months following the Closing (such period, the “General Lock-Up”); provided that, (a) with respect to the Extended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330 days after the Closing Date, then the Extended Lock-Up shall be deemed to have expired with respect to each stockholder’s Class A Common Stock subject to that lock-up, and (b) with respect to the General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150 days after the Closing Date, then the General Lock-Up shall be deemed to have expired with respect to each stockholder’s Class A Common Stock subject to that lock-up.</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60"/>
          </w:cols>
          <w:pgMar w:left="260" w:top="482"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February 12, 2022, the Company entered into amendments to certain Senti Support Agreements to amend those agreements such that, among other things, the shares of Class A Common Stock of the relevant Senti Supporting Stockholders may not be transferred, subject to certain permitted transfers, for three years following the Closing (such period, “the Three Year Lock-Up”). Unlike the Extended Lock-Up and the General Lock-Up described above, the Three Year Lock-Up does not terminate early based on the share price performance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Company entered into subscription agreements with certain private investors (the “Subscription Agreements”), pursuant to which, among other things, such investors have subscribed to purchase an aggregate of 6,680,000 shares of Class A Common Stock (together, the “Subscriptions”) for a purchase price of $10.00 per share, or an aggregate purchase price of $66,800,000, which shares are to be issued at the Closing; provided that the Subscription Agreements permit the Company to accept additional subscriptions for a purchase price of $10.00 per share to be issued at the Closing, following the execution of the Business Combination Agreement. The obligations of each party to consummate the Subscriptions are conditioned upon, among other things, customary closing conditions and the consummation of the transactions contemplated by the Business Combination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holder of 5,750,000 shares of Class B Common Stock (the Founder Shares (as defined in Note 5)), the Company and each of certain funds and accounts managed by Morgan Stanley Investment Management Inc., T. Rowe Price Group, Inc., The Invus Group, LLC and ARK Investment Management LLC and/or their respective investment funds (each, an “Investor”, and collectively, the “Investors”) entered into non-redemption agreements in respect of the Public Shares held by the Investors (the “Non-Redemption Agreements”).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the Non-Redemption Agreements, each Investor agreed for the benefit of the Company (a) to not redeem the shares of Class A Common Stock beneficially owned by it, or any other shares, capital stock or other equity interests, as applicable, of the Company, which it held on the date of the Non-Redemption Agreement (the “Investor Shares”), and (b) to not, among other things, sell, encumber or otherwise transfer the Investor Shares other than in connection with non-discretionary ETF or mutual fund pro rata rebalancing transfers. In connection with these commitments from the Investors, the Sponsor agreed to forfeit 965,728 shares of its Class B Common Stock and the Company agreed to cancel such shares and concurrently issue to the Investors an equivalent number of shares of Class A Common Stock, in each case, at or promptly following the consummation of the Merger. The shares of Class A Common Stock to which the Investors were entitled as at the date the Non-Redemption Agreements were signed represented approximately 11.111% of the Investors’ aggregate holdings of Public Shares as at such date.</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May 9, 2022, the Company, the Sponsor and the Investors agreed to amend the Non-Redemption Agreements such that the number of shares of Class A Common Stock to which each Investor may be entitled equals 11.111% of the number of Public Shares held by the Investor at the time the Merger is consummated (as opposed to when the Non-Redemption Agreement was signed). As at April 29, 2022, 7,968,483 shares of Class A Common Stock, in the aggregate, were subject to Non-Redemption Agreements. Accordingly, as at April 29, 2022, it is anticipated that 885,377 shares of Class A Common Stock will be issued to Investors and an equivalent number of shares of Class B Common Stock will be forfeited by the Sponsor and canceled by the Company (as opposed to 965,728 shares, as was the case prior to such amendments to the Non-Redemption Agreements).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82"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Company, certain stockholders of the Company (including the Sponsor) and certain stockholders of Senti will enter into an investor rights and lock-up agreement (the “Investor Rights Agreement”). Pursuant to the Investor Rights Agreement, each signatory thereto (other than the Company) will be granted certain registration rights with respect to their respective shares of Class A Common Stock.</w:t>
      </w:r>
    </w:p>
    <w:p>
      <w:pPr>
        <w:spacing w:after="0" w:line="176" w:lineRule="exact"/>
        <w:rPr>
          <w:sz w:val="20"/>
          <w:szCs w:val="20"/>
          <w:color w:val="auto"/>
        </w:rPr>
      </w:pPr>
    </w:p>
    <w:p>
      <w:pPr>
        <w:jc w:val="both"/>
        <w:ind w:left="120" w:right="120"/>
        <w:spacing w:after="0" w:line="272" w:lineRule="auto"/>
        <w:rPr>
          <w:sz w:val="20"/>
          <w:szCs w:val="20"/>
          <w:color w:val="auto"/>
        </w:rPr>
      </w:pPr>
      <w:r>
        <w:rPr>
          <w:rFonts w:ascii="Times New Roman" w:cs="Times New Roman" w:eastAsia="Times New Roman" w:hAnsi="Times New Roman"/>
          <w:sz w:val="17"/>
          <w:szCs w:val="17"/>
          <w:color w:val="auto"/>
        </w:rPr>
        <w:t>The Investor Rights Agreement will also restrict the ability of each stockholder who is a party thereto (other than the Company) to transfer its shares of Class A Common Stock (or any securities convertible into or exercisable or exchangeable for shares of Class A Common Stock) for, subject to certain permitted transfers and depending on the stockholder, a period of one year following the Closing Date (the “12 Month Lock-Up”) or a period of</w:t>
      </w:r>
    </w:p>
    <w:p>
      <w:pPr>
        <w:spacing w:after="0" w:line="2"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18 months following the Closing Date (the “18 Month Lock-Up”); provided that (i) the foregoing restrictions shall not apply to any shares of Class A Common Stock purchased pursuant to the Subscription Agreements and (ii)(A) in respect of the 12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150 days after the Closing Date, then the 12 Month Lock-Up shall be deemed to have expired with respect to each stockholder’s Class A Common Stock subject to that lock-up; and</w:t>
      </w:r>
    </w:p>
    <w:p>
      <w:pPr>
        <w:spacing w:after="0" w:line="2" w:lineRule="exact"/>
        <w:rPr>
          <w:sz w:val="20"/>
          <w:szCs w:val="20"/>
          <w:color w:val="auto"/>
        </w:rPr>
      </w:pPr>
    </w:p>
    <w:p>
      <w:pPr>
        <w:ind w:left="120" w:right="260" w:hanging="4"/>
        <w:spacing w:after="0" w:line="253" w:lineRule="auto"/>
        <w:tabs>
          <w:tab w:leader="none" w:pos="4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18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330 days after the Closing Date, then the 18 Month Lock-Up shall be deemed to have expired with respect to each stockholder’s Class A Common Stock subject to that lock-up.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March 31, 2022, the Company had $396,693 in cash held outside of the Trust Account and a working capital deficit of $3,224,077. The Company has incurred and expects to continue to incur significant costs in pursuit of its acquisition plans (including in respect of the Senti Business Combination). These conditions raise substantial doubt about the Company’s ability to continue as a going concern for a period of time within one year after the date that the unaudited condensed consolidated financial statements are issued. Management plans to address this uncertainty through the Senti Business Combination, as discussed above. There is no assurance that the Company’s plans to consummate the Senti Business Combination (or any other Business Combination) will be successful or successful within the Combination Period. The unaudited condensed consolidated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Additionally, as a result of the military action commenced in February 2022 by the Russian Federation and Belarus in the country of Ukraine and related economic sanctions, the Company’s ability to consummate a Business Combination, or the operations of a target business with which the Company ultimately consummates a Business Combination, may be materially and adversely affected. In addition, the Company’s ability to consummate a transaction may be dependent on the ability to raise equity and debt financing which may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impacted by these events, including as a result of increased market volatility, or decreased market liquidity in third-party financing being unavailable on terms acceptable to the Company or at all. The impact of this action and related sanctions on the world economy and the specific impact on the Company’s financial position, results of operations and/or ability to consummate a Business Combination are not yet determinable.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 and Financial Statement Presentation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in conformity with accounting principles generally accepted in the United States of America (“GAAP”) and pursuant to the rules and regulations of the SEC. The unaudited condensed consolidated financial statements include the accounts of the Company and its wholly-owned and controlled subsidiary, Merger Sub, after elimination of any intercompany transactions and balances as of March 31, 2022 and December 31, 2021.</w:t>
      </w:r>
    </w:p>
    <w:p>
      <w:pPr>
        <w:spacing w:after="0" w:line="180" w:lineRule="exact"/>
        <w:rPr>
          <w:sz w:val="20"/>
          <w:szCs w:val="20"/>
          <w:color w:val="auto"/>
        </w:rPr>
      </w:pPr>
    </w:p>
    <w:p>
      <w:pPr>
        <w:ind w:left="120" w:right="240"/>
        <w:spacing w:after="0" w:line="254" w:lineRule="auto"/>
        <w:rPr>
          <w:sz w:val="20"/>
          <w:szCs w:val="20"/>
          <w:color w:val="auto"/>
        </w:rPr>
      </w:pPr>
      <w:r>
        <w:rPr>
          <w:rFonts w:ascii="Times New Roman" w:cs="Times New Roman" w:eastAsia="Times New Roman" w:hAnsi="Times New Roman"/>
          <w:sz w:val="18"/>
          <w:szCs w:val="18"/>
          <w:color w:val="auto"/>
        </w:rPr>
        <w:t>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7, 2022. The interim results for the three months ended March 31, 2022 are not necessarily indicative of the results to be expected for the year ending December 31, 2022 or for any future periods.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82"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March 31, 2022 and December 31, 2021. As of March 31, 2022 and December 31, 2021, the Company had operating cash (i.e. cash held outside the Trust Account) of $396,693 and $889,323,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As of March 31, 2022 and December 31, 2021, the assets held in the Trust Account were comprised of U.S. government securities, within the meaning set forth in Section 2(a) (16) of the Investment Company Act, with maturities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unaudited condensed consolidated balance sheet at fair value at the end of each reporting period. Gains and losses resulting from the change in fair value of these securities are reported in the statements of operations. The estimated fair values of investments held in the Trust Account are determined using available market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Public Shares sold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Accounting Standards Codification (“ASC”) Topic 480, Distinguishing Liabilities from Equity, redemption provisions not solely within the control of the Company require common stock subject to redemption to be classified outside of permanent equity. Therefore, all Class A Common Stock has been classified outside of permanent equity.</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82"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March 31, 2022 and December 31, 2021, the Investor Shares (see Note 1) are classified as temporary equity within Class A Common Stock subject to redemption in the Company’s unaudited condensed consolidated balance sheet. The Non-Redemption Agreements are terminated in the event that the Business Combination Agreement as described above is terminated. As such, the Company determined that the Non-Redemption Agreements are contingent upon the successful completion of the Senti Business Combination. In the event that the Senti Business Combination is not successful, the Non-Redemption Agreements are terminated, and the Investors would again have the right to redeem the Investor Shares. As such, the Company determined that the Non-Redemption Agreements would not change the nature of the underlying shares as redeemable.</w:t>
      </w:r>
    </w:p>
    <w:p>
      <w:pPr>
        <w:spacing w:after="0" w:line="18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Class A common stock subject to redemption reflected in the balance sheet are reconciled in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allocated to Class A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(13,181,867)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13,181,867</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$13,198,430 as a result of the Initial Public Offering (consisting of a $4,600,000 underwriting fee, $8,050,000 of deferred underwriting fees, and $548,430 of other offering costs). The Company recorded $13,181,867 of offering costs as a reduction of temporary equity in connection with the issuance of the Public Shares. The Company recorded $16,563 of offering costs as a reduction of permanent equity in connection with the issuance of the Private Placement Shares.</w:t>
      </w:r>
    </w:p>
    <w:p>
      <w:pPr>
        <w:spacing w:after="0" w:line="18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As noted in Note 1, subsequent to the Initial Public Offering, the underwriter agreed on December 17, 2021 to waive $1,000,000 of its deferred underwriting fees of $8,050,000, thereby reducing those fees to $7,050,000; thus, the offering costs related to the Company’s Initial Public Offering amounted to $12,198,430.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82"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weighted-average number of shares of common stock outstanding during the period. As the Public Shares are considered to be redeemable at fair value, and a redemption at fair value does not amount to a distribution different than other stockholders, Class A and Class B common stock are presented as one class of stock in calculating net loss per share. As a result, the calculated net loss per share is the same for Class A and Class B shares of common stock. As of March 31, 2022 and December 31,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common share (in dollars, except per share amounts):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March 1,</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 through</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(1,054,241)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(255,608)</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23,715,500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5,750,000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00"/>
          </w:cols>
          <w:pgMar w:left="320" w:top="482" w:right="4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condensed consolidated balance sheet for current assets and current liabilities approximate fair value due to their short-term nature.</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8 for additional information on assets and liabilities measured at fair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registration statement for the Company’s Initial Public Offering was declared effective on May 25, 2021. On May 28, 2021, the Company completed its Initial Public Offering of 23,000,000 shares of Class A common stock, including 3,000,000 shares of Class A common stock that were issued pursuant to the underwriter’s exercise of its over-allotment option in full, at $10.00 per Public Share, generating gross proceeds of $230,000,000.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715,500 Private Placement Shares at a price of $10.00 per Private Placement Share, generating gross proceeds of $7,155,000. A portion of the proceeds from the sale of the Private Placement Shares was added to the net proceeds from the Initial Public Offering held in the Trust Account. If the Company does not complete a Business Combination within the Combination Period, the proceeds from the sale of the Private Placement Shares held in the Trust Account will be used to fund the redemption of the Public Shares (subject to the requirements of applicable law).</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40"/>
          </w:cols>
          <w:pgMar w:left="320" w:top="482" w:right="5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March 8, 2021, the Sponsor was issued 5,750,000 shares (the “Founder Shares”) of Class B Common Stock for an aggregate price of $25,000. The Founder Shares included an aggregate of up to 750,000 shares of Class B Common Stock subject to forfeiture by the Sponsor to the extent that the underwriter’s over-allotment option was not exercised in full or in part, so that the Sponsor would own, on an as-converted basis, 20% of the Company’s issued and outstanding shares after the Initial Public Offering (excluding the Private Placement Shares) (assuming the Sponsor did not purchase any Public Shares in the Initial Public Offering, which it did not). The underwriter fully exercised the over-allotment option on May 28, 2021; thus, these 750,000 Founder Shares are no longer subject to forfeiture.</w:t>
      </w:r>
    </w:p>
    <w:p>
      <w:pPr>
        <w:spacing w:after="0" w:line="18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In connection with the Non-Redemption Agreements (see Note 1), it is anticipated that the Sponsor will forfeit 885,377 Founder Shares and the Company will cancel such Founder Shares and concurrently issue to the Investors an equivalent number of shares of Class A Common Stock, in each case, at or promptly following the consummation of the Merger. The Company evaluated the forfeiture and cancellation of the Founder Shares by the Sponsor and concurrent issuance of an equivalent number of shares of Class A Common Stock to the Investors in accordance with Staff Accounting Bulletin Topic 5A. The forfeiture and cancellation of the Founder Shares by the Sponsor and concurrent issuance of an equivalent number of shares of Class A Common Stock to the Investors has not been transacted as of March 31, 2022 and will not occur until at or promptly following the consummation of the Merger. As such, any expense associated with the issuance of the shares of Class A Common Stock to the Investors would be recognized at the date of issuance (i.e., upon consummation of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On March 8, 2021, the Company issued an unsecured promissory note to the Sponsor (the “Promissory Note”), pursuant to which the Company could borrow an aggregate of up to $300,000 to cover expenses related to the Initial Public Offering. The Promissory Note was non-interest bearing and was payable on the earlier of December 31, 2021 or the consummation of the Initial Public Offering. In April 2021, the Company borrowed $250,000 under the Promissory Note which was repaid in full on May 26,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held in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Up to $2,000,000 of such Working Capital Loans may be convertible into shares at a price of $10.00 per share at the option of the lender. The shares would be identical to the Private Placement Shares. There was no outstanding balance of Working Capital Loans as of March 31, 2022 and December 31, 2021.</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the Sponsor up to a total of $10,000 per month for office space, administrative and support services. Upon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00"/>
          </w:cols>
          <w:pgMar w:left="320" w:top="482"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completion of an initial Business Combination, the Company will cease paying these monthly fees (if any). To date, the Company has not exercised its option to use such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Class A Common Stock issuable upon conversion of any Working Capital Loans have registration rights pursuant to a registration and stockholder rights agreement signed in connection with the Company’s Initial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an initial Business Combination. The Company will bear the expenses incurred in connection with the filing of any such registration statements.</w:t>
      </w:r>
    </w:p>
    <w:p>
      <w:pPr>
        <w:spacing w:after="0" w:line="183"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In addition, it is anticipated that each signatory to the Investor Rights Agreement (see Note 1), other than the Company, will be granted certain registration rights with respect to their respective shares of Class A Common Stock when that agreement is signed (which is expected to occur at Closing). Further, shares of Class A Common Stock issued to the private investors making Subscriptions will have registration rights pursuant to the Subscription Agreements following the consummation of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 of its Initial Public Offering a 45-day option to purchase up to 3,000,000 additional shares of Class A Common Stock to cover over-allotments at the Initial Public Offering price, less the underwriting discounts and commissions. The underwriter exercised the over-allotment option in full on May 28, 2021.</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the Initial Public Offering. In addition, $0.35 per share, or $8,050,000 in the aggregate was payable to the underwriter for deferred underwriting commissions. On December 17, 2021, the underwriter agreed to waive its right to $1,000,000 of the fee payable by the Company for deferred underwriting commissions. The waived fee was recorded to accumulated deficit. The revised deferred underwriting fee of $7,050,000 will become payable to the underwriter from the amount held in the Trust Account solely in the event that the Company completes a Business Combination, subject to the terms of the underwriting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Advisor Agreement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16, 2021, the Company entered into an agreement (the “Financial Advisor Agreement”) with Morgan Stanley &amp; Co. LLC (“Morgan Stanley”) for financial advisory services in connection with the Senti Business Combination, which services Morgan Stanley had been engaged to provide, and which services Morgan Stanley had provided, since August 4, 2021. The Financial Advisor Agreement shall terminate automatically on December 16, 2022 unless terminated earlier, with or without cause, by either the Company or Morgan Stanley. The Company will pay Morgan Stanley a fee of $1,000,000 upon the consummation of the Company’s proposed initial business combination with Senti.</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Placement Agent Agreement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September 21, 2021, the Company entered into an agreement (the “Placement Agent Agreement”) with Morgan Stanley, J.P. Morgan Securities LLC and BofA Securities, Inc. (together, the “Placement Agents”)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82"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services in connection with the placement of shares of the Company’s Class A Common Stock to certain private investors which is anticipated to occur concurrently with the completion the Senti Business Combination (i.e. the Subscriptions — see Note 1). The Placement Agent Agreement shall terminate automatically on August 28, 2022 unless terminated earlier, with or without cause, by either the Company or any Placement Agent (as to itself only). The Company will pay to the Placement Agents a total fee equal to 4.0% of the aggregate price at which the shares of the Company’s Class A Common Stock are sold to the private investors in the Subscriptions, which fee shall be payable upon the consummation of the placement of the shares. Each of the Placement Agents will receive 33.3% of the fee.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As set forth in Note 1, the Company has entered into the Business Combination Agreement with Merger Sub and Senti pursuant to which, among other things, Merger Sub will merge with and into Senti, with Senti surviving as a wholly-owned subsidiary of the Company. The Company has also entered into various ancillary transaction documents to give effect to the Merger, which are described throughout this Quarterly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EQUITY (DEFICIT)</w:t>
      </w:r>
    </w:p>
    <w:p>
      <w:pPr>
        <w:spacing w:after="0" w:line="117"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March 31, 2022 and December 31, 2021, there were no shares of preferred stock issued or outstanding.</w:t>
      </w:r>
    </w:p>
    <w:p>
      <w:pPr>
        <w:spacing w:after="0" w:line="171"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common stock are entitled to one vote for each share. As of March 31, 2022 and December 31, 2021, there were 23,715,500 shares of Class A common stock issued and outstanding, including 23,000,000 shares of Class A common stock subject to possible redemption. Despite the Non-Redemption Agreements discussed in Note 1, it is possible, in certain limited circumstances, for the Investors to transfer their Public Shares, and a transfer of such shares to a third party who is not bound by a Non-Redemption Agreement would render such shares subject to possible redemption.</w:t>
      </w:r>
    </w:p>
    <w:p>
      <w:pPr>
        <w:spacing w:after="0" w:line="17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B common stock are entitled to one vote for each share. As of March 31, 2022 and December 31, 2021, there were 5,750,000 shares of Class B common stock issued and outstanding. Of the 5,750,000 shares of Class B common stock originally issued, up to 750,000 shares were subject to forfeiture to the Company by the Sponsor for no consideration to the extent that the underwriter’s over-allotment option was not exercised in full or in part, so that the initial stockholders would collectively own 20% of the Company’s issued and outstanding common stock after the Initial Public Offering (excluding the Private Placement Shares). The over-allotment option was exercised in full on May 28, 2021; thus, these shares are no longer subject to forfeiture.</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stockholders, including any vote in connection with an initial Business Combination, except where a vote of each class is required by law.</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shares of Class B common stock are convertible into shares of Class A common stock at the option of the holder and will automatically convert into shares of Class A common stock at the time of an initial Business Combination on a one-for-one basis (subject to adjustment for stock splits, stock dividends, reorganizations,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82" w:right="4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recapitalizations and the like). In the case that additional shares of Class A common stock, or equity-linked securities, are issued or deemed issued in excess of the amounts offered in the Initial Public Offering and related to the closing of an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as is the case for the proposed Senti Business Combination) so that the number of shares of Class A common stock issuable upon conversion of all shares of Class B common stock will equal, in the aggregate, on an as-converted basis, 20% of the sum of (i) the total number of all shares of common stock outstanding upon the completion of the Initial Public Offering (excluding the Private Placement Shares), plus (ii) all shares of Class A common stock and equity-linked securities issued or deemed issued in connection with an initial Business Combination (excluding any shares of Class A common stock or equity-linked securities issued, or to be issued, to any seller in an initial Business Combination and any Private Placement Shares issued to the Sponsor or its affiliates upon conversion of any Working Capital Loans).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that are measured at fair value on a recurring basis as of March 31, 2022 and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at Fair</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U.S. Treasury Securities</w:t>
            </w:r>
          </w:p>
        </w:tc>
        <w:tc>
          <w:tcPr>
            <w:tcW w:w="2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$230,031,946</w:t>
            </w: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$230,031,946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U.S. Treasury Securities</w:t>
            </w:r>
          </w:p>
        </w:tc>
        <w:tc>
          <w:tcPr>
            <w:tcW w:w="2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$230,008,784</w:t>
            </w: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$230,008,784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the amendments to the Non-Redemption Agreements discussed in Note 1, the Company did not identify any subsequent events that would have required adjustment or disclosure in the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82"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Senti Biosciences, Inc. and subsidiary (the Company) as of December 31, 2021 and 2020, the related consolidated statements of operations and comprehensive loss, redeemable convertible preferred stock and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and negative cash flows from operations,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00"/>
          </w:cols>
          <w:pgMar w:left="320" w:top="482"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96,702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48,345</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tranche liability</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12,530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 value; 99,734,554 shares authorized at December 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 and 2020; 99,734,543 and 58,948,067 shares issued and outstanding at December 31, 2021 and 2020,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aggregate liquidation preference of $163.8 million and $96.8 million at December 31, 2021 and 2020,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171,833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89,662</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138,000,000 shares authorized at December 31, 2021 and 2020; 15,189,091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14,504,193 shares issued and outstanding at December 31, 2021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(115,076)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(59,757)</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(111,457)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(58,713)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96,702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48,345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82"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7"/>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8"/>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15,956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(55,319</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14,881,325</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13,862,582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82"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8"/>
        </w:trPr>
        <w:tc>
          <w:tcPr>
            <w:tcW w:w="3840" w:type="dxa"/>
            <w:vAlign w:val="bottom"/>
          </w:tcPr>
          <w:p>
            <w:pPr>
              <w:spacing w:after="0"/>
              <w:rPr>
                <w:sz w:val="2"/>
                <w:szCs w:val="2"/>
                <w:color w:val="auto"/>
              </w:rPr>
            </w:pPr>
          </w:p>
        </w:tc>
        <w:tc>
          <w:tcPr>
            <w:tcW w:w="152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2"/>
                <w:szCs w:val="2"/>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22"/>
        </w:trPr>
        <w:tc>
          <w:tcPr>
            <w:tcW w:w="3840" w:type="dxa"/>
            <w:vAlign w:val="bottom"/>
          </w:tcPr>
          <w:p>
            <w:pPr>
              <w:spacing w:after="0"/>
              <w:rPr>
                <w:sz w:val="10"/>
                <w:szCs w:val="10"/>
                <w:color w:val="auto"/>
              </w:rPr>
            </w:pPr>
          </w:p>
        </w:tc>
        <w:tc>
          <w:tcPr>
            <w:tcW w:w="15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2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78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20" w:type="dxa"/>
            <w:vAlign w:val="bottom"/>
          </w:tcPr>
          <w:p>
            <w:pPr>
              <w:spacing w:after="0"/>
              <w:rPr>
                <w:sz w:val="11"/>
                <w:szCs w:val="11"/>
                <w:color w:val="auto"/>
              </w:rPr>
            </w:pPr>
          </w:p>
        </w:tc>
        <w:tc>
          <w:tcPr>
            <w:tcW w:w="88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1"/>
                <w:szCs w:val="11"/>
                <w:color w:val="auto"/>
              </w:rPr>
            </w:pPr>
          </w:p>
        </w:tc>
        <w:tc>
          <w:tcPr>
            <w:tcW w:w="98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1,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35,199,610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57,408</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13,679,638</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(39,895)</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(39,443)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 preferred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net of preferred stock tranche liability of $5.4</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18,262,599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24,314</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million and issuance costs of $0.3 million</w:t>
            </w:r>
          </w:p>
        </w:tc>
        <w:tc>
          <w:tcPr>
            <w:tcW w:w="7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4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 preferred</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upon conversion of notes, net of preferred stock</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5,485,858</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7,940</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tranche liability of $0.8 million.</w:t>
            </w: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824,555</w:t>
            </w:r>
          </w:p>
        </w:tc>
        <w:tc>
          <w:tcPr>
            <w:tcW w:w="200" w:type="dxa"/>
            <w:vAlign w:val="bottom"/>
          </w:tcPr>
          <w:p>
            <w:pPr>
              <w:spacing w:after="0"/>
              <w:rPr>
                <w:sz w:val="12"/>
                <w:szCs w:val="12"/>
                <w:color w:val="auto"/>
              </w:rPr>
            </w:pPr>
          </w:p>
        </w:tc>
        <w:tc>
          <w:tcPr>
            <w:tcW w:w="4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48"/>
        </w:trPr>
        <w:tc>
          <w:tcPr>
            <w:tcW w:w="3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7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(19,862)</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(19,862)</w:t>
            </w:r>
          </w:p>
        </w:tc>
        <w:tc>
          <w:tcPr>
            <w:tcW w:w="0" w:type="dxa"/>
            <w:vAlign w:val="bottom"/>
          </w:tcPr>
          <w:p>
            <w:pPr>
              <w:spacing w:after="0"/>
              <w:rPr>
                <w:sz w:val="1"/>
                <w:szCs w:val="1"/>
                <w:color w:val="auto"/>
              </w:rPr>
            </w:pPr>
          </w:p>
        </w:tc>
      </w:tr>
      <w:tr>
        <w:trPr>
          <w:trHeight w:val="156"/>
        </w:trPr>
        <w:tc>
          <w:tcPr>
            <w:tcW w:w="3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2020</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58,948,067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89,662</w:t>
            </w:r>
          </w:p>
        </w:tc>
        <w:tc>
          <w:tcPr>
            <w:tcW w:w="1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14,504,193</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w w:val="71"/>
              </w:rPr>
              <w:t>1</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(59,757)</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9"/>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(58,713)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4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convertible preferred</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including extinguishment of preferred stock</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tranche liability of $15.2 million, net of issuance costs</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40,786,476</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82,171</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of $6 thousand</w:t>
            </w: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3,103,769</w:t>
            </w:r>
          </w:p>
        </w:tc>
        <w:tc>
          <w:tcPr>
            <w:tcW w:w="200" w:type="dxa"/>
            <w:vAlign w:val="bottom"/>
          </w:tcPr>
          <w:p>
            <w:pPr>
              <w:spacing w:after="0"/>
              <w:rPr>
                <w:sz w:val="12"/>
                <w:szCs w:val="12"/>
                <w:color w:val="auto"/>
              </w:rPr>
            </w:pPr>
          </w:p>
        </w:tc>
        <w:tc>
          <w:tcPr>
            <w:tcW w:w="4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Early exercise of common stock options</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(2,619,677)</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0" w:type="dxa"/>
            <w:vAlign w:val="bottom"/>
          </w:tcPr>
          <w:p>
            <w:pPr>
              <w:spacing w:after="0"/>
              <w:rPr>
                <w:sz w:val="1"/>
                <w:szCs w:val="1"/>
                <w:color w:val="auto"/>
              </w:rPr>
            </w:pPr>
          </w:p>
        </w:tc>
      </w:tr>
      <w:tr>
        <w:trPr>
          <w:trHeight w:val="148"/>
        </w:trPr>
        <w:tc>
          <w:tcPr>
            <w:tcW w:w="3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early exercise of common stock options</w:t>
            </w:r>
          </w:p>
        </w:tc>
        <w:tc>
          <w:tcPr>
            <w:tcW w:w="7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200,806</w:t>
            </w:r>
          </w:p>
        </w:tc>
        <w:tc>
          <w:tcPr>
            <w:tcW w:w="200" w:type="dxa"/>
            <w:vAlign w:val="bottom"/>
          </w:tcPr>
          <w:p>
            <w:pPr>
              <w:spacing w:after="0"/>
              <w:rPr>
                <w:sz w:val="12"/>
                <w:szCs w:val="12"/>
                <w:color w:val="auto"/>
              </w:rPr>
            </w:pPr>
          </w:p>
        </w:tc>
        <w:tc>
          <w:tcPr>
            <w:tcW w:w="4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2,295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2,295</w:t>
            </w:r>
          </w:p>
        </w:tc>
        <w:tc>
          <w:tcPr>
            <w:tcW w:w="0" w:type="dxa"/>
            <w:vAlign w:val="bottom"/>
          </w:tcPr>
          <w:p>
            <w:pPr>
              <w:spacing w:after="0"/>
              <w:rPr>
                <w:sz w:val="1"/>
                <w:szCs w:val="1"/>
                <w:color w:val="auto"/>
              </w:rPr>
            </w:pPr>
          </w:p>
        </w:tc>
      </w:tr>
      <w:tr>
        <w:trPr>
          <w:trHeight w:val="149"/>
        </w:trPr>
        <w:tc>
          <w:tcPr>
            <w:tcW w:w="3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(55,319)</w:t>
            </w: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(55,319)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2021</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99,734,543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171,833</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15,189,091</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3,618</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(115,076)</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(111,457)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82"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0"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(55,319)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(19,862)</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discount on short-term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14,742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8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(34,635)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(24,173)</w:t>
            </w:r>
          </w:p>
        </w:tc>
        <w:tc>
          <w:tcPr>
            <w:tcW w:w="12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12,965</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(1,161)</w:t>
            </w:r>
          </w:p>
        </w:tc>
      </w:tr>
      <w:tr>
        <w:trPr>
          <w:trHeight w:val="27"/>
        </w:trPr>
        <w:tc>
          <w:tcPr>
            <w:tcW w:w="8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11,358</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notes converted to Series B redeemable convertible preferred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redeemable convertible preferred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redeemable convertible preferred stock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8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38,051</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year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5,798</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the year</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31,034</w:t>
            </w:r>
          </w:p>
        </w:tc>
        <w:tc>
          <w:tcPr>
            <w:tcW w:w="12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and investing items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8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to Series B redeemable convertible preferred stock and Series B preferred stock tranche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8,720</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Series B preferred stock tranche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6,183</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Series B preferred stock tranche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 related to pending business combination in accounts payable and 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in transit from issuance of common stock upon exercise of stock options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82"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Senti Biosciences, Inc. or (the “Company”), was incorporated under the laws of the State of Delaware in June 2016, and is a biotechnology company that programs next-generation cell and gene therapies with what we refer to as “gene circuits.” The Company is headquartered in South San Francisco, California.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organizing and staffing, business planning, raising capital, and conducting preclinical studies and has not realized substantial revenues from its planned principal operations. In addition, the Company has a limited operating history, has incurred recurring operating losses and negative cash flows from operations since inception, has an accumulated deficit, has funded its operations primarily with proceeds from sale of redeemable convertible preferred stock and the issuance of convertible notes, and expects that it will continue to incur net losses and negative cash flows from operations into the foreseeable future, particularly as the Company advances its preclinical activities and clinical trials for its product candidates in development.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continued existence is dependent upon management’s ability to develop profitable operations. Management is devoting substantially all of its efforts to developing its business and raising capital and there can be no assurance that the Company’s efforts will be successful. No assurance can be given that management’s actions will result in profitable operations or the meeting of ongoing liquidity needs.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satisfaction of liabilities in the normal course of business. In 2021 and 2020, the Company received aggregate proceeds of $67.0 million and $30.0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million, respectively, (Note 6) from the issuance of its Series B redeemable convertible preferred stock. Additionally, in 2020, the Company received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$8.0 million from the issuance of promissory notes (Note 5). As of December 31, 2021, the Company had an accumulated deficit of $115.1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cash equivalents and restricted cash of $59.3 million. As of December 31, 2020, the Company had an accumulated deficit of $59.8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cash equivalents and restricted cash of $31.0 million.</w:t>
      </w:r>
    </w:p>
    <w:p>
      <w:pPr>
        <w:spacing w:after="0" w:line="2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April 1, 2022, the issuance date of the consolidated financial statements as of and for the year ended December 31, 2021, the Company expects that its cash and cash equivalents will not be sufficient to fund its operating expenses and capital expenditure requirements for at least one year from the issuance date of the consolidated financial statements and therefore the Company concluded that substantial doubt existed about the Company’s ability to continue as a going concern.</w:t>
      </w:r>
    </w:p>
    <w:p>
      <w:pPr>
        <w:spacing w:after="0" w:line="17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seeking to complete a liquidity event via a special purpose acquisition company (“SPAC”) (see </w:t>
      </w:r>
      <w:r>
        <w:rPr>
          <w:rFonts w:ascii="Times New Roman" w:cs="Times New Roman" w:eastAsia="Times New Roman" w:hAnsi="Times New Roman"/>
          <w:sz w:val="18"/>
          <w:szCs w:val="18"/>
          <w:i w:val="1"/>
          <w:iCs w:val="1"/>
          <w:color w:val="auto"/>
        </w:rPr>
        <w:t>pending merger with Dynamics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Purpose Corp. </w:t>
      </w:r>
      <w:r>
        <w:rPr>
          <w:rFonts w:ascii="Times New Roman" w:cs="Times New Roman" w:eastAsia="Times New Roman" w:hAnsi="Times New Roman"/>
          <w:sz w:val="18"/>
          <w:szCs w:val="18"/>
          <w:color w:val="auto"/>
        </w:rPr>
        <w:t>below). Upon the completion of a qualified public offering on specified terms (Note 6), the Company’s outstanding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automatically convert into shares of common stock. These plans are intended to mitigate the relevant conditions or events that raise substantial doubt about the Company’s ability to continue as a going concern; however, as the plans are not entirely within the Company’s control, management cannot assure they will be effectively implemented. In the event the Company does not complete a SPAC merger, the Company expects to seek additional funding through private equity financings, debt financings, collaborations, licensing arrangements, and/or strategic alliances. The Company may not be able to obtain financing on acceptable terms, or at all, and the Company may not be able to enter into collaborations or other such arrangements. The terms of any financing may adversely affect the holdings or the rights of the Company’s stockholders. If the Company is unable to raise capital when needed, or on attractive terms, it could be forced to delay, reduce or eliminate its research or drug development programs or any future commercialization efforts.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80"/>
          </w:cols>
          <w:pgMar w:left="320" w:top="482"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Dynamics Special Purpose Corp.</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December 19, 2021, the Company entered into a Business Combination Agreement with Dynamics Special Purpose Corp. (“DYNS”), a publicly traded SPAC. Under the terms of the proposed transaction, DYNS will merge with the Company at an estimated combined enterprise value of approximately $276.0 million. The cash components of the transaction will be funded by DYNS’ cash in trust of $230.0 million (assuming no redemptions) as well as a $66.8 million private placement of common stock at $10.00 per share from various accredited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(“U.S. GAAP”) and the rules and 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consolidated financial statements include the accounts of Senti Biosciences, Inc., and its wholly-owned subsidiary. All intercompany balances and transactions have been eliminated in consolidation. We have one business activity and operate in one reportable segment.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the accrual for research and development expenses, the valuation of stock-based awards, the valuation of convertible notes, the valuation of common and redeemable convertible preferred stock, the valuation of preferred stock tranche liability, standalone selling price (“SSP”) and the determination of the incremental borrowing rate. Actual results could differ from those estimates, and such differences could be material to the financial position and consolidated statements of operations and comprehensive loss.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During 2021, widespread availability of COVID-19 vaccines in the United States and elsewhere in the world, combined with government assistance programs, fiscal policies and other factors, led to a rebound in the global economy as several states and countries began to re-open and loosen many COVID-19 related restrictions. Nonetheless, the COVID-19 pandemic remains a global health crisis and continues to evolve. Despite the emergence of new variants, increased public safety measures and deployment of vaccines, including vaccine boosters, to slow the spread of the virus have resulted in substantial improvements in the global economy throughout 2021 and into early 2022. As of December 31, 2021, we were operating at pre-pandemic levels.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of cash, cash equivalents, and short-term investments that are maintained in checking and money market accounts 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82"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one financial institution, which at times, may exceed federally insured limits. The Company’s short-term investments, if any, are limited to certain types of debt securities issued by the U.S. government, its agencies, and institutions with investment-grade credit ratings, and places restrictions on maturities and concentration by type and issuer. The Company believes that it is not exposed to significant credit risk due to the financial position of the institutions in which those deposits and short-term investments are held. As of December 31, 2021 and 2020, the Company has not experienced any credit losses in such accounts or investments.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Cash equivalents consist of amounts deposited in money market funds and securities with original maturity dates of three months or less, which are stated at fair value.</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Company’s restricted cash consists of cash deposited with a financial institution as collateral for a letter of credit required under the Company’s headquarters and research facility leases. The restricted cash is presented separately from cash and cash equivalents and classified as non-current on the balance sheet, as the Company expects the cash to remain restricted for a period greater than one year.</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that total to the amounts shown in the consolidated statements of cash flows for the Company:</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3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3,257</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4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59,291</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$ 31,034</w:t>
            </w:r>
          </w:p>
        </w:tc>
      </w:tr>
      <w:tr>
        <w:trPr>
          <w:trHeight w:val="20"/>
        </w:trPr>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Investments in marketable securities with original maturities less than 12 months from the balance sheet date, if any, are classified as short-term investments. Investments with original maturities of greater than 12 months from the balance sheet date, if any, are classified as long-term. The Company classifies all of its investments as available-for-sale and records such assets at estimated fair value in the balance sheet, with unrealized gains and losses, if any, reported as a component of other comprehensive loss within the consolidated statement of operations and comprehensive loss, and as a separate component of stockholders’ equity. These investments consist of corporate debt securities, U.S. Government securities, asset-based securities, and commercial paper, which are subject to minimal credit and market risk. The Company uses the specific identification method to determine the amount of realized gains or losses on sales of marketable securities. Realized gains and losses on sales of securities and declines in the fair value of securities judged to be other than temporary are included in other income or expense. Unrealized gains and losses are included in other comprehensive loss. Interest on available-for-sale securities is included in interest income in the consolidated statements of operations and comprehensive loss.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the exit price that would be paid to transfer a liability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82"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400"/>
        <w:spacing w:after="0" w:line="289" w:lineRule="auto"/>
        <w:rPr>
          <w:sz w:val="20"/>
          <w:szCs w:val="20"/>
          <w:color w:val="auto"/>
        </w:rPr>
      </w:pPr>
      <w:r>
        <w:rPr>
          <w:rFonts w:ascii="Times New Roman" w:cs="Times New Roman" w:eastAsia="Times New Roman" w:hAnsi="Times New Roman"/>
          <w:sz w:val="17"/>
          <w:szCs w:val="17"/>
          <w:color w:val="auto"/>
        </w:rPr>
        <w:t>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63"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cash and cash equivalents, restricted cash, trade, and other receivables and accounts payable approximate their carrying values given their short-term nature.</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preferred stock tranche liability were carried at fair value from the date of issuance through their respective extinguishment in October 2020 and May 2021, and were determined using Level 3 inputs in the fair value hierarchy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Property and equipment, net is stated at cost, net of accumulated depreciation. Depreciation is calculated using the straight-line method over the estimated useful lives of the assets, which are as 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equipment</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the lease term and the useful life</w:t>
            </w:r>
          </w:p>
        </w:tc>
      </w:tr>
    </w:tbl>
    <w:p>
      <w:pPr>
        <w:spacing w:after="0" w:line="19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during the construction phase of a project or asset into construction-in-progress. Once the construction is complete and the asset is placed into service, we transfer its carrying value into the appropriate fixed asset category and begin depreciating the value over its useful life.</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When assets are retired or disposed of, any resulting gain or loss is included in net loss. Expenditures for maintenance and repairs are expensed as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evaluates its long-lived assets, such as property and equipment, net, for impairment whenever events or changes in circumstances indicate that the carrying value of assets may not be recoverable.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82"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Recoverability of these assets is measured by comparing their carrying value to the future net undiscounted cash flows the assets are expected to generate over their remaining economic life. If such assets are considered to be impaired, the amount of any impairment is measured as the difference between their carrying value and their fair value. If the useful life is shorter than originally estimated, the Company amortizes the remaining carrying value over the revised shorter useful life.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on the consolidated balance sheets with right-of-use assets (“ROU”) representing the Company’s right to use an underlying asset for the lease term and lease liabilities representing the Company’s obligation to make lease payments. Operating lease ROU assets and liabilities are recognized at the lease commencement date based on the present value of lease payments over the lease term. Operating lease ROU assets also include the effect of any lease payments made prior to or on lease commencement and excludes lease incentives and initial direct costs incurred, as applicable. As the implicit rate in the Company’s leases is typically unknown, the Company uses its incremental borrowing rate based on the information available at the lease commencement date in determining the present value of future lease payments. The Company gives consideration to its credit risk, the term of the lease, and total lease payments and adjusts for the impacts of collateral as necessary when calculating its incremental borrowing rates. The lease terms may include options to extend or terminate the lease when it is reasonably certain that the Company will exercise that option. Operating lease expense is recognized on a straight-line basis over the lease term. Variable lease payments are recorded as an expense in the period incurred.</w:t>
      </w:r>
    </w:p>
    <w:p>
      <w:pPr>
        <w:spacing w:after="0" w:line="19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 has elected to not separate lease and non-lease components for any leases within its existing classes of assets and, as a result, accounts for any lease and non-lease components as a single lease component. The Company has also elected not to apply the recognition requirement for leases with a term of 12 months or 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Revenue</w:t>
      </w:r>
    </w:p>
    <w:p>
      <w:pPr>
        <w:spacing w:after="0" w:line="121" w:lineRule="exact"/>
        <w:rPr>
          <w:sz w:val="20"/>
          <w:szCs w:val="20"/>
          <w:color w:val="auto"/>
        </w:rPr>
      </w:pPr>
    </w:p>
    <w:p>
      <w:pPr>
        <w:ind w:left="120" w:right="440"/>
        <w:spacing w:after="0" w:line="276" w:lineRule="auto"/>
        <w:rPr>
          <w:sz w:val="20"/>
          <w:szCs w:val="20"/>
          <w:color w:val="auto"/>
        </w:rPr>
      </w:pPr>
      <w:r>
        <w:rPr>
          <w:rFonts w:ascii="Times New Roman" w:cs="Times New Roman" w:eastAsia="Times New Roman" w:hAnsi="Times New Roman"/>
          <w:sz w:val="17"/>
          <w:szCs w:val="17"/>
          <w:color w:val="auto"/>
        </w:rPr>
        <w:t>Revenue is recognized when a customer obtains control of promised goods or services. The Company applies the following five steps to recognize revenue: (i) identify the contract with a customer; (ii) identify the performance obligations in the contract; (iii) determine the transaction price;</w:t>
      </w:r>
    </w:p>
    <w:p>
      <w:pPr>
        <w:spacing w:after="0" w:line="1" w:lineRule="exact"/>
        <w:rPr>
          <w:sz w:val="20"/>
          <w:szCs w:val="20"/>
          <w:color w:val="auto"/>
        </w:rPr>
      </w:pPr>
    </w:p>
    <w:p>
      <w:pPr>
        <w:ind w:left="120" w:right="320" w:hanging="4"/>
        <w:spacing w:after="0" w:line="260" w:lineRule="auto"/>
        <w:tabs>
          <w:tab w:leader="none" w:pos="4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 (v) recognize revenue when (or as) the performance obligations are satisfied.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that is distinct. A product or a service is distinct if both</w:t>
      </w:r>
    </w:p>
    <w:p>
      <w:pPr>
        <w:spacing w:after="0" w:line="27" w:lineRule="exact"/>
        <w:rPr>
          <w:sz w:val="20"/>
          <w:szCs w:val="20"/>
          <w:color w:val="auto"/>
        </w:rPr>
      </w:pPr>
    </w:p>
    <w:p>
      <w:pPr>
        <w:ind w:left="120" w:right="60" w:hanging="4"/>
        <w:spacing w:after="0" w:line="253" w:lineRule="auto"/>
        <w:tabs>
          <w:tab w:leader="none" w:pos="33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distinct from other promises in the contract, such promises should be combined into a single performance obligation. The assessment of each of these elements may require significant judgments.</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Arrangements that include rights to additional goods or services that are exercisable at a customer’s discretion are generally considered options. If these options provide a material right to the customer, they are considered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82"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is entitled to receive in exchange for the transfer of control of a product or a service to a customer. The Company’s agreements may include both fixed and variable consideration. Fixed payments are included in the transaction price, while variable consideration, such as milestone payments and fees for research services, are estimated and constrained (if required) at the inception of the contract and evaluated on a periodic basis thereafter.</w:t>
      </w:r>
    </w:p>
    <w:p>
      <w:pPr>
        <w:spacing w:after="0" w:line="18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If a contract has multiple performance obligations, the Company allocates the transaction price to each distinct performance obligation based on the relative stand-alone selling price (“SSP”) of the performance obligation. The Company determines SSP at contract inception and at contract modification. Determining the SSP for performance obligations requires significant judgment. Changes in the key assumptions used to determine the SSP could have a significant effect on the allocation of arrangement consideration between multiple performance obligations.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For each distinct performance obligation, revenue is recognized as the Company transfers control of the product or the service applicable to such performance obligations. In instances where the Company first receives consideration in advance of satisfying its performance obligation, the Company classifies such consideration as deferred revenue until the Company satisfies such performance obligations. In instances where the Company first satisfies its performance obligation prior to its receipt of consideration, the consideration is a contract asset recorded in prepaid expenses and other current assets on the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receives government grants that reimburse the Company for certain allowable costs for funded projects. Grant income is recognized on a systematic basis over the period in which the Company recognizes qualified research and development costs that grant is intended to compensate and there is reasonable assurance that the Company will meet the terms and conditions of the grant. This income is recorded as grant income in the consolidated statements of operations and comprehensive loss.</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Grant payments received in excess of grant revenue earned are recognized as deferred revenue on the balance sheets, and grant income earned in excess of grant payments received is recognized as trade and other receivables on the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and other personnel-related expenses, including associated stock-based compensation, lab supplies and services, in-license and technology costs, consulting and sponsored research fees, facility costs and depreciation expense.</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and services that will be used or received in future research and development activities are deferred and recognized as an expense in the period in which the related goods are delivered, or services are performed.</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has acquired and may continue to acquire the rights to gene circuit or other technologies from third parties. The upfront payments to acquire a license, product, or rights, as well as any annual maintenance charges and future milestone payments, are immediately recognized as research and development expense provided that there is no alternative future use of the rights in other research and development projects.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82"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Deferred offering costs consists of incremental legal, accounting and other fees directly attributable to equity offerings. Deferred offering costs are capitalized within prepaid and other current assets on the consolidated balance sheets and are offset against proceeds of the offering in the consolidated statements of redeemable convertible preferred stock and stockholders’ deficit as a reduction of additional paid-in capital upon the completion of the equity offering. In the event the equity offering is terminated, all of the deferred offering costs are expensed within the Company’s consolidated statements of operations and comprehensive loss. For the year ended December 31, 2021 the Company expensed $2.2 million of previously deferred offering costs related to the suspended IPO within general and administrative expense on the consolidated statement of operations and comprehensive loss. As of December 31, 2021, the Company has recorded $1.4 million of deferred offering costs related to the pending SPAC merger that is included in prepaids and other current assets. There were no deferred offering costs as of December 31, 2020.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2021 and 2020.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elected to account for its convertible notes at fair value as of the issuance date in order to measure those liabilities at amounts that more accurately reflect the current economic environment in which the Company operates. Accordingly, the Company recorded these convertible notes issued in August 2020 at fair value with changes in fair value recognized in change in fair value of convertible notes in the consolidated statements of operations and comprehensive loss. As a result of applying the fair value option, direct costs and fees related to the convertible notes were expensed in the period incurred.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Accretion and Classification of Redeemable Convertible Preferred Stock</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Company’s redeemable convertible preferred stock is recorded based on proceeds received, net of the related preferred stock tranche liability and issuance costs, and is classified outside of stockholders’ deficit on the consolidated balance sheets because the holders of such shares have liquidation rights in the event of a deemed liquidation that, in certain situations, are not solely within the control of the Company and would require the redemption of the then-outstanding redeemable convertible preferred stock. The Company’s Series A and Series B redeemable convertible preferred stock are subject to liquidation, dissolution, or winding up of the Company, either voluntary or involuntary (Note 6). Because the occurrence of a deemed liquidation event is not currently probable as of December 31, 2021, the carrying values of the redeemable convertible preferred stock are not being accreted to their redemption values. Subsequent adjustments to accrete the carrying values of the redeemable convertible preferred stock to its redemption price would be made only when a deemed liquidation event becomes probable.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Company’s Series B redeemable convertible preferred stock included an obligation whereby the investors agreed to buy, and the Company agreed to sell additional shares at a fixed price in the event that certain agreed-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82"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upon milestones were achieved or at the election of investors. This obligation was determined to be a freestanding financial instrument that should be accounted for as a liability at fair value (Notes 3 and 6). This preferred stock tranche liability was revalued at each reporting period through settlement with changes in the fair value recorded as a change in preferred stock tranche liability in the consolidated statements of operations and comprehensive loss. The fair value at settlement was reclassified to redeemable convertible preferred stock at such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employees and non-employees based on the grant date fair value of the awards. For awards that vest solely based on continued service, stock-based compensation expense is recognized in the consolidated statements of operations using the straight-line method. For performance and market awards, stock-based compensation expense is recognized over the requisite service period using the accelerated attribution method. No compensation expense will be recognized for awards subject to performance conditions until it is probable that the performance condition will be met.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allowed specified option holders to exercise unvested options. The options that are exercised prior to vesting continue to vest according to the respective option agreement, and such unvested shares are subject to repurchase by the Company at the option holder’s original exercise price in the event the option holder’s service with the Company voluntarily or involuntarily terminates.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records proceeds from the early exercise of options as a current and long-term liability in the consolidated balance sheet, and reclassifies this liability to additional paid-in capital as the Company’s repurchase right lapses. The shares purchased by the option holders pursuant to the early exercise of stock options are not deemed, for accounting purposes, to be outstanding until those shares have vested.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loss available to common stockholders for the period to be allocated between common and participating securities based upon their respective rights to share in undistributed earnings as if all loss for the period had been distributed.</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attributable to common stockholders by the weighted-average number of common shares outstanding for the period. Diluted net loss per share attributable to common stockholders is computed by adjusting net loss attributable to common stockholders for an allocation of the undistributed earnings and dividing it by the weighted-average number of common shares outstanding for the period, including potential dilutive common shares. For purposes of this calculation, the Company’s outstanding stock options, redeemable convertible preferred stock, and potential issuance of redeemable convertible preferred stock under existing preferred stock tranches, are considered potential dilutive common shares.</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participating securities contractually entitle the holders of such securities to participate in dividends but do not contractually require the holders of such securities to participate in losses of the Company.</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such losses are not allocated to such participating securities. In periods in which the Company reports a net loss attributable to common stockholders, diluted net loss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82"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per share attributable to common stockholders is the same as basic net loss per share attributable to common stockholders, since dilutive common shares are not assumed to have been issued if their effect is anti-dilutive.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basis of assets and liabilities using enacted tax rates in effect for the year in which the differences are expected to reverse. The effect of a change in tax rates on deferred tax assets and liabilities is recognized in the consolidated statement of operations in the period that includes the enactment date.</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To date, there have been no interest charges or penalties related to unrecognized tax benefits.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For trade receivables and other instruments, a new forward-looking expected loss model that generally results in the earlier recognition of allowances for losses will be required. The Company adopted this standard as of January 1, 2021, which did not have a material impact on its consolidated financial statements.</w:t>
      </w:r>
    </w:p>
    <w:p>
      <w:pPr>
        <w:spacing w:after="0" w:line="182" w:lineRule="exact"/>
        <w:rPr>
          <w:sz w:val="20"/>
          <w:szCs w:val="20"/>
          <w:color w:val="auto"/>
        </w:rPr>
      </w:pPr>
    </w:p>
    <w:p>
      <w:pPr>
        <w:ind w:left="120" w:right="380"/>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eliminates, modifies, and adds disclosure requirements for fair value measurements. The Company adopted this standard as of January 1, 2021, and modified its disclosures accordingly. The standard did not have a material impact on the Company’s consolidated financial statements.</w:t>
      </w:r>
    </w:p>
    <w:p>
      <w:pPr>
        <w:spacing w:after="0" w:line="173" w:lineRule="exact"/>
        <w:rPr>
          <w:sz w:val="20"/>
          <w:szCs w:val="20"/>
          <w:color w:val="auto"/>
        </w:rPr>
      </w:pPr>
    </w:p>
    <w:p>
      <w:pPr>
        <w:jc w:val="both"/>
        <w:ind w:left="120" w:right="300"/>
        <w:spacing w:after="0" w:line="290" w:lineRule="auto"/>
        <w:rPr>
          <w:sz w:val="20"/>
          <w:szCs w:val="20"/>
          <w:color w:val="auto"/>
        </w:rPr>
      </w:pPr>
      <w:r>
        <w:rPr>
          <w:rFonts w:ascii="Times New Roman" w:cs="Times New Roman" w:eastAsia="Times New Roman" w:hAnsi="Times New Roman"/>
          <w:sz w:val="17"/>
          <w:szCs w:val="17"/>
          <w:color w:val="auto"/>
        </w:rPr>
        <w:t xml:space="preserve">In November 2018, the FASB issued ASU No. 2018-18,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82"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customer. The Company adopted this standard as of January 1, 2021 which did not have a material impact on its consolidated financial statements.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(Topic 740), which removes certain exceptions to the general principles in Topic 740 and improves consistent application of and simplifies GAAP for other areas of Topic 740 by clarifying and amending existing guidance. This ASU is effective for fiscal years beginning after December 15, 2021, and interim periods within those fiscal years with early adoption permitted. The Company is currently evaluating the impact of this standard but does not expect the adoption will have a material impact on its consolidated financial statements and related disclosures.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issued ASU No. 2020-03, </w:t>
      </w:r>
      <w:r>
        <w:rPr>
          <w:rFonts w:ascii="Times New Roman" w:cs="Times New Roman" w:eastAsia="Times New Roman" w:hAnsi="Times New Roman"/>
          <w:sz w:val="18"/>
          <w:szCs w:val="18"/>
          <w:i w:val="1"/>
          <w:iCs w:val="1"/>
          <w:color w:val="auto"/>
        </w:rPr>
        <w:t>Codification Improvements to Financial Instruments</w:t>
      </w:r>
      <w:r>
        <w:rPr>
          <w:rFonts w:ascii="Times New Roman" w:cs="Times New Roman" w:eastAsia="Times New Roman" w:hAnsi="Times New Roman"/>
          <w:sz w:val="18"/>
          <w:szCs w:val="18"/>
          <w:color w:val="auto"/>
        </w:rPr>
        <w:t>. This standard improves and clarifies various financial instruments topics and includes seven different issues that describe the areas of improvement and the related amendments to GAAP that are intended to make the standards easier to understand and apply by eliminating inconsistencies and providing clarifications. This ASU is effective January 1, 2023 with early adoption permitted. The Company is currently evaluating the impact of this standard.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 Hedging</w:t>
      </w:r>
    </w:p>
    <w:p>
      <w:pPr>
        <w:spacing w:after="0" w:line="29"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i w:val="1"/>
          <w:iCs w:val="1"/>
          <w:color w:val="auto"/>
        </w:rPr>
        <w:t>— 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This standard is effective for fiscal years beginning after December 15, 2023, including interim periods within those fiscal years with early adoption permitted. The Company is currently evaluating the impact of this standard on its consolidated financial statements and related disclosures.</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In October 2020, the FASB issued ASU No. 2020-10,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moves all disclosure guidance to the appropriate codification section and makes other improvements and technical corrections. The standard is effective for fiscal years beginning after December 15, 2021, including interim periods within those fiscal years with early adoption permitted. The Company is currently evaluating the impact of this standard on its consolidated financial statements and related disclosures.</w:t>
      </w:r>
    </w:p>
    <w:p>
      <w:pPr>
        <w:spacing w:after="0" w:line="180"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which seeks to increase the transparency of government assistance including the disclosure of (1) the types of assistance, (2)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U.S. GAAP. ASU 2021-10 is effective for fiscal years beginning after December 15, 2021. Early application of the amendments is permitted. The Company is currently evaluating the impact of this standard on its consolidated financial statements and related disclosures.</w:t>
      </w:r>
    </w:p>
    <w:p>
      <w:pPr>
        <w:spacing w:after="0" w:line="182"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370-50),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Compensation-Stock Compensation (Topic 718),and Derivatives and Hedging-Contracts in Entity’s Own Equity (Subtopic 815-40); Issuer’s Accounting for Certain Modifications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82"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Exchanges of Freestanding Equity-Classified Written Call Options (a consensus of the FASB Emerging Issues Task Force)</w:t>
      </w:r>
      <w:r>
        <w:rPr>
          <w:rFonts w:ascii="Times New Roman" w:cs="Times New Roman" w:eastAsia="Times New Roman" w:hAnsi="Times New Roman"/>
          <w:sz w:val="18"/>
          <w:szCs w:val="18"/>
          <w:color w:val="auto"/>
        </w:rPr>
        <w:t>, which clarifies and reduces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that remain equity classified after modification or exchange. The standard is effective for all entities for fiscal years beginning after December 15, 2021. Adoption of this standard will not have a material impact on the Company’s consolidated financial statements.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summarize the estimated value of cash equivalents, restricted cash and short-term investments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60" w:type="dxa"/>
            <w:vAlign w:val="bottom"/>
            <w:gridSpan w:val="4"/>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6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5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w:t>
            </w:r>
          </w:p>
        </w:tc>
        <w:tc>
          <w:tcPr>
            <w:tcW w:w="31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$ 56,034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$ 56,034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w:t>
            </w:r>
          </w:p>
        </w:tc>
        <w:tc>
          <w:tcPr>
            <w:tcW w:w="212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$ 59,291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$ 59,291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60" w:type="dxa"/>
            <w:vAlign w:val="bottom"/>
            <w:gridSpan w:val="4"/>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6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5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w:t>
            </w:r>
          </w:p>
        </w:tc>
        <w:tc>
          <w:tcPr>
            <w:tcW w:w="31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$ 30,387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$ 30,387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w:t>
            </w:r>
          </w:p>
        </w:tc>
        <w:tc>
          <w:tcPr>
            <w:tcW w:w="212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$ 30,884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$ 30,884</w:t>
            </w: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color w:val="auto"/>
                <w:w w:val="99"/>
              </w:rPr>
              <w:t>Financial assets and liabilities measured and recognized at fair value are as follows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6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33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$56,034</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33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23"/>
        </w:trPr>
        <w:tc>
          <w:tcPr>
            <w:tcW w:w="3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56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59,291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80" w:type="dxa"/>
            <w:vAlign w:val="bottom"/>
            <w:gridSpan w:val="5"/>
          </w:tcPr>
          <w:p>
            <w:pPr>
              <w:jc w:val="right"/>
              <w:ind w:right="1660"/>
              <w:spacing w:after="0"/>
              <w:rPr>
                <w:sz w:val="20"/>
                <w:szCs w:val="20"/>
                <w:color w:val="auto"/>
              </w:rPr>
            </w:pPr>
            <w:r>
              <w:rPr>
                <w:rFonts w:ascii="Times New Roman" w:cs="Times New Roman" w:eastAsia="Times New Roman" w:hAnsi="Times New Roman"/>
                <w:sz w:val="18"/>
                <w:szCs w:val="18"/>
                <w:color w:val="auto"/>
              </w:rPr>
              <w:t>F-61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6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30,387</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30,884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30,884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tranche liability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$ 435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$ 435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securities have contractual maturities of longer than one year. There were no transfers between Levels 1, 2, or 3 for any of the periods presented.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Due to certain embedded features within the convertible notes (Note 5), the Company elected to account for the convertible notes under the fair value option.</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At issuance in August 2020, the convertible notes were recorded at fair value of $8.9 million, resulting in a loss on issuance of $0.9 million which is included in the change in fair value of convertible note.</w:t>
      </w:r>
    </w:p>
    <w:p>
      <w:pPr>
        <w:spacing w:after="0" w:line="162"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The fair value of the convertible notes at issuance was determined using a probability-weighted income approach as the convertible notes contained various settlement outcomes. The following reflects the significant quantitative inputs used to fair value the convertible notes at issuance.</w:t>
      </w:r>
    </w:p>
    <w:p>
      <w:pPr>
        <w:spacing w:after="0" w:line="14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On</w:t>
            </w:r>
          </w:p>
        </w:tc>
      </w:tr>
      <w:tr>
        <w:trPr>
          <w:trHeight w:val="173"/>
        </w:trPr>
        <w:tc>
          <w:tcPr>
            <w:tcW w:w="59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00" w:type="dxa"/>
            <w:vAlign w:val="bottom"/>
            <w:tcBorders>
              <w:bottom w:val="single" w:sz="8" w:color="CCEEFF"/>
            </w:tcBorders>
          </w:tcPr>
          <w:p>
            <w:pPr>
              <w:spacing w:after="0"/>
              <w:rPr>
                <w:sz w:val="15"/>
                <w:szCs w:val="15"/>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maturity (years)</w:t>
            </w:r>
          </w:p>
        </w:tc>
        <w:tc>
          <w:tcPr>
            <w:tcW w:w="2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automatic conversion upon qualified financing</w:t>
            </w:r>
          </w:p>
        </w:tc>
        <w:tc>
          <w:tcPr>
            <w:tcW w:w="2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optional conversion</w:t>
            </w:r>
          </w:p>
        </w:tc>
        <w:tc>
          <w:tcPr>
            <w:tcW w:w="2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no conversion</w:t>
            </w:r>
          </w:p>
        </w:tc>
        <w:tc>
          <w:tcPr>
            <w:tcW w:w="2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$1.4784</w:t>
            </w:r>
          </w:p>
        </w:tc>
      </w:tr>
    </w:tbl>
    <w:p>
      <w:pPr>
        <w:spacing w:after="0" w:line="19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and sale of Series B redeemable convertible preferred stock in October 2020 (Note 6), all of the outstanding principal and accrued interest of $8.1 million under the convertible notes was converted into 5,485,858 shares of Series B redeemable convertible preferred stock and the related preferred stock tranche liability. The fair value of the convertibles notes of $8.7 million on the date of conversion was determined using the Backsolve method based on the price of the Series B redeemable convertible preferred stock and, if purchased, the related preferred stock tranche liability.</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40"/>
          </w:cols>
          <w:pgMar w:left="320" w:top="482" w:right="5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roll-forward of the fair value of the convertible notes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in August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Series B redeemable convertible preferred stock</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(7,940)</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preferred stock tranche liability</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initial and subsequent fair values of the preferred stock tranche liability recognized in connection with the issuance of Series B redeemable convertible preferred stock financing were determined with the assistance of a third-party valuation specialist using significant inputs not observable in the market which constitute Level 3 measurements within the fair value hierarchy.</w:t>
      </w:r>
    </w:p>
    <w:p>
      <w:pPr>
        <w:spacing w:after="0" w:line="176"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for fiscal year 2020 on initial closing on October 22, 2020, second closing on December 28, 2020 and subsequent measurement as of December 31, 2020 using a Monte Carlo valuation model and/or Black-Scholes option pricing model:</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October 22, 2020</w:t>
            </w: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28 and December 31, 2020</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Initial Measurement Date</w:t>
            </w: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Subsequent Measurement Dates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 2 Call</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 3 Call</w:t>
            </w:r>
          </w:p>
        </w:tc>
        <w:tc>
          <w:tcPr>
            <w:tcW w:w="1800" w:type="dxa"/>
            <w:vAlign w:val="bottom"/>
            <w:gridSpan w:val="3"/>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Tranche Features</w:t>
            </w:r>
          </w:p>
        </w:tc>
        <w:tc>
          <w:tcPr>
            <w:tcW w:w="1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Tranche 2 and 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2 and 3 Call</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4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0" w:type="dxa"/>
            <w:vAlign w:val="bottom"/>
          </w:tcPr>
          <w:p>
            <w:pPr>
              <w:spacing w:after="0"/>
              <w:rPr>
                <w:sz w:val="1"/>
                <w:szCs w:val="1"/>
                <w:color w:val="auto"/>
              </w:rPr>
            </w:pP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w:t>
            </w: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2"/>
                <w:szCs w:val="22"/>
                <w:color w:val="auto"/>
                <w:vertAlign w:val="subscript"/>
              </w:rPr>
              <w:t>(1)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Probability of call option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1.6427</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1.6427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1.6427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1.6427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0.143</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0.199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was estimated using the Backsolve method.</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the tranche features on a per share basis was $0.172 as of October 22, 2020, $0.012 as of December 28, 2020 and December 31, 2020.</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 the October 2020 issuance of Series B redeemable convertible preferred stock, certain investors received the right to participate in two additional closings at a fixed price which were valued as a call option (Note 6) when issued.</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December 2020 issuance of Series B redeemable convertible preferred stock, certain investors of Series B redeemable convertible preferred stock that held 48.65% of the Company’s outstanding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82"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shares and have 2 seats on the Company’s board of directors, forfeited their rights to participate in two additional closings of Series B redeemable convertible preferred stock which resulted in the measurement of the preferred stock tranche liability as a combination of a call option and forward contract.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January 2021, the Company issued additional Series B redeemable convertible preferred stock, and recorded an addition to the tranche liability of</w:t>
      </w:r>
    </w:p>
    <w:p>
      <w:pPr>
        <w:spacing w:after="0" w:line="27"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$33 thousand in recognition of the obligation to sell additional shares at a fixed price in the event that certain agreed-upon milestones are achieved or at the election of investors.</w:t>
      </w:r>
    </w:p>
    <w:p>
      <w:pPr>
        <w:spacing w:after="0" w:line="18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certain technical milestones within the Series B agreements had been achieved and approved the notice to call tranches 2 and 3, subject to requisite stockholders’ written election and related waivers. The second and third closings occurred on May 14, 2021 and all 39,366,050 shares of Series B redeemable convertible preferred stock were acquired thereby extinguishing the preferred stock tranche liability.</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value of the tranche rights acquired on May 14, 2021 was determined using the current value method as both tranches were called by the Company on the valuation date. The following reflects the significant quantitative inputs used in the valuation of the preferred stock tranche liability as of May 14, 2021 using a weighted comparable guideline IPO (high and low) and SPAC transactions for the public scenario and the Black-Scholes pricing model for the staying private scenario:</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14, 2021</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1700" w:type="dxa"/>
            <w:vAlign w:val="bottom"/>
            <w:gridSpan w:val="4"/>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Tranches 2 and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1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7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Staying</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11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Series B redeemable convertible preferred 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$ 1.637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0.395</w:t>
            </w: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value of Series B redeemable convertible preferred stock</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difference between the weighted-average value of Series B redeemable convertible preferred stock of $2.032 and the strike price of $1.6427 is the $0.3893 weighted-average fair value of the tranche feature on a per share basis as of May 14, 2021 for a total fair value of $15.2 million.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00"/>
          </w:cols>
          <w:pgMar w:left="320" w:top="482" w:right="4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roll-forward of the change in the preferred stock tranche liability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6"/>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8"/>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closing on October 22, 2020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tranche rights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(4,968)</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Second closing on December 28, 2020</w:t>
            </w:r>
          </w:p>
        </w:tc>
        <w:tc>
          <w:tcPr>
            <w:tcW w:w="70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tranche rights from January 2021 issuance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80" w:type="dxa"/>
            <w:vAlign w:val="bottom"/>
            <w:gridSpan w:val="7"/>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Tranche liability extinguishment</w:t>
            </w:r>
          </w:p>
        </w:tc>
        <w:tc>
          <w:tcPr>
            <w:tcW w:w="520" w:type="dxa"/>
            <w:vAlign w:val="bottom"/>
            <w:gridSpan w:val="2"/>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70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Other Financial Statement information</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$1,157</w:t>
            </w: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deferred offering costs</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contract</w:t>
            </w:r>
          </w:p>
        </w:tc>
        <w:tc>
          <w:tcPr>
            <w:tcW w:w="2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8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3,676</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$3,459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8,048</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12,368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3,312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$0.8 million and $0.6 million, respectively. For the years ended December 31, 2021 and 2020, the Company impaired fixed assets and recorded impairment losses of less than $0.1 million and $0.2 million, respectively.</w:t>
      </w:r>
    </w:p>
    <w:p>
      <w:pPr>
        <w:spacing w:after="0" w:line="1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0240"/>
          </w:cols>
          <w:pgMar w:left="320" w:top="482" w:right="1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$2,555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related expenses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1,933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5,331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1,998</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5. Convertible Notes</w:t>
      </w:r>
    </w:p>
    <w:p>
      <w:pPr>
        <w:spacing w:after="0" w:line="121" w:lineRule="exact"/>
        <w:rPr>
          <w:sz w:val="20"/>
          <w:szCs w:val="20"/>
          <w:color w:val="auto"/>
        </w:rPr>
      </w:pPr>
    </w:p>
    <w:p>
      <w:pPr>
        <w:ind w:left="180" w:right="40"/>
        <w:spacing w:after="0" w:line="282" w:lineRule="auto"/>
        <w:rPr>
          <w:sz w:val="20"/>
          <w:szCs w:val="20"/>
          <w:color w:val="auto"/>
        </w:rPr>
      </w:pPr>
      <w:r>
        <w:rPr>
          <w:rFonts w:ascii="Times New Roman" w:cs="Times New Roman" w:eastAsia="Times New Roman" w:hAnsi="Times New Roman"/>
          <w:sz w:val="18"/>
          <w:szCs w:val="18"/>
          <w:color w:val="auto"/>
        </w:rPr>
        <w:t>In August 2020, the Company issued $8.0 million in convertible notes to existing investors, including related parties, with a stated annual interest rate of 8%. The principal and accrued interest was payable upon maturity in February 2021.</w:t>
      </w:r>
    </w:p>
    <w:p>
      <w:pPr>
        <w:spacing w:after="0" w:line="162" w:lineRule="exact"/>
        <w:rPr>
          <w:sz w:val="20"/>
          <w:szCs w:val="20"/>
          <w:color w:val="auto"/>
        </w:rPr>
      </w:pPr>
    </w:p>
    <w:p>
      <w:pPr>
        <w:ind w:left="180" w:right="80"/>
        <w:spacing w:after="0" w:line="256" w:lineRule="auto"/>
        <w:rPr>
          <w:sz w:val="20"/>
          <w:szCs w:val="20"/>
          <w:color w:val="auto"/>
        </w:rPr>
      </w:pPr>
      <w:r>
        <w:rPr>
          <w:rFonts w:ascii="Times New Roman" w:cs="Times New Roman" w:eastAsia="Times New Roman" w:hAnsi="Times New Roman"/>
          <w:sz w:val="18"/>
          <w:szCs w:val="18"/>
          <w:color w:val="auto"/>
        </w:rPr>
        <w:t>The outstanding balance of principal plus accrued and unpaid interest were automatically convertible at the sale of preferred stock of at least $25.0 million (the “Qualified Financing”). On conversion of the convertible notes in a Qualified Financing, the same class of preferred shares would be issued at a price equal to 90% of the fixed price per share paid by the purchasers of preferred stock participating in the Qualified Financing. In connection with the issuance and sale of Series B redeemable convertible preferred stock in October 2020 (Note 6), all of the outstanding principal and accrued interest of $8.1 million under the convertible notes was converted into 5,485,858 shares of Series B redeemable convertible preferred stock and the related preferred stock tranche liability.</w:t>
      </w:r>
    </w:p>
    <w:p>
      <w:pPr>
        <w:spacing w:after="0" w:line="187" w:lineRule="exact"/>
        <w:rPr>
          <w:sz w:val="20"/>
          <w:szCs w:val="20"/>
          <w:color w:val="auto"/>
        </w:rPr>
      </w:pPr>
    </w:p>
    <w:p>
      <w:pPr>
        <w:ind w:left="180" w:right="1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recorded a fair value loss of $0.7 million that is included in the change in fair value of convertible notes, in the accompanying consolidated statements of operations and comprehensive loss.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redeemable convertible preferred stock consisted of the following (in thousands, except per share amounts):</w:t>
      </w: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00" w:type="dxa"/>
            <w:vAlign w:val="bottom"/>
          </w:tcPr>
          <w:p>
            <w:pPr>
              <w:spacing w:after="0"/>
              <w:rPr>
                <w:sz w:val="10"/>
                <w:szCs w:val="10"/>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3580" w:type="dxa"/>
            <w:vAlign w:val="bottom"/>
            <w:tcBorders>
              <w:top w:val="single" w:sz="8" w:color="CCEEFF"/>
            </w:tcBorders>
            <w:gridSpan w:val="3"/>
            <w:shd w:val="clear" w:color="auto" w:fill="CCEEFF"/>
          </w:tcPr>
          <w:p>
            <w:pPr>
              <w:jc w:val="center"/>
              <w:ind w:left="2450"/>
              <w:spacing w:after="0"/>
              <w:rPr>
                <w:sz w:val="20"/>
                <w:szCs w:val="20"/>
                <w:color w:val="auto"/>
              </w:rPr>
            </w:pPr>
            <w:r>
              <w:rPr>
                <w:rFonts w:ascii="Times New Roman" w:cs="Times New Roman" w:eastAsia="Times New Roman" w:hAnsi="Times New Roman"/>
                <w:sz w:val="18"/>
                <w:szCs w:val="18"/>
                <w:color w:val="auto"/>
              </w:rPr>
              <w:t>$ 1.6427</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35,199,610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35,199,610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3580" w:type="dxa"/>
            <w:vAlign w:val="bottom"/>
            <w:gridSpan w:val="3"/>
          </w:tcPr>
          <w:p>
            <w:pPr>
              <w:jc w:val="center"/>
              <w:ind w:left="2450"/>
              <w:spacing w:after="0"/>
              <w:rPr>
                <w:sz w:val="20"/>
                <w:szCs w:val="20"/>
                <w:color w:val="auto"/>
              </w:rPr>
            </w:pPr>
            <w:r>
              <w:rPr>
                <w:rFonts w:ascii="Times New Roman" w:cs="Times New Roman" w:eastAsia="Times New Roman" w:hAnsi="Times New Roman"/>
                <w:sz w:val="18"/>
                <w:szCs w:val="18"/>
                <w:color w:val="auto"/>
              </w:rPr>
              <w:t>$ 1.6427</w:t>
            </w:r>
          </w:p>
        </w:tc>
        <w:tc>
          <w:tcPr>
            <w:tcW w:w="6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64,534,944</w:t>
            </w:r>
          </w:p>
        </w:tc>
        <w:tc>
          <w:tcPr>
            <w:tcW w:w="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64,534,933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114,425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99,734,554</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99,734,543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171,833</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163,834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Issue</w:t>
            </w:r>
          </w:p>
        </w:tc>
        <w:tc>
          <w:tcPr>
            <w:tcW w:w="200" w:type="dxa"/>
            <w:vAlign w:val="bottom"/>
          </w:tcPr>
          <w:p>
            <w:pPr>
              <w:spacing w:after="0"/>
              <w:rPr>
                <w:sz w:val="10"/>
                <w:szCs w:val="10"/>
                <w:color w:val="auto"/>
              </w:rPr>
            </w:pPr>
          </w:p>
        </w:tc>
        <w:tc>
          <w:tcPr>
            <w:tcW w:w="10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104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80" w:type="dxa"/>
            <w:vAlign w:val="bottom"/>
          </w:tcPr>
          <w:p>
            <w:pPr>
              <w:spacing w:after="0"/>
              <w:rPr>
                <w:sz w:val="15"/>
                <w:szCs w:val="15"/>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96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$ 1.6427</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35,199,610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35,199,610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$ 57,408</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364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color w:val="auto"/>
                <w:w w:val="98"/>
              </w:rPr>
              <w:t>$ 1.6427</w:t>
            </w:r>
          </w:p>
        </w:tc>
        <w:tc>
          <w:tcPr>
            <w:tcW w:w="2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64,534,944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23,748,457</w:t>
            </w:r>
          </w:p>
        </w:tc>
        <w:tc>
          <w:tcPr>
            <w:tcW w:w="10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$ 32,254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99,734,554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58,948,067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$ 89,662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96,834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640" w:type="dxa"/>
            <w:vAlign w:val="bottom"/>
            <w:gridSpan w:val="4"/>
            <w:vMerge w:val="restart"/>
          </w:tcPr>
          <w:p>
            <w:pPr>
              <w:ind w:left="2360"/>
              <w:spacing w:after="0"/>
              <w:rPr>
                <w:sz w:val="20"/>
                <w:szCs w:val="20"/>
                <w:color w:val="auto"/>
              </w:rPr>
            </w:pPr>
            <w:r>
              <w:rPr>
                <w:rFonts w:ascii="Times New Roman" w:cs="Times New Roman" w:eastAsia="Times New Roman" w:hAnsi="Times New Roman"/>
                <w:sz w:val="18"/>
                <w:szCs w:val="18"/>
                <w:color w:val="auto"/>
              </w:rPr>
              <w:t>F-66</w:t>
            </w: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80" w:type="dxa"/>
            <w:vAlign w:val="bottom"/>
          </w:tcPr>
          <w:p>
            <w:pPr>
              <w:spacing w:after="0"/>
              <w:rPr>
                <w:sz w:val="24"/>
                <w:szCs w:val="24"/>
                <w:color w:val="auto"/>
              </w:rPr>
            </w:pPr>
          </w:p>
        </w:tc>
        <w:tc>
          <w:tcPr>
            <w:tcW w:w="36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60" w:top="482"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180" w:right="240"/>
        <w:spacing w:after="0" w:line="258" w:lineRule="auto"/>
        <w:rPr>
          <w:sz w:val="20"/>
          <w:szCs w:val="20"/>
          <w:color w:val="auto"/>
        </w:rPr>
      </w:pPr>
      <w:r>
        <w:rPr>
          <w:rFonts w:ascii="Times New Roman" w:cs="Times New Roman" w:eastAsia="Times New Roman" w:hAnsi="Times New Roman"/>
          <w:sz w:val="18"/>
          <w:szCs w:val="18"/>
          <w:color w:val="auto"/>
        </w:rPr>
        <w:t>In October 2020, the Company issued 15,624,670 shares of Series B redeemable convertible preferred stock at a price of $1.6427 per share for total proceeds of $25.7 million, net of issuance costs of $0.1 million, and converted the related convertible notes into 5,485,858 shares of Series B redeemable convertible preferred stock. The terms of the Series B redeemable convertible preferred stock included the obligations for the investors to purchase, and the Company to sell, 16,842,176 and 18,668,438 additional shares of Series B redeemable convertible preferred stock in two additional closings (“Tranche 2” and “Tranche 3”) for a price of $1.6427 per share.</w:t>
      </w:r>
    </w:p>
    <w:p>
      <w:pPr>
        <w:spacing w:after="0" w:line="183"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color w:val="auto"/>
        </w:rPr>
        <w:t>On December 28, 2020, the Company issued 2,637,929 shares of Series B redeemable convertible preferred stock to new and existing investors for gross proceeds of $4.3 million, net of issuance costs of $0.2 million. These Series B redeemable convertible preferred stock also included obligations for the investors to purchase, and the Company to sell, 2,637,929 additional shares of Series B redeemable convertible preferred stock in both Tranche 2 and Tranche 3 for a price of $1.6427 per share. Also on December 28, 2020, certain investors forfeited their rights and obligations to purchase 1,217,506 and 3,043,768 shares of Series B redeemable convertible preferred stock in Tranche 2 and Tranche 3, respectively.</w:t>
      </w:r>
    </w:p>
    <w:p>
      <w:pPr>
        <w:spacing w:after="0" w:line="183" w:lineRule="exact"/>
        <w:rPr>
          <w:sz w:val="20"/>
          <w:szCs w:val="20"/>
          <w:color w:val="auto"/>
        </w:rPr>
      </w:pPr>
    </w:p>
    <w:p>
      <w:pPr>
        <w:ind w:left="180" w:right="200"/>
        <w:spacing w:after="0" w:line="258" w:lineRule="auto"/>
        <w:rPr>
          <w:sz w:val="20"/>
          <w:szCs w:val="20"/>
          <w:color w:val="auto"/>
        </w:rPr>
      </w:pPr>
      <w:r>
        <w:rPr>
          <w:rFonts w:ascii="Times New Roman" w:cs="Times New Roman" w:eastAsia="Times New Roman" w:hAnsi="Times New Roman"/>
          <w:sz w:val="18"/>
          <w:szCs w:val="18"/>
          <w:color w:val="auto"/>
        </w:rPr>
        <w:t>On January 19, 2021, the Company issued 1,420,426 shares of Series B redeemable convertible preferred stock to investors for gross proceeds of $2.3 million, net of issuance costs of $6 thousand. The terms of the Series B redeemable convertible preferred stock sold are the same as the terms of previous issuances of Series B redeemable convertible preferred stock issued in October 2020, and also included obligations for the investors to purchase, and the Company to sell, 1,420,426 additional shares of Series B redeemable convertible preferred stock in each of Tranches 2 and 3 for a price of $1.6427 per share.</w:t>
      </w:r>
    </w:p>
    <w:p>
      <w:pPr>
        <w:spacing w:after="0" w:line="183" w:lineRule="exact"/>
        <w:rPr>
          <w:sz w:val="20"/>
          <w:szCs w:val="20"/>
          <w:color w:val="auto"/>
        </w:rPr>
      </w:pPr>
    </w:p>
    <w:p>
      <w:pPr>
        <w:ind w:left="180" w:right="4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the Series B milestone had been achieved and approved the notice to call tranches 2 and 3, subject to requisite stockholders’ written election and related waivers. The second and third closings occurred on May 14, 2021 and the Company issued 39,366,050 shares of Series B redeemable convertible preferred stock to investors for proceeds of $64.7 million for which no additional issuance costs were incurred.</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summary of the rights and privileges of the holders of redeemable convertible preferred stock:</w:t>
      </w: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180" w:right="80"/>
        <w:spacing w:after="0" w:line="312" w:lineRule="auto"/>
        <w:rPr>
          <w:sz w:val="20"/>
          <w:szCs w:val="20"/>
          <w:color w:val="auto"/>
        </w:rPr>
      </w:pPr>
      <w:r>
        <w:rPr>
          <w:rFonts w:ascii="Times New Roman" w:cs="Times New Roman" w:eastAsia="Times New Roman" w:hAnsi="Times New Roman"/>
          <w:sz w:val="17"/>
          <w:szCs w:val="17"/>
          <w:color w:val="auto"/>
        </w:rPr>
        <w:t>Each share of redeemable convertible preferred stock has voting rights equal to the number of shares of common stock into which such preferred stock is convertible. The holders of redeemable convertible preferred stock vote together with the holders of common stock as a single class for most matters.</w:t>
      </w:r>
    </w:p>
    <w:p>
      <w:pPr>
        <w:spacing w:after="0" w:line="140" w:lineRule="exact"/>
        <w:rPr>
          <w:sz w:val="20"/>
          <w:szCs w:val="20"/>
          <w:color w:val="auto"/>
        </w:rPr>
      </w:pPr>
    </w:p>
    <w:p>
      <w:pPr>
        <w:ind w:left="180" w:right="180"/>
        <w:spacing w:after="0" w:line="261" w:lineRule="auto"/>
        <w:rPr>
          <w:sz w:val="20"/>
          <w:szCs w:val="20"/>
          <w:color w:val="auto"/>
        </w:rPr>
      </w:pPr>
      <w:r>
        <w:rPr>
          <w:rFonts w:ascii="Times New Roman" w:cs="Times New Roman" w:eastAsia="Times New Roman" w:hAnsi="Times New Roman"/>
          <w:sz w:val="18"/>
          <w:szCs w:val="18"/>
          <w:color w:val="auto"/>
        </w:rPr>
        <w:t>The holders of Series A redeemable convertible preferred stock voting as a separate class are entitled to elect two directors. The holders of Series B redeemable convertible preferred stock voting as a separate class are entitled to elect two directors. The holders of common stock, voting as a separate class, are entitled to elect two directors of the Company. The holders of common stock and redeemable convertible preferred stock, voting as a single class, are entitled to elect the balance of the seven total directors of the Company.</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holders of redeemable convertible preferred stock are entitled to receive, if and when declared by the Company’s board of directors, non-cumulative cash dividends at a rate of 8.0% per annum of the original issue price. These holders are also entitled to participate in dividends on common stock on an as-converted basis. No dividends have been declared or paid to date.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80"/>
          </w:cols>
          <w:pgMar w:left="260" w:top="482"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At the option of the holder, each share of redeemable convertible preferred stock is convertible into shares of common stock as determined by dividing the applicable original issue price by the applicable conversion price in effect at the time of conversion. The initial conversion price of both Series A and Series B redeemable convertible preferred stock is equal to the original issue price of $1.6427 per share. The conversion ratio for the redeemable convertible preferred stock shall be subject to appropriate adjustments for stock splits, stock dividends, combinations, recapitalizations, or the like. The conversion ratio at December 31, 2021 and December 31, 2020, respectively, is one-to-one; however, the conversion price is subject to anti-dilution provisions upon issuance of additional shares of common stock or other convertible securities. The holders of the Series A redeemable convertible preferred stock agreed to forfeit the anti-dilution provisions upon the issuance of Series B redeemable convertible preferred stock.</w:t>
      </w:r>
    </w:p>
    <w:p>
      <w:pPr>
        <w:spacing w:after="0" w:line="189" w:lineRule="exact"/>
        <w:rPr>
          <w:sz w:val="20"/>
          <w:szCs w:val="20"/>
          <w:color w:val="auto"/>
        </w:rPr>
      </w:pPr>
    </w:p>
    <w:p>
      <w:pPr>
        <w:ind w:left="180" w:right="140"/>
        <w:spacing w:after="0" w:line="261" w:lineRule="auto"/>
        <w:rPr>
          <w:sz w:val="20"/>
          <w:szCs w:val="20"/>
          <w:color w:val="auto"/>
        </w:rPr>
      </w:pPr>
      <w:r>
        <w:rPr>
          <w:rFonts w:ascii="Times New Roman" w:cs="Times New Roman" w:eastAsia="Times New Roman" w:hAnsi="Times New Roman"/>
          <w:sz w:val="18"/>
          <w:szCs w:val="18"/>
          <w:color w:val="auto"/>
        </w:rPr>
        <w:t>Each share of redeemable convertible preferred stock automatically converts into the number of shares of common stock into which such shares are convertible at the applicable conversion ratio upon the earlier: (i) the closing of the sale of shares of common stock in a qualified initial public offering (“IPO”) resulting in gross proceeds of at least $50.0 million or (ii) the vote or written consent of the holders of the majority of the then-outstanding shares of redeemable convertible preferred stock, voting together as a single class.</w:t>
      </w:r>
    </w:p>
    <w:p>
      <w:pPr>
        <w:spacing w:after="0" w:line="180"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18"/>
          <w:szCs w:val="18"/>
          <w:color w:val="auto"/>
        </w:rPr>
        <w:t>If a holder of Series B redeemable convertible preferred stock fails to purchase all of its applicable tranche shares at or prior to the milestone closing, all of the holder’s shares of Series B redeemable convertible preferred stock will automatically convert into the number of shares of common stock into which such shares are convertible at the applicable conversion ratio. Such defaulting holder also forfeits its right to designate a member of or observer to the board of directors and any right to participate in any subsequent debt or equity financing of the Company.</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left="180" w:right="18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the holders of the Series B redeemable convertible preferred stock shall be entitled to receive, prior and in preference to any distribution of any of the assets of the Company to the holders of the Series A redeemable convertible preferred stock and common stock, an amount per share equal to the greater of (i) the Series B original issuance price, plus any dividends declared but unpaid thereon, or (ii) such amount per share as would have been payable had all shares of Series B redeemable convertible preferred stock been converted into shares of common stock immediately prior to such liquidation, dissolution, winding up or deemed liquidation event.</w:t>
      </w:r>
    </w:p>
    <w:p>
      <w:pPr>
        <w:spacing w:after="0" w:line="187" w:lineRule="exact"/>
        <w:rPr>
          <w:sz w:val="20"/>
          <w:szCs w:val="20"/>
          <w:color w:val="auto"/>
        </w:rPr>
      </w:pPr>
    </w:p>
    <w:p>
      <w:pPr>
        <w:ind w:left="180" w:right="120"/>
        <w:spacing w:after="0" w:line="256" w:lineRule="auto"/>
        <w:rPr>
          <w:sz w:val="20"/>
          <w:szCs w:val="20"/>
          <w:color w:val="auto"/>
        </w:rPr>
      </w:pPr>
      <w:r>
        <w:rPr>
          <w:rFonts w:ascii="Times New Roman" w:cs="Times New Roman" w:eastAsia="Times New Roman" w:hAnsi="Times New Roman"/>
          <w:sz w:val="18"/>
          <w:szCs w:val="18"/>
          <w:color w:val="auto"/>
        </w:rPr>
        <w:t>After the distribution to holders of Series B redeemable convertible preferred stock, the holders of the Series A redeemable convertible preferred stock shall be entitled to receive, prior and in preference to any distribution of any of the assets of the Company to the holders of the common stock, an amount per share equal to the greater of (i) the Series A original issuance price, plus any dividends declared but unpaid thereon, or (ii) such amount per share as would have been payable had all shares of Series A redeemable convertible preferred stock been converted into shares of common stock immediately prior to such liquidation, dissolution, winding up or deemed liquidation event. Upon completion of the distribution to the holders of the redeemable convertible preferred stock, all remaining legally available assets will be distributed ratably to the holders of common stock.</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Classification</w:t>
      </w:r>
    </w:p>
    <w:p>
      <w:pPr>
        <w:spacing w:after="0" w:line="119" w:lineRule="exact"/>
        <w:rPr>
          <w:sz w:val="20"/>
          <w:szCs w:val="20"/>
          <w:color w:val="auto"/>
        </w:rPr>
      </w:pPr>
    </w:p>
    <w:p>
      <w:pPr>
        <w:ind w:left="180" w:right="320"/>
        <w:spacing w:after="0" w:line="266" w:lineRule="auto"/>
        <w:rPr>
          <w:sz w:val="20"/>
          <w:szCs w:val="20"/>
          <w:color w:val="auto"/>
        </w:rPr>
      </w:pPr>
      <w:r>
        <w:rPr>
          <w:rFonts w:ascii="Times New Roman" w:cs="Times New Roman" w:eastAsia="Times New Roman" w:hAnsi="Times New Roman"/>
          <w:sz w:val="18"/>
          <w:szCs w:val="18"/>
          <w:color w:val="auto"/>
        </w:rPr>
        <w:t>The Company has classified its redeemable convertible preferred stock as temporary equity on the consolidated balance sheets as the stock is contingently redeemable. Upon the occurrence of certain deemed liquidation events that are outside of the Company’s control, including liquidation, sale, or transfer of the Company, holders of the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80"/>
          </w:cols>
          <w:pgMar w:left="260" w:top="482"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redeemable convertible preferred stock can cause redemption for cash. During the years ended December 31, 2021 and 2020, the Company did not adjust the carrying value of the redeemable convertible preferred stock to the deemed liquidation value of such shares as a deemed liquidation event was not probable. Additionally, one investor that owns 2,435,016 shares of Series B redeemable convertible preferred stock are redeemable by the holder at the original issuance price in the event that the Company uses any of the proceeds received from such investor for purposes other than operations and research and development activities.​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December 31, 2021, no cash dividends have been declared or paid.</w:t>
      </w:r>
    </w:p>
    <w:p>
      <w:pPr>
        <w:spacing w:after="0" w:line="16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December 31, 2021 and 2020, the Company was authorized to issue 138,000,000 shares of common stock, all at a par value of $0.0001 per share, and had reserved the following shares for future issuance:</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7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58,948,067</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11,711,174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4,173,285</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 under stock option plan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3,666,927</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12,857,369</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115,112,644</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75,978,721</w:t>
            </w: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stock options to purchase common stock in the above table, in association with the Business Combination Agreement with DYNS, the Company awarded certain performance and market awards with vesting contingent upon the consummation of the SPAC merger. See Note 9 —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for further details</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revenue consists of amounts received related to research services provided to customers.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Revenue</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May 2019, the Company entered into a collaborative development agreement. The Company determined that the agreement contained three distinct promises; research and development, design services, and intellectual property, which will be accounted for as a single combined performance obligation of research and development services recognized over time. The development agreement included $0.3 million of fixed consideration allocated to a single performance obligation and an additional $0.3 million of variable consideration. At inception of the development agreement, it was not probable that a significant reversal of revenue would not occur and therefore the variable consideration was fully constrained. Throughout the development agreement</w:t>
      </w:r>
    </w:p>
    <w:p>
      <w:pPr>
        <w:spacing w:after="0" w:line="5" w:lineRule="exact"/>
        <w:rPr>
          <w:sz w:val="20"/>
          <w:szCs w:val="20"/>
          <w:color w:val="auto"/>
        </w:rPr>
      </w:pPr>
    </w:p>
    <w:p>
      <w:pPr>
        <w:ind w:left="120" w:right="720"/>
        <w:spacing w:after="0" w:line="290" w:lineRule="auto"/>
        <w:rPr>
          <w:sz w:val="20"/>
          <w:szCs w:val="20"/>
          <w:color w:val="auto"/>
        </w:rPr>
      </w:pPr>
      <w:r>
        <w:rPr>
          <w:rFonts w:ascii="Times New Roman" w:cs="Times New Roman" w:eastAsia="Times New Roman" w:hAnsi="Times New Roman"/>
          <w:sz w:val="17"/>
          <w:szCs w:val="17"/>
          <w:color w:val="auto"/>
        </w:rPr>
        <w:t>period, several parameters of the research and development services were changed, which increased the uncertainty of achieving the remaining performance obligations. Therefore, in December 2021, the contract asset of $0.3 million was reversed due to this increased uncertainty.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82"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80" w:right="100"/>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expects to complete the research program over a two-year period.</w:t>
      </w:r>
    </w:p>
    <w:p>
      <w:pPr>
        <w:spacing w:after="0" w:line="181" w:lineRule="exact"/>
        <w:rPr>
          <w:sz w:val="20"/>
          <w:szCs w:val="20"/>
          <w:color w:val="auto"/>
        </w:rPr>
      </w:pPr>
    </w:p>
    <w:p>
      <w:pPr>
        <w:ind w:left="180"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this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w:t>
      </w:r>
    </w:p>
    <w:p>
      <w:pPr>
        <w:spacing w:after="0" w:line="185" w:lineRule="exact"/>
        <w:rPr>
          <w:sz w:val="20"/>
          <w:szCs w:val="20"/>
          <w:color w:val="auto"/>
        </w:rPr>
      </w:pPr>
    </w:p>
    <w:p>
      <w:pPr>
        <w:ind w:left="180" w:right="180"/>
        <w:spacing w:after="0" w:line="256" w:lineRule="auto"/>
        <w:rPr>
          <w:sz w:val="20"/>
          <w:szCs w:val="20"/>
          <w:color w:val="auto"/>
        </w:rPr>
      </w:pPr>
      <w:r>
        <w:rPr>
          <w:rFonts w:ascii="Times New Roman" w:cs="Times New Roman" w:eastAsia="Times New Roman" w:hAnsi="Times New Roman"/>
          <w:sz w:val="18"/>
          <w:szCs w:val="18"/>
          <w:color w:val="auto"/>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 is eligible to receive a license fee, potential research, development and commercial milestone payments and royalties on product sales. Spark may generally terminate the agreement upon 90 days’ prior written notice or 180 days’ prior written notice if the licensed promoter is in clinical trials or is being commercialized at the time of termination.</w:t>
      </w:r>
    </w:p>
    <w:p>
      <w:pPr>
        <w:spacing w:after="0" w:line="187"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 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spacing w:after="0" w:line="192" w:lineRule="exact"/>
        <w:rPr>
          <w:sz w:val="20"/>
          <w:szCs w:val="20"/>
          <w:color w:val="auto"/>
        </w:rPr>
      </w:pPr>
    </w:p>
    <w:p>
      <w:pPr>
        <w:jc w:val="both"/>
        <w:ind w:left="180" w:right="160"/>
        <w:spacing w:after="0" w:line="261" w:lineRule="auto"/>
        <w:rPr>
          <w:sz w:val="20"/>
          <w:szCs w:val="20"/>
          <w:color w:val="auto"/>
        </w:rPr>
      </w:pPr>
      <w:r>
        <w:rPr>
          <w:rFonts w:ascii="Times New Roman" w:cs="Times New Roman" w:eastAsia="Times New Roman" w:hAnsi="Times New Roman"/>
          <w:sz w:val="18"/>
          <w:szCs w:val="18"/>
          <w:color w:val="auto"/>
        </w:rPr>
        <w:t>For both collaboration agreements,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w:t>
      </w:r>
    </w:p>
    <w:p>
      <w:pPr>
        <w:spacing w:after="0" w:line="180" w:lineRule="exact"/>
        <w:rPr>
          <w:sz w:val="20"/>
          <w:szCs w:val="20"/>
          <w:color w:val="auto"/>
        </w:rPr>
      </w:pPr>
    </w:p>
    <w:p>
      <w:pPr>
        <w:jc w:val="both"/>
        <w:ind w:left="180" w:right="420"/>
        <w:spacing w:after="0" w:line="261" w:lineRule="auto"/>
        <w:rPr>
          <w:sz w:val="20"/>
          <w:szCs w:val="20"/>
          <w:color w:val="auto"/>
        </w:rPr>
      </w:pPr>
      <w:r>
        <w:rPr>
          <w:rFonts w:ascii="Times New Roman" w:cs="Times New Roman" w:eastAsia="Times New Roman" w:hAnsi="Times New Roman"/>
          <w:sz w:val="18"/>
          <w:szCs w:val="18"/>
          <w:color w:val="auto"/>
        </w:rPr>
        <w:t>The Company has recorded nil and $0.2 million of revenue for the years ended December 31, 2021 and 2020, respectively, which was previously included in the deferred revenue balances at the beginning of each period. Contract asset balances related to unbilled revenue for our collaboration agreements were nil and $0.2 million as of December 31, 2021 and 2020, respectively, and are presented within prepaid expenses and other current assets on the consolidated balance sheets.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80"/>
          </w:cols>
          <w:pgMar w:left="260" w:top="482"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ind w:left="180" w:right="200"/>
        <w:spacing w:after="0" w:line="282" w:lineRule="auto"/>
        <w:rPr>
          <w:sz w:val="20"/>
          <w:szCs w:val="20"/>
          <w:color w:val="auto"/>
        </w:rPr>
      </w:pPr>
      <w:r>
        <w:rPr>
          <w:rFonts w:ascii="Times New Roman" w:cs="Times New Roman" w:eastAsia="Times New Roman" w:hAnsi="Times New Roman"/>
          <w:sz w:val="18"/>
          <w:szCs w:val="18"/>
          <w:color w:val="auto"/>
        </w:rPr>
        <w:t>In 2018, the National Institutes of Health awarded the Company a grant in the amount of $0.2 million to be used to support research and development for treating Inflammatory Bowel Disease. Eligible costs under the grant include direct personnel costs and materials and supplies.</w:t>
      </w:r>
    </w:p>
    <w:p>
      <w:pPr>
        <w:spacing w:after="0" w:line="162" w:lineRule="exact"/>
        <w:rPr>
          <w:sz w:val="20"/>
          <w:szCs w:val="20"/>
          <w:color w:val="auto"/>
        </w:rPr>
      </w:pPr>
    </w:p>
    <w:p>
      <w:pPr>
        <w:jc w:val="both"/>
        <w:ind w:left="180" w:right="80"/>
        <w:spacing w:after="0" w:line="266" w:lineRule="auto"/>
        <w:rPr>
          <w:sz w:val="20"/>
          <w:szCs w:val="20"/>
          <w:color w:val="auto"/>
        </w:rPr>
      </w:pPr>
      <w:r>
        <w:rPr>
          <w:rFonts w:ascii="Times New Roman" w:cs="Times New Roman" w:eastAsia="Times New Roman" w:hAnsi="Times New Roman"/>
          <w:sz w:val="18"/>
          <w:szCs w:val="18"/>
          <w:color w:val="auto"/>
        </w:rPr>
        <w:t>In 2021, the Small Business Innovation Research awarded the Company a grant in the amount of $2.0 million over two years subject to meeting certain terms and conditions. The purpose of the grant is to support further development of SENTI-202 for acute myeloid leukemia (“AML”) towards clinical development.</w:t>
      </w:r>
    </w:p>
    <w:p>
      <w:pPr>
        <w:spacing w:after="0" w:line="176" w:lineRule="exact"/>
        <w:rPr>
          <w:sz w:val="20"/>
          <w:szCs w:val="20"/>
          <w:color w:val="auto"/>
        </w:rPr>
      </w:pPr>
    </w:p>
    <w:p>
      <w:pPr>
        <w:ind w:left="180" w:right="240"/>
        <w:spacing w:after="0" w:line="282" w:lineRule="auto"/>
        <w:rPr>
          <w:sz w:val="20"/>
          <w:szCs w:val="20"/>
          <w:color w:val="auto"/>
        </w:rPr>
      </w:pPr>
      <w:r>
        <w:rPr>
          <w:rFonts w:ascii="Times New Roman" w:cs="Times New Roman" w:eastAsia="Times New Roman" w:hAnsi="Times New Roman"/>
          <w:sz w:val="18"/>
          <w:szCs w:val="18"/>
          <w:color w:val="auto"/>
        </w:rPr>
        <w:t>Grant income was recognized when qualified research and development costs were incurred and the Company obtained reasonable assurance that the terms and conditions of the grant were met.</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Entity-wide information</w:t>
      </w:r>
    </w:p>
    <w:p>
      <w:pPr>
        <w:spacing w:after="0" w:line="121" w:lineRule="exact"/>
        <w:rPr>
          <w:sz w:val="20"/>
          <w:szCs w:val="20"/>
          <w:color w:val="auto"/>
        </w:rPr>
      </w:pPr>
    </w:p>
    <w:p>
      <w:pPr>
        <w:ind w:lef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when excluding the $0.3 million contract asset reversal for Customer C, Customer A accounted for 84.3% of revenue, and Customer B accounted for 15.7% of revenue. During the year ended December 31, 2020, Customer B and C accounted for 30.4% and 69.6%, respectively, of revenue.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net sales were generated in the United States for the years ended December 31, 2021 and 2020.</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left="180" w:right="60"/>
        <w:spacing w:after="0" w:line="274" w:lineRule="auto"/>
        <w:rPr>
          <w:sz w:val="20"/>
          <w:szCs w:val="20"/>
          <w:color w:val="auto"/>
        </w:rPr>
      </w:pPr>
      <w:r>
        <w:rPr>
          <w:rFonts w:ascii="Times New Roman" w:cs="Times New Roman" w:eastAsia="Times New Roman" w:hAnsi="Times New Roman"/>
          <w:sz w:val="17"/>
          <w:szCs w:val="17"/>
          <w:color w:val="auto"/>
        </w:rPr>
        <w:t>In 2016, the Company adopted the 2016 Stock Incentive Plan (the “2016 Stock Incentive Plan”) authorizing the grant of incentive stock options (“ISOs”) and non-statutory stock options (“NSOs”) to eligible employees, officers and directors of, and consultants or advisors to, the Company. As of December 31, 2021, the Company is authorized to issue up to 65,551,165, respectively, of shares of common stock under the Plan in which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the grant.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excluding performance and market awards:</w:t>
      </w:r>
    </w:p>
    <w:p>
      <w:pPr>
        <w:spacing w:after="0" w:line="23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4,173,285</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8.9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10,800,000</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26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(3,103,769)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0.43</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6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(158,342)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0.65</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11,711,174</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60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9.1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2021</w:t>
            </w: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1,381,326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68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F-71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60" w:top="482" w:right="4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180" w:right="40"/>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exercised during the years ended December 31, 2021 and 2020 were $0.8 million and $0.2 million, respectively. The weighted-average grant-date fair values of options granted during the years ended December 31, 2021 and 2020 were $0.96 and $0.38, respectively.</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21" w:lineRule="exact"/>
        <w:rPr>
          <w:sz w:val="20"/>
          <w:szCs w:val="20"/>
          <w:color w:val="auto"/>
        </w:rPr>
      </w:pPr>
    </w:p>
    <w:p>
      <w:pPr>
        <w:ind w:left="180"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issued 2,619,677 shares of common stock upon exercise of unvested stock options, and as of December 31, 2021, 2,418,871 shares held by employees were subject to repurchase at an aggregate price of $1.2 million. As of December 31, 2020, no options were early exercised and accordingly, the liability related to the payments for unvested shares was nil at each date.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assumptions below for the Black-Scholes option pricing model, which are subjective and generally requires significant judgment.</w:t>
      </w:r>
    </w:p>
    <w:p>
      <w:pPr>
        <w:spacing w:after="0" w:line="160" w:lineRule="exact"/>
        <w:rPr>
          <w:sz w:val="20"/>
          <w:szCs w:val="20"/>
          <w:color w:val="auto"/>
        </w:rPr>
      </w:pPr>
    </w:p>
    <w:p>
      <w:pPr>
        <w:ind w:left="18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The fair value of the shares of common stock has historically been determined by the Company’s board of directors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was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w:t>
      </w:r>
    </w:p>
    <w:p>
      <w:pPr>
        <w:spacing w:after="0" w:line="180" w:lineRule="exact"/>
        <w:rPr>
          <w:sz w:val="20"/>
          <w:szCs w:val="20"/>
          <w:color w:val="auto"/>
        </w:rPr>
      </w:pPr>
    </w:p>
    <w:p>
      <w:pPr>
        <w:jc w:val="both"/>
        <w:ind w:left="18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 options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mid-point between the vesting date and the end of the contractual term).</w:t>
      </w:r>
    </w:p>
    <w:p>
      <w:pPr>
        <w:spacing w:after="0" w:line="158" w:lineRule="exact"/>
        <w:rPr>
          <w:sz w:val="20"/>
          <w:szCs w:val="20"/>
          <w:color w:val="auto"/>
        </w:rPr>
      </w:pPr>
    </w:p>
    <w:p>
      <w:pPr>
        <w:jc w:val="both"/>
        <w:ind w:left="18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Because the Company is privately held and does not have an active trading market for its common stock for a sufficient period of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volatility was estimated based on the average volatility for comparable publicly-traded companies, over a period equal to the expected term of the stock option grants.</w:t>
      </w:r>
    </w:p>
    <w:p>
      <w:pPr>
        <w:spacing w:after="0" w:line="173" w:lineRule="exact"/>
        <w:rPr>
          <w:sz w:val="20"/>
          <w:szCs w:val="20"/>
          <w:color w:val="auto"/>
        </w:rPr>
      </w:pPr>
    </w:p>
    <w:p>
      <w:pPr>
        <w:jc w:val="both"/>
        <w:ind w:left="18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 The risk-free rate assumption is based on the U.S. Treasury zero-coupon issues in effect at the time of grant for periods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expected term of the option.</w:t>
      </w:r>
    </w:p>
    <w:p>
      <w:pPr>
        <w:spacing w:after="0" w:line="158" w:lineRule="exact"/>
        <w:rPr>
          <w:sz w:val="20"/>
          <w:szCs w:val="20"/>
          <w:color w:val="auto"/>
        </w:rPr>
      </w:pPr>
    </w:p>
    <w:p>
      <w:pPr>
        <w:ind w:left="18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Company has never paid dividends on its common stock and does not anticipate paying dividends on common stock. Therefore,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uses an expected dividend yield of zero.</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assumptions used to determine the grant date fair value of stock options granted to grantees were as follows, presented on a weighted-average basis:</w:t>
      </w:r>
    </w:p>
    <w:p>
      <w:pPr>
        <w:spacing w:after="0" w:line="24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940" w:type="dxa"/>
        <w:tblCellMar>
          <w:top w:w="0" w:type="dxa"/>
          <w:left w:w="0" w:type="dxa"/>
          <w:bottom w:w="0" w:type="dxa"/>
          <w:right w:w="0" w:type="dxa"/>
        </w:tblCellMar>
      </w:tblPr>
      <w:tr>
        <w:trPr>
          <w:trHeight w:val="142"/>
        </w:trPr>
        <w:tc>
          <w:tcPr>
            <w:tcW w:w="268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82.3%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2680" w:type="dxa"/>
            <w:vAlign w:val="bottom"/>
          </w:tcPr>
          <w:p>
            <w:pPr>
              <w:spacing w:after="0"/>
              <w:rPr>
                <w:sz w:val="24"/>
                <w:szCs w:val="24"/>
                <w:color w:val="auto"/>
              </w:rPr>
            </w:pPr>
          </w:p>
        </w:tc>
        <w:tc>
          <w:tcPr>
            <w:tcW w:w="4220" w:type="dxa"/>
            <w:vAlign w:val="bottom"/>
            <w:gridSpan w:val="3"/>
          </w:tcPr>
          <w:p>
            <w:pPr>
              <w:jc w:val="right"/>
              <w:ind w:right="2980"/>
              <w:spacing w:after="0"/>
              <w:rPr>
                <w:sz w:val="20"/>
                <w:szCs w:val="20"/>
                <w:color w:val="auto"/>
              </w:rPr>
            </w:pPr>
            <w:r>
              <w:rPr>
                <w:rFonts w:ascii="Times New Roman" w:cs="Times New Roman" w:eastAsia="Times New Roman" w:hAnsi="Times New Roman"/>
                <w:sz w:val="18"/>
                <w:szCs w:val="18"/>
                <w:color w:val="auto"/>
              </w:rPr>
              <w:t>F-72</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80"/>
          </w:cols>
          <w:pgMar w:left="260" w:top="482"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p>
      <w:pPr>
        <w:spacing w:after="0" w:line="233"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060" w:type="dxa"/>
            <w:vAlign w:val="bottom"/>
          </w:tcPr>
          <w:p>
            <w:pPr>
              <w:spacing w:after="0"/>
              <w:rPr>
                <w:sz w:val="15"/>
                <w:szCs w:val="15"/>
                <w:color w:val="auto"/>
              </w:rPr>
            </w:pPr>
          </w:p>
        </w:tc>
        <w:tc>
          <w:tcPr>
            <w:tcW w:w="14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6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2,295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272</w:t>
            </w: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right="80"/>
        <w:spacing w:after="0" w:line="282" w:lineRule="auto"/>
        <w:rPr>
          <w:sz w:val="20"/>
          <w:szCs w:val="20"/>
          <w:color w:val="auto"/>
        </w:rPr>
      </w:pPr>
      <w:r>
        <w:rPr>
          <w:rFonts w:ascii="Times New Roman" w:cs="Times New Roman" w:eastAsia="Times New Roman" w:hAnsi="Times New Roman"/>
          <w:sz w:val="18"/>
          <w:szCs w:val="18"/>
          <w:color w:val="auto"/>
        </w:rPr>
        <w:t>As of December 31, 2021, the total unrecognized stock-based compensation was approximately $9.2 million, which is expected to be recognized over a weighted-average period of 3.1 years.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DYNS, on December 19, 2021, the Company awarded 42,927,654 performance awards to existing employees that vest contingent upon the satisfaction of both a four-year service condition and a performance condition tied to the consummation of the SPAC merger. The grant and the associated recognition of stock-based compensation is contingent on the SPAC merger being consummated which is subject to DYNS shareholder approval. As of December 31, 2021, 42,909,091 performance awards remain outstanding after the forfeiture of 18,563 performance awards during the year.</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 Awards</w:t>
      </w:r>
    </w:p>
    <w:p>
      <w:pPr>
        <w:spacing w:after="0" w:line="121" w:lineRule="exact"/>
        <w:rPr>
          <w:sz w:val="20"/>
          <w:szCs w:val="20"/>
          <w:color w:val="auto"/>
        </w:rPr>
      </w:pPr>
    </w:p>
    <w:p>
      <w:pPr>
        <w:ind w:left="180"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DYNS, on December 19, 2021, the Company awarded 3,093,776 market awards to the co-founder and CEO, Mr. Lu that vest contingent upon the satisfaction of all three of the following conditions: a service condition, a performance condition tied to the consummation of the SPAC merger, and market conditions. The market condition is achieved in four tranches, where 25% of the options will vest when the trading price of the Company’s stock is above various thresholds of price per share. The grant and the associated recognition of stock-based compensation is contingent on the SPAC merger being consummated which is subject to DYNS shareholder approval.</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10. Operating Leases</w:t>
      </w:r>
    </w:p>
    <w:p>
      <w:pPr>
        <w:spacing w:after="0" w:line="121" w:lineRule="exact"/>
        <w:rPr>
          <w:sz w:val="20"/>
          <w:szCs w:val="20"/>
          <w:color w:val="auto"/>
        </w:rPr>
      </w:pPr>
    </w:p>
    <w:p>
      <w:pPr>
        <w:ind w:left="180" w:right="20"/>
        <w:spacing w:after="0" w:line="253" w:lineRule="auto"/>
        <w:rPr>
          <w:sz w:val="20"/>
          <w:szCs w:val="20"/>
          <w:color w:val="auto"/>
        </w:rPr>
      </w:pPr>
      <w:r>
        <w:rPr>
          <w:rFonts w:ascii="Times New Roman" w:cs="Times New Roman" w:eastAsia="Times New Roman" w:hAnsi="Times New Roman"/>
          <w:sz w:val="18"/>
          <w:szCs w:val="18"/>
          <w:color w:val="auto"/>
        </w:rPr>
        <w:t>The Company’s operating leases are primarily for its corporate headquarters located in South San Francisco, California and for additional office and laboratory space located in Alameda, California (“Alameda lease”) that commenced on July 30, 2021. The corporate headquarters lease has an initial term of eight years expiring in 2027, with an option to renew for additional eight years unless canceled by either party thereafter. The Alameda lease has an initial term of eleven years expiring in 2032, with an option to renew the lease for up to two additional terms of five years. The exercise of these renewal options are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was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Accordingly, the tenant improvement allowance is considered an incentive and was deducted from the initial measurement of the ROU asset and lease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80"/>
          </w:cols>
          <w:pgMar w:left="260" w:top="482"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80" w:right="500"/>
        <w:spacing w:after="0" w:line="282" w:lineRule="auto"/>
        <w:rPr>
          <w:sz w:val="20"/>
          <w:szCs w:val="20"/>
          <w:color w:val="auto"/>
        </w:rPr>
      </w:pPr>
      <w:r>
        <w:rPr>
          <w:rFonts w:ascii="Times New Roman" w:cs="Times New Roman" w:eastAsia="Times New Roman" w:hAnsi="Times New Roman"/>
          <w:sz w:val="18"/>
          <w:szCs w:val="18"/>
          <w:color w:val="auto"/>
        </w:rPr>
        <w:t>liability. The Company estimated the timing of tenant improvement reimbursements at the lease commencement date and upon receipt of the cash incentives, the Company will recognize the cash received as an increase in the lease liability.</w:t>
      </w:r>
    </w:p>
    <w:p>
      <w:pPr>
        <w:spacing w:after="0" w:line="162"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18"/>
          <w:szCs w:val="18"/>
          <w:color w:val="auto"/>
        </w:rPr>
        <w:t>The Company’s operating lease cost was $3.8 million and $2.7 million for the years ended December 31, 2021 and 2020, respectively. Variable lease payments such as common area maintenance and parking fees were included in operating expenses and were $0.7 million and $0.6 million for the years ended December 31, 2021 and 2020, respectively. The Company did record any short-term lease expense during the years ended December 31, 2021 and 2020. No reimbursements have been received from the landlord as of December 31, 2021 and 2020.</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operating leases were as follows (in thousands):</w:t>
      </w:r>
    </w:p>
    <w:p>
      <w:pPr>
        <w:spacing w:after="0" w:line="24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500" w:type="dxa"/>
        <w:tblCellMar>
          <w:top w:w="0" w:type="dxa"/>
          <w:left w:w="0" w:type="dxa"/>
          <w:bottom w:w="0" w:type="dxa"/>
          <w:right w:w="0" w:type="dxa"/>
        </w:tblCellMar>
      </w:tblPr>
      <w:tr>
        <w:trPr>
          <w:trHeight w:val="142"/>
        </w:trPr>
        <w:tc>
          <w:tcPr>
            <w:tcW w:w="55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21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(2,669)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$(2,577)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21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10,153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the operating leases as of December 31, 2021 and 2020:</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3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years</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years</w:t>
            </w:r>
          </w:p>
        </w:tc>
        <w:tc>
          <w:tcPr>
            <w:tcW w:w="200" w:type="dxa"/>
            <w:vAlign w:val="bottom"/>
            <w:shd w:val="clear" w:color="auto" w:fill="CCEEFF"/>
          </w:tcPr>
          <w:p>
            <w:pPr>
              <w:spacing w:after="0"/>
              <w:rPr>
                <w:sz w:val="18"/>
                <w:szCs w:val="18"/>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bl>
    <w:p>
      <w:pPr>
        <w:spacing w:after="0" w:line="179"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As of December 31, 2021 and 2020, amounts disclosed for ROU assets obtained in exchange for lease obligations include amounts added to the carrying amount of ROU assets resulting from lease modifications and reassessments.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Maturities of the Company’s lease liabilities as of December 31, 2021, were as follows (in thousands):</w:t>
      </w:r>
    </w:p>
    <w:p>
      <w:pPr>
        <w:spacing w:after="0" w:line="270"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7,266</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7,489</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7,723</w:t>
            </w: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61,749</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(21,555)</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reimbursements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(17,463)</w:t>
            </w:r>
          </w:p>
        </w:tc>
      </w:tr>
      <w:tr>
        <w:trPr>
          <w:trHeight w:val="223"/>
        </w:trPr>
        <w:tc>
          <w:tcPr>
            <w:tcW w:w="20" w:type="dxa"/>
            <w:vAlign w:val="bottom"/>
          </w:tcPr>
          <w:p>
            <w:pPr>
              <w:spacing w:after="0"/>
              <w:rPr>
                <w:sz w:val="19"/>
                <w:szCs w:val="19"/>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80" w:type="dxa"/>
            <w:vAlign w:val="bottom"/>
            <w:gridSpan w:val="2"/>
          </w:tcPr>
          <w:p>
            <w:pPr>
              <w:jc w:val="right"/>
              <w:ind w:right="2816"/>
              <w:spacing w:after="0"/>
              <w:rPr>
                <w:sz w:val="20"/>
                <w:szCs w:val="20"/>
                <w:color w:val="auto"/>
              </w:rPr>
            </w:pPr>
            <w:r>
              <w:rPr>
                <w:rFonts w:ascii="Times New Roman" w:cs="Times New Roman" w:eastAsia="Times New Roman" w:hAnsi="Times New Roman"/>
                <w:sz w:val="18"/>
                <w:szCs w:val="18"/>
                <w:color w:val="auto"/>
              </w:rPr>
              <w:t>F-74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60" w:top="482"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calendar years ended December 31, 2021 and 2020, the tax effects of significant items comprising the Company’s deferred taxes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 basis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(29,710)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(19,025)</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Company records the tax benefit of net operating losses, temporary differences, and credit carryforwards as assets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approximately $10.7 million and $7.9 million during 2021 and 2020, respectively, and the Company’s deferred tax assets continue to be fully offset by the valuation allowance as at December 31, 2021. For the years ended December 31, 2021 and 2020, the Company did not record an income tax provision.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operating losses and tax credit carryforwards as of December 31, 2021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Expiration Years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Net operating losses, federal (Post December 31, 2017)</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86,602</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 Not Expire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federal (Pre January 1, 2018)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3,508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12/31/2031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 state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55,023</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12/31/2032</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credits, federal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3,573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12/31/2032</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 state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Do Not Expire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foreign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1,146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Do Not Expire</w:t>
            </w:r>
          </w:p>
        </w:tc>
      </w:tr>
      <w:tr>
        <w:trPr>
          <w:trHeight w:val="346"/>
        </w:trPr>
        <w:tc>
          <w:tcPr>
            <w:tcW w:w="4000" w:type="dxa"/>
            <w:vAlign w:val="bottom"/>
          </w:tcPr>
          <w:p>
            <w:pPr>
              <w:spacing w:after="0"/>
              <w:rPr>
                <w:sz w:val="24"/>
                <w:szCs w:val="24"/>
                <w:color w:val="auto"/>
              </w:rPr>
            </w:pPr>
          </w:p>
        </w:tc>
        <w:tc>
          <w:tcPr>
            <w:tcW w:w="19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w w:val="99"/>
              </w:rPr>
              <w:t>F-75</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 substantial annual limitation due to the ownership change limitations provided by the Internal Revenue Code of 1986, as amended, and similar state provisions. This annual limitation may result in the expiration of net operating losses and credits before utilization. We have not performed an analysis to determine the limitation of our net operating loss carryforwards.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9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B preferred stock tranche liability</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(41.48)%</w:t>
            </w:r>
          </w:p>
        </w:tc>
      </w:tr>
      <w:tr>
        <w:trPr>
          <w:trHeight w:val="27"/>
        </w:trPr>
        <w:tc>
          <w:tcPr>
            <w:tcW w:w="6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6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right="360"/>
        <w:spacing w:after="0" w:line="261" w:lineRule="auto"/>
        <w:rPr>
          <w:sz w:val="20"/>
          <w:szCs w:val="20"/>
          <w:color w:val="auto"/>
        </w:rPr>
      </w:pPr>
      <w:r>
        <w:rPr>
          <w:rFonts w:ascii="Times New Roman" w:cs="Times New Roman" w:eastAsia="Times New Roman" w:hAnsi="Times New Roman"/>
          <w:sz w:val="18"/>
          <w:szCs w:val="18"/>
          <w:color w:val="auto"/>
        </w:rPr>
        <w:t>As of December 31, 2020, gross unrecognized tax benefits were $1.3 million, all of which would not impact the Company’s effective tax rate if recognized. The Company has elected to include interest and penalties as a component of tax expense. For the years ended December 31, 2021 and 2020,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80" w:lineRule="exact"/>
        <w:rPr>
          <w:sz w:val="20"/>
          <w:szCs w:val="20"/>
          <w:color w:val="auto"/>
        </w:rPr>
      </w:pPr>
    </w:p>
    <w:p>
      <w:pPr>
        <w:ind w:left="180" w:right="28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California tax jurisdictions. The federal and state income tax returns from inception to December 31, 2021 remain subject to examination.</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80" w:right="500"/>
        <w:spacing w:after="0" w:line="282" w:lineRule="auto"/>
        <w:rPr>
          <w:sz w:val="20"/>
          <w:szCs w:val="20"/>
          <w:color w:val="auto"/>
        </w:rPr>
      </w:pPr>
      <w:r>
        <w:rPr>
          <w:rFonts w:ascii="Times New Roman" w:cs="Times New Roman" w:eastAsia="Times New Roman" w:hAnsi="Times New Roman"/>
          <w:sz w:val="18"/>
          <w:szCs w:val="18"/>
          <w:color w:val="auto"/>
        </w:rPr>
        <w:t>A reconciliation of net loss available to common stockholders and the number of shares in the calculation of basic and diluted loss per share is as follows: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(55,319</w:t>
            </w:r>
          </w:p>
        </w:tc>
        <w:tc>
          <w:tcPr>
            <w:tcW w:w="4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8"/>
              </w:rPr>
              <w:t>14,881,325</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13,862,582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(3.72)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F-76</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60" w:top="482" w:right="5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80" w:right="2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securities were excluded from the computation of diluted net loss per share attributable to common stockholders for the periods presented because including them would have been anti-dilutive (on an as-converted basis):</w:t>
      </w:r>
    </w:p>
    <w:p>
      <w:pPr>
        <w:spacing w:after="0" w:line="182" w:lineRule="exact"/>
        <w:rPr>
          <w:sz w:val="20"/>
          <w:szCs w:val="20"/>
          <w:color w:val="auto"/>
        </w:rPr>
      </w:pPr>
    </w:p>
    <w:tbl>
      <w:tblPr>
        <w:tblLayout w:type="fixed"/>
        <w:tblInd w:w="106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7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60" w:type="dxa"/>
            <w:vAlign w:val="bottom"/>
          </w:tcPr>
          <w:p>
            <w:pPr>
              <w:spacing w:after="0"/>
              <w:rPr>
                <w:sz w:val="12"/>
                <w:szCs w:val="12"/>
                <w:color w:val="auto"/>
              </w:rPr>
            </w:pPr>
          </w:p>
        </w:tc>
        <w:tc>
          <w:tcPr>
            <w:tcW w:w="11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500" w:type="dxa"/>
            <w:vAlign w:val="bottom"/>
            <w:tcBorders>
              <w:top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58,948,067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Potential issuance of Series B redeemable convertible preferred stock under Tranche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19,683,025</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issuance of Series B redeemable convertible preferred stock under Tranche 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19,683,025</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11,711,174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4,173,285</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2,418,871</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113,864,588</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102,487,402</w:t>
            </w: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jc w:val="both"/>
        <w:ind w:left="180" w:right="2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agreements with third parties that include non-cancelable payment obligations, for which we are liable in future periods.</w:t>
      </w:r>
    </w:p>
    <w:p>
      <w:pPr>
        <w:spacing w:after="0" w:line="162" w:lineRule="exact"/>
        <w:rPr>
          <w:sz w:val="20"/>
          <w:szCs w:val="20"/>
          <w:color w:val="auto"/>
        </w:rPr>
      </w:pPr>
    </w:p>
    <w:p>
      <w:pPr>
        <w:jc w:val="both"/>
        <w:ind w:left="180" w:right="220"/>
        <w:spacing w:after="0" w:line="266" w:lineRule="auto"/>
        <w:rPr>
          <w:sz w:val="20"/>
          <w:szCs w:val="20"/>
          <w:color w:val="auto"/>
        </w:rPr>
      </w:pPr>
      <w:r>
        <w:rPr>
          <w:rFonts w:ascii="Times New Roman" w:cs="Times New Roman" w:eastAsia="Times New Roman" w:hAnsi="Times New Roman"/>
          <w:sz w:val="18"/>
          <w:szCs w:val="18"/>
          <w:color w:val="auto"/>
        </w:rPr>
        <w:t>On June 3, 2021, the Company entered into a lease agreement for a new cGMP facility in Alameda, California to support planned initial clinical trials for our product candidates (Note 10). The lease will expire in 2032 with future undiscounted operating lease payments of $46.0 million over an initial lease period of eleven years.</w:t>
      </w:r>
    </w:p>
    <w:p>
      <w:pPr>
        <w:spacing w:after="0" w:line="176" w:lineRule="exact"/>
        <w:rPr>
          <w:sz w:val="20"/>
          <w:szCs w:val="20"/>
          <w:color w:val="auto"/>
        </w:rPr>
      </w:pPr>
    </w:p>
    <w:p>
      <w:pPr>
        <w:jc w:val="both"/>
        <w:ind w:left="180" w:right="140"/>
        <w:spacing w:after="0" w:line="266" w:lineRule="auto"/>
        <w:rPr>
          <w:sz w:val="20"/>
          <w:szCs w:val="20"/>
          <w:color w:val="auto"/>
        </w:rPr>
      </w:pPr>
      <w:r>
        <w:rPr>
          <w:rFonts w:ascii="Times New Roman" w:cs="Times New Roman" w:eastAsia="Times New Roman" w:hAnsi="Times New Roman"/>
          <w:sz w:val="18"/>
          <w:szCs w:val="18"/>
          <w:color w:val="auto"/>
        </w:rPr>
        <w:t>In 2021, the Company began construction of the cGMP facility. As of December 31, 2021 the Company paid $2.6 million in construction costs and the purchase commitments amounted to approximately $35.5 million. The agreements with the construction company provide for termination following a certain period after notice. Upon termination the Company will be responsible for payment for work performed to date.</w:t>
      </w:r>
    </w:p>
    <w:p>
      <w:pPr>
        <w:spacing w:after="0" w:line="176" w:lineRule="exact"/>
        <w:rPr>
          <w:sz w:val="20"/>
          <w:szCs w:val="20"/>
          <w:color w:val="auto"/>
        </w:rPr>
      </w:pPr>
    </w:p>
    <w:p>
      <w:pPr>
        <w:ind w:left="180"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 three-year collaboration and option agreement with BlueRock Therapeutics LP (“BlueRock”) under which the Company granted BlueRock an option to acquire an exclusive or non-exclusive license to develop, manufacture and commercialize cell therapy products (Note 14). In consideration for the option, the Company is responsible for up to $10.0 million in costs and expenses incurred over the three-year term.</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December 31, 2021, purchase commitments related to sponsored research agreements amounted to approximately $2.2 million.</w:t>
      </w:r>
    </w:p>
    <w:p>
      <w:pPr>
        <w:spacing w:after="0" w:line="225"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under which they are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December 31, 2021, the Company is unable to estimate the timing or likelihood of achieving these milestones or generating future product sales.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commitments under its leases are described in Note 10.</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80"/>
          </w:cols>
          <w:pgMar w:left="260" w:top="482"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80" w:right="440"/>
        <w:spacing w:after="0" w:line="312" w:lineRule="auto"/>
        <w:rPr>
          <w:sz w:val="20"/>
          <w:szCs w:val="20"/>
          <w:color w:val="auto"/>
        </w:rPr>
      </w:pPr>
      <w:r>
        <w:rPr>
          <w:rFonts w:ascii="Times New Roman" w:cs="Times New Roman" w:eastAsia="Times New Roman" w:hAnsi="Times New Roman"/>
          <w:sz w:val="17"/>
          <w:szCs w:val="17"/>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left="180" w:right="40"/>
        <w:spacing w:after="0" w:line="272"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121" w:lineRule="exact"/>
        <w:rPr>
          <w:sz w:val="20"/>
          <w:szCs w:val="20"/>
          <w:color w:val="auto"/>
        </w:rPr>
      </w:pPr>
    </w:p>
    <w:p>
      <w:pPr>
        <w:jc w:val="both"/>
        <w:ind w:left="180" w:right="280"/>
        <w:spacing w:after="0" w:line="266" w:lineRule="auto"/>
        <w:rPr>
          <w:sz w:val="20"/>
          <w:szCs w:val="20"/>
          <w:color w:val="auto"/>
        </w:rPr>
      </w:pPr>
      <w:r>
        <w:rPr>
          <w:rFonts w:ascii="Times New Roman" w:cs="Times New Roman" w:eastAsia="Times New Roman" w:hAnsi="Times New Roman"/>
          <w:sz w:val="18"/>
          <w:szCs w:val="18"/>
          <w:color w:val="auto"/>
        </w:rPr>
        <w:t>As discussed in Note 6, the Company issued Series A convertible redeemable preferred stock and Series B redeemable convertible preferred stock in February 2018 and October 2020, respectively, to certain related parties, including New Enterprise Associates 15, L.P. and its affiliates (“NEA”) and 8VC and its affiliates (“8VC”).</w:t>
      </w:r>
    </w:p>
    <w:p>
      <w:pPr>
        <w:spacing w:after="0" w:line="176" w:lineRule="exact"/>
        <w:rPr>
          <w:sz w:val="20"/>
          <w:szCs w:val="20"/>
          <w:color w:val="auto"/>
        </w:rPr>
      </w:pPr>
    </w:p>
    <w:p>
      <w:pPr>
        <w:jc w:val="both"/>
        <w:ind w:left="180" w:right="180"/>
        <w:spacing w:after="0" w:line="266" w:lineRule="auto"/>
        <w:rPr>
          <w:sz w:val="20"/>
          <w:szCs w:val="20"/>
          <w:color w:val="auto"/>
        </w:rPr>
      </w:pPr>
      <w:r>
        <w:rPr>
          <w:rFonts w:ascii="Times New Roman" w:cs="Times New Roman" w:eastAsia="Times New Roman" w:hAnsi="Times New Roman"/>
          <w:sz w:val="18"/>
          <w:szCs w:val="18"/>
          <w:color w:val="auto"/>
        </w:rPr>
        <w:t>In February 2018, the outstanding convertible notes held by NEA and 8VC, as well as Timothy Lu, Chief Executive Officer, converted into additional shares of Series A redeemable convertible preferred stock while in October 2020, the outstanding convertible notes held by NEA and 8VC converted into additional shares of Series B redeemable convertible preferred stock, both in accordance with the terms of the note agreements.</w:t>
      </w:r>
    </w:p>
    <w:p>
      <w:pPr>
        <w:spacing w:after="0" w:line="176"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NEA held 13,505,035 shares of outstanding Series A redeemable convertible preferred stock as of December 31, 2021 and 2020, as well as 2,742,931 of outstanding Series B redeemable convertible preferred stock as of December 31, 2021 and 2020. 8VC held 9,052,387 of outstanding Series A redeemable convertible preferred stock as of December 31, 2021 and 2020 as well as 1,662,398 of outstanding Series B redeemable convertible preferred stock as of December 31, 2021 and 2020. Timothy Lu held 158,950 of outstanding redeemable convertible preferred stock as of December 31, 2021 and 2020. Timothy Lu and family held 8,100,000 of common stock as of December 31, 2021 and 2020. Timothy Lu, NEA, and 8VC held three of the seven seats on the Company’s Board of Directors as of December 31, 2021 and three of the five seats on the Company’s Board of Directors as of December 31, 2020.</w:t>
      </w:r>
    </w:p>
    <w:p>
      <w:pPr>
        <w:spacing w:after="0" w:line="189" w:lineRule="exact"/>
        <w:rPr>
          <w:sz w:val="20"/>
          <w:szCs w:val="20"/>
          <w:color w:val="auto"/>
        </w:rPr>
      </w:pPr>
    </w:p>
    <w:p>
      <w:pPr>
        <w:ind w:left="180" w:right="100"/>
        <w:spacing w:after="0" w:line="282" w:lineRule="auto"/>
        <w:rPr>
          <w:sz w:val="20"/>
          <w:szCs w:val="20"/>
          <w:color w:val="auto"/>
        </w:rPr>
      </w:pPr>
      <w:r>
        <w:rPr>
          <w:rFonts w:ascii="Times New Roman" w:cs="Times New Roman" w:eastAsia="Times New Roman" w:hAnsi="Times New Roman"/>
          <w:sz w:val="18"/>
          <w:szCs w:val="18"/>
          <w:color w:val="auto"/>
        </w:rPr>
        <w:t>As Chief Executive Officer, Timothy Lu was paid $0.4 million as compensation, and an additional sum of $0.2 million was accrued as a bonus for both the years ended December 31, 2021 and 2020.</w:t>
      </w:r>
    </w:p>
    <w:p>
      <w:pPr>
        <w:spacing w:after="0" w:line="162" w:lineRule="exact"/>
        <w:rPr>
          <w:sz w:val="20"/>
          <w:szCs w:val="20"/>
          <w:color w:val="auto"/>
        </w:rPr>
      </w:pPr>
    </w:p>
    <w:p>
      <w:pPr>
        <w:ind w:left="180" w:right="300"/>
        <w:spacing w:after="0" w:line="289" w:lineRule="auto"/>
        <w:rPr>
          <w:sz w:val="20"/>
          <w:szCs w:val="20"/>
          <w:color w:val="auto"/>
        </w:rPr>
      </w:pPr>
      <w:r>
        <w:rPr>
          <w:rFonts w:ascii="Times New Roman" w:cs="Times New Roman" w:eastAsia="Times New Roman" w:hAnsi="Times New Roman"/>
          <w:sz w:val="17"/>
          <w:szCs w:val="17"/>
          <w:color w:val="auto"/>
        </w:rPr>
        <w:t>On May 21, 2021, the Company entered into a collaboration and option agreement (“BlueRock Agreement”) with BlueRock Therapeutics LP (“BlueRock”), pursuant to which the Company granted to BlueRock an option (“BlueRock Option”), on a collaboration program-by-collaboration program basis, to obtain an exclusive or non-exclusive license to develop, manufacture and commercialize cell therapy products that contain cells of</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60"/>
          </w:cols>
          <w:pgMar w:left="260" w:top="482" w:right="4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80" w:right="20"/>
        <w:spacing w:after="0" w:line="258" w:lineRule="auto"/>
        <w:rPr>
          <w:sz w:val="20"/>
          <w:szCs w:val="20"/>
          <w:color w:val="auto"/>
        </w:rPr>
      </w:pPr>
      <w:r>
        <w:rPr>
          <w:rFonts w:ascii="Times New Roman" w:cs="Times New Roman" w:eastAsia="Times New Roman" w:hAnsi="Times New Roman"/>
          <w:sz w:val="18"/>
          <w:szCs w:val="18"/>
          <w:color w:val="auto"/>
        </w:rPr>
        <w:t>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spacing w:after="0" w:line="181" w:lineRule="exact"/>
        <w:rPr>
          <w:sz w:val="20"/>
          <w:szCs w:val="20"/>
          <w:color w:val="auto"/>
        </w:rPr>
      </w:pPr>
    </w:p>
    <w:p>
      <w:pPr>
        <w:ind w:left="180" w:right="18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concluded that the Agreement is not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w:t>
      </w:r>
    </w:p>
    <w:p>
      <w:pPr>
        <w:spacing w:after="0" w:line="184" w:lineRule="exact"/>
        <w:rPr>
          <w:sz w:val="20"/>
          <w:szCs w:val="20"/>
          <w:color w:val="auto"/>
        </w:rPr>
      </w:pPr>
    </w:p>
    <w:p>
      <w:pPr>
        <w:ind w:left="180" w:right="20"/>
        <w:spacing w:after="0" w:line="255" w:lineRule="auto"/>
        <w:rPr>
          <w:sz w:val="20"/>
          <w:szCs w:val="20"/>
          <w:color w:val="auto"/>
        </w:rPr>
      </w:pPr>
      <w:r>
        <w:rPr>
          <w:rFonts w:ascii="Times New Roman" w:cs="Times New Roman" w:eastAsia="Times New Roman" w:hAnsi="Times New Roman"/>
          <w:sz w:val="18"/>
          <w:szCs w:val="18"/>
          <w:color w:val="auto"/>
        </w:rPr>
        <w:t>BlueRock is a wholly-owned subsidiary of Bayer Healthcare LLC which held 27,393,924 and 9,131,308 shares of outstanding Series B redeemable convertible preferred stock as of December 31, 2021 and 2020, respectively, and holds one of the seven seats on the Company’s Board of Directors as of December 31, 2021 and one of the five seats as of December 31, 2020. Bayer Healthcare LLC’s parent company is Bayer AG, which served as the lead investor in our Series B financing through its Leaps by Bayer unit. Accordingly, BlueRock is considered a related party. The Company concluded that the BlueRock Agreement should not be combined with the issuance of the Series B redeemable convertible preferred stock on May 14, 2021 as the price paid per share of $1.6427 was lower than the fair value of $2.03 (Note 3) and therefore, there was no excess value to allocate to the BlueRock Agreement.</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left="180" w:right="3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the December 31, 2021 balance sheet date through April 1, 2022, the date at which the audited consolidated financial statements were available to be issued.</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Option Modification</w:t>
      </w:r>
    </w:p>
    <w:p>
      <w:pPr>
        <w:spacing w:after="0" w:line="121"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color w:val="auto"/>
        </w:rPr>
        <w:t>On February 12, 2022, the Company entered into Amendment No. 1 to the Business Combination Agreement, to restructure the performance and market awards made at the time the Business Combination Agreement was signed. In particular, certain Senti executives agreed to forfeit certain options awarded to them at the time the Business Combination Agreement was signed depending on the level of redemptions of DYNS Class A Common Stock upon closing of the merger. In addition, it was agreed that the vesting period for the options held by executives whose options may be subject to forfeiture (as described above) will commence upon closing of the merger instead of on December 19, 2021.</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80"/>
          </w:cols>
          <w:pgMar w:left="260" w:top="482"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139,800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56,034</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143,919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60,193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35,505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12,368</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19,474</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20,708</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202,362</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96,702</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5,187</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9,056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17,798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29,018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20,988</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48,096</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 value; zero and 19,517,990 shares authorized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 zero and 19,517,988 shares issued and outstanding at June 30, 2022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aggregate liquidation preference of zero and $163.8 million at June 30, 2022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0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171,833</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and zero shares authorized at June 30, 2022 and December 31, 2021;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zero and zero shares issued and outstanding at June 30, 2022 and December 31, 2021, respectively</w:t>
            </w:r>
          </w:p>
        </w:tc>
        <w:tc>
          <w:tcPr>
            <w:tcW w:w="10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and 27,006,600 shares authorized at June 30, 2022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43,368,270 and 2,972,409 shares issued and outstanding at June 30, 2022 and December 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292,698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3,619</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(138,436)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(115,076)</w:t>
            </w:r>
          </w:p>
        </w:tc>
      </w:tr>
      <w:tr>
        <w:trPr>
          <w:trHeight w:val="230"/>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154,266</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(111,457)</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202,362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96,702</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00"/>
          </w:cols>
          <w:pgMar w:left="260" w:top="482"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8,865</w:t>
            </w: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extinguishment of convertible notes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13,446,622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2,909,105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8,336,451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2,883,582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40"/>
          </w:cols>
          <w:pgMar w:left="320" w:top="482" w:right="4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4060" w:type="dxa"/>
            <w:vAlign w:val="bottom"/>
          </w:tcPr>
          <w:p>
            <w:pPr>
              <w:spacing w:after="0"/>
              <w:rPr>
                <w:sz w:val="2"/>
                <w:szCs w:val="2"/>
                <w:color w:val="auto"/>
              </w:rPr>
            </w:pPr>
          </w:p>
        </w:tc>
        <w:tc>
          <w:tcPr>
            <w:tcW w:w="180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Redeemable Convertible</w:t>
            </w:r>
          </w:p>
        </w:tc>
        <w:tc>
          <w:tcPr>
            <w:tcW w:w="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12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2"/>
                <w:szCs w:val="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2"/>
                <w:szCs w:val="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35"/>
        </w:trPr>
        <w:tc>
          <w:tcPr>
            <w:tcW w:w="4060" w:type="dxa"/>
            <w:vAlign w:val="bottom"/>
          </w:tcPr>
          <w:p>
            <w:pPr>
              <w:spacing w:after="0"/>
              <w:rPr>
                <w:sz w:val="11"/>
                <w:szCs w:val="11"/>
                <w:color w:val="auto"/>
              </w:rPr>
            </w:pPr>
          </w:p>
        </w:tc>
        <w:tc>
          <w:tcPr>
            <w:tcW w:w="180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8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Preferred Stock</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5"/>
              </w:rPr>
              <w:t>Amount</w:t>
            </w:r>
          </w:p>
        </w:tc>
        <w:tc>
          <w:tcPr>
            <w:tcW w:w="24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Paid-in 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Deficit</w:t>
            </w:r>
          </w:p>
        </w:tc>
        <w:tc>
          <w:tcPr>
            <w:tcW w:w="10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Equity (Deficit)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11,536,136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2,838,376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7"/>
              </w:rPr>
              <w:t>(59,757)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 convertible</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net of preferred stock tranche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liability of $33 thousand and issuance costs of</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 thousand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277,977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2,294</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563,460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exercise of common stock options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(512,670)</w:t>
            </w: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(21,002)</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11,814,113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91,956</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2,889,166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(80,759)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(79,240)</w:t>
            </w:r>
          </w:p>
        </w:tc>
        <w:tc>
          <w:tcPr>
            <w:tcW w:w="0" w:type="dxa"/>
            <w:vAlign w:val="bottom"/>
          </w:tcPr>
          <w:p>
            <w:pPr>
              <w:spacing w:after="0"/>
              <w:rPr>
                <w:sz w:val="1"/>
                <w:szCs w:val="1"/>
                <w:color w:val="auto"/>
              </w:rPr>
            </w:pPr>
          </w:p>
        </w:tc>
      </w:tr>
      <w:tr>
        <w:trPr>
          <w:trHeight w:val="198"/>
        </w:trPr>
        <w:tc>
          <w:tcPr>
            <w:tcW w:w="4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 convertible</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including extinguishment of</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tranche liability of</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$15.2 million</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7,703,875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79,877</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4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Vesting of early exercise of common stock</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13,099</w:t>
            </w:r>
          </w:p>
        </w:tc>
        <w:tc>
          <w:tcPr>
            <w:tcW w:w="1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(12,007)</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19,517,988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171,833</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2,915,156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(92,766)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(90,636)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82" w:right="4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4220" w:type="dxa"/>
            <w:vAlign w:val="bottom"/>
          </w:tcPr>
          <w:p>
            <w:pPr>
              <w:spacing w:after="0"/>
              <w:rPr>
                <w:sz w:val="2"/>
                <w:szCs w:val="2"/>
                <w:color w:val="auto"/>
              </w:rPr>
            </w:pPr>
          </w:p>
        </w:tc>
        <w:tc>
          <w:tcPr>
            <w:tcW w:w="194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Redeemable Convertible</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Additional</w:t>
            </w:r>
          </w:p>
        </w:tc>
        <w:tc>
          <w:tcPr>
            <w:tcW w:w="9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4"/>
                <w:szCs w:val="14"/>
                <w:color w:val="auto"/>
                <w:w w:val="99"/>
              </w:rPr>
              <w:t>Accumulated</w:t>
            </w:r>
          </w:p>
        </w:tc>
        <w:tc>
          <w:tcPr>
            <w:tcW w:w="180" w:type="dxa"/>
            <w:vAlign w:val="bottom"/>
          </w:tcPr>
          <w:p>
            <w:pPr>
              <w:spacing w:after="0"/>
              <w:rPr>
                <w:sz w:val="2"/>
                <w:szCs w:val="2"/>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35"/>
        </w:trPr>
        <w:tc>
          <w:tcPr>
            <w:tcW w:w="422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vMerge w:val="continue"/>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color w:val="auto"/>
              </w:rPr>
              <w:t>Preferred Stock</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Paid-in Capital</w:t>
            </w:r>
          </w:p>
        </w:tc>
        <w:tc>
          <w:tcPr>
            <w:tcW w:w="960" w:type="dxa"/>
            <w:vAlign w:val="bottom"/>
            <w:gridSpan w:val="2"/>
          </w:tcPr>
          <w:p>
            <w:pPr>
              <w:jc w:val="right"/>
              <w:ind w:right="301"/>
              <w:spacing w:after="0" w:line="142" w:lineRule="exact"/>
              <w:rPr>
                <w:sz w:val="20"/>
                <w:szCs w:val="20"/>
                <w:color w:val="auto"/>
              </w:rPr>
            </w:pPr>
            <w:r>
              <w:rPr>
                <w:rFonts w:ascii="Times New Roman" w:cs="Times New Roman" w:eastAsia="Times New Roman" w:hAnsi="Times New Roman"/>
                <w:sz w:val="14"/>
                <w:szCs w:val="14"/>
                <w:color w:val="auto"/>
              </w:rPr>
              <w:t>Deficit</w:t>
            </w:r>
          </w:p>
        </w:tc>
        <w:tc>
          <w:tcPr>
            <w:tcW w:w="10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Equity (Deficit)</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19,517,988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2,972,409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(115,076)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172,606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Vesting of early exercise of common stock options</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(11,808)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19,517,988</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171,833</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3,288,539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(126,884)</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Conversion of redeemable convertible preferred</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into common stock in connection with the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Reverse Recapitalization, net of transaction costs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(19,517,988)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(171,833)</w:t>
            </w:r>
          </w:p>
        </w:tc>
        <w:tc>
          <w:tcPr>
            <w:tcW w:w="20" w:type="dxa"/>
            <w:vAlign w:val="bottom"/>
            <w:shd w:val="clear" w:color="auto" w:fill="000000"/>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19,517,988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171,833</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171,835</w:t>
            </w:r>
          </w:p>
        </w:tc>
        <w:tc>
          <w:tcPr>
            <w:tcW w:w="0" w:type="dxa"/>
            <w:vAlign w:val="bottom"/>
          </w:tcPr>
          <w:p>
            <w:pPr>
              <w:spacing w:after="0"/>
              <w:rPr>
                <w:sz w:val="1"/>
                <w:szCs w:val="1"/>
                <w:color w:val="auto"/>
              </w:rPr>
            </w:pPr>
          </w:p>
        </w:tc>
      </w:tr>
      <w:tr>
        <w:trPr>
          <w:trHeight w:val="198"/>
        </w:trPr>
        <w:tc>
          <w:tcPr>
            <w:tcW w:w="4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Reverse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Recapitalization, net of transaction costs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19,975,963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112,180</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112,182</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Contingent earnout liability recognized upon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closing of the Reverse Recapitalization</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(9,688)</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198"/>
        </w:trPr>
        <w:tc>
          <w:tcPr>
            <w:tcW w:w="4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Cancellation and exchange of convertible note in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connection with Reverse Capitalization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5,184</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recognized on fair value of embedded</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derivative after cancellation and exchange of</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convertible note</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9,225</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9,225</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options of common stock</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(11,552)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43,368,270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292,698</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(138,436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82"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42"/>
        </w:trPr>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2"/>
                <w:szCs w:val="12"/>
                <w:color w:val="auto"/>
              </w:rPr>
            </w:pPr>
          </w:p>
        </w:tc>
      </w:tr>
      <w:tr>
        <w:trPr>
          <w:trHeight w:val="183"/>
        </w:trPr>
        <w:tc>
          <w:tcPr>
            <w:tcW w:w="90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(23,360)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(33,009)</w:t>
            </w:r>
          </w:p>
        </w:tc>
      </w:tr>
      <w:tr>
        <w:trPr>
          <w:trHeight w:val="20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from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1,433</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extinguishment of convertible notes</w:t>
            </w:r>
          </w:p>
        </w:tc>
        <w:tc>
          <w:tcPr>
            <w:tcW w:w="12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(1,289)</w:t>
            </w: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fair value of contingent earnout liability</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(8,878)</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 in preferred stock tranche liability</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9,886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write-off of fixed assets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non-cash charges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(345)</w:t>
            </w: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(1,372)</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(779)</w:t>
            </w: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(999)</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7,945</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(728)</w:t>
            </w: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(15,754)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(13,859)</w:t>
            </w:r>
          </w:p>
        </w:tc>
      </w:tr>
      <w:tr>
        <w:trPr>
          <w:trHeight w:val="206"/>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(18,640)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(626)</w:t>
            </w:r>
          </w:p>
        </w:tc>
      </w:tr>
      <w:tr>
        <w:trPr>
          <w:trHeight w:val="217"/>
        </w:trPr>
        <w:tc>
          <w:tcPr>
            <w:tcW w:w="9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(18,640)</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18"/>
                <w:szCs w:val="18"/>
                <w:color w:val="auto"/>
              </w:rPr>
            </w:pPr>
          </w:p>
        </w:tc>
      </w:tr>
      <w:tr>
        <w:trPr>
          <w:trHeight w:val="20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Merger and related Pipe financing, net of transaction costs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112,464</w:t>
            </w: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521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5,175</w:t>
            </w: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Series B redeemable convertible preferred stock, net of issuance costs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66,952</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(480)</w:t>
            </w: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118,160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67,925</w:t>
            </w:r>
          </w:p>
        </w:tc>
        <w:tc>
          <w:tcPr>
            <w:tcW w:w="100" w:type="dxa"/>
            <w:vAlign w:val="bottom"/>
            <w:shd w:val="clear" w:color="auto" w:fill="CCEEFF"/>
          </w:tcPr>
          <w:p>
            <w:pPr>
              <w:spacing w:after="0"/>
              <w:rPr>
                <w:sz w:val="17"/>
                <w:szCs w:val="17"/>
                <w:color w:val="auto"/>
              </w:rPr>
            </w:pPr>
          </w:p>
        </w:tc>
      </w:tr>
      <w:tr>
        <w:trPr>
          <w:trHeight w:val="207"/>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83,766</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53,440</w:t>
            </w:r>
          </w:p>
        </w:tc>
        <w:tc>
          <w:tcPr>
            <w:tcW w:w="100" w:type="dxa"/>
            <w:vAlign w:val="bottom"/>
          </w:tcPr>
          <w:p>
            <w:pPr>
              <w:spacing w:after="0"/>
              <w:rPr>
                <w:sz w:val="17"/>
                <w:szCs w:val="17"/>
                <w:color w:val="auto"/>
              </w:rPr>
            </w:pPr>
          </w:p>
        </w:tc>
      </w:tr>
      <w:tr>
        <w:trPr>
          <w:trHeight w:val="20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year</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59,291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31,034</w:t>
            </w:r>
          </w:p>
        </w:tc>
        <w:tc>
          <w:tcPr>
            <w:tcW w:w="100" w:type="dxa"/>
            <w:vAlign w:val="bottom"/>
            <w:shd w:val="clear" w:color="auto" w:fill="CCEEFF"/>
          </w:tcPr>
          <w:p>
            <w:pPr>
              <w:spacing w:after="0"/>
              <w:rPr>
                <w:sz w:val="17"/>
                <w:szCs w:val="17"/>
                <w:color w:val="auto"/>
              </w:rPr>
            </w:pPr>
          </w:p>
        </w:tc>
      </w:tr>
      <w:tr>
        <w:trPr>
          <w:trHeight w:val="207"/>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the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143,057</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84,474</w:t>
            </w:r>
          </w:p>
        </w:tc>
        <w:tc>
          <w:tcPr>
            <w:tcW w:w="100" w:type="dxa"/>
            <w:vAlign w:val="bottom"/>
          </w:tcPr>
          <w:p>
            <w:pPr>
              <w:spacing w:after="0"/>
              <w:rPr>
                <w:sz w:val="17"/>
                <w:szCs w:val="17"/>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139,800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82,942</w:t>
            </w: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3,257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shd w:val="clear" w:color="auto" w:fill="CCEEFF"/>
          </w:tcPr>
          <w:p>
            <w:pPr>
              <w:spacing w:after="0"/>
              <w:rPr>
                <w:sz w:val="17"/>
                <w:szCs w:val="17"/>
                <w:color w:val="auto"/>
              </w:rPr>
            </w:pPr>
          </w:p>
        </w:tc>
      </w:tr>
      <w:tr>
        <w:trPr>
          <w:trHeight w:val="207"/>
        </w:trPr>
        <w:tc>
          <w:tcPr>
            <w:tcW w:w="9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143,057</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84,474</w:t>
            </w:r>
          </w:p>
        </w:tc>
        <w:tc>
          <w:tcPr>
            <w:tcW w:w="100" w:type="dxa"/>
            <w:vAlign w:val="bottom"/>
          </w:tcPr>
          <w:p>
            <w:pPr>
              <w:spacing w:after="0"/>
              <w:rPr>
                <w:sz w:val="17"/>
                <w:szCs w:val="17"/>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noncash financing and investing items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in accounts payable and accrued expenses</w:t>
            </w: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9,371</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Recognition of Series B preferred stock tranche liability</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7"/>
                <w:szCs w:val="17"/>
                <w:color w:val="auto"/>
              </w:rPr>
            </w:pPr>
          </w:p>
        </w:tc>
      </w:t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Extinguishment of Series B preferred stock tranche liability</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100" w:type="dxa"/>
            <w:vAlign w:val="bottom"/>
          </w:tcPr>
          <w:p>
            <w:pPr>
              <w:spacing w:after="0"/>
              <w:rPr>
                <w:sz w:val="17"/>
                <w:szCs w:val="17"/>
                <w:color w:val="auto"/>
              </w:rPr>
            </w:pPr>
          </w:p>
        </w:tc>
      </w:tr>
      <w:tr>
        <w:trPr>
          <w:trHeight w:val="20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Merger and related PIPE financing costs included in accounts payable and accrued expenses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Deferred transaction costs related to pending business combination in accounts payable and accrued expenses</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8"/>
                <w:szCs w:val="18"/>
                <w:color w:val="auto"/>
              </w:rPr>
            </w:pPr>
          </w:p>
        </w:tc>
      </w:tr>
    </w:tbl>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40"/>
          </w:cols>
          <w:pgMar w:left="320" w:top="482"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Organization and Description of Business</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Senti Biosciences, Inc. and its subsidiaries, (the “Company” or “Senti”), is a biotechnology company that was founded to create a new generation of smarter medicines that outmaneuver complex diseases using novel and unprecedented approaches. Senti Bio has built a synthetic biology platform that enables it to program next-generation cell and gene therapies with what we refer to as “gene circuits.” These gene circuits, which are created from novel and proprietary combinations of DNA sequences, reprogram cells with biological logic to sense inputs, compute decisions and respond to their cellular environments. The Company is headquartered in South San Francisco, California.</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June 8, 2022 (the “Closing Date”), Dynamics Special Purpose Acquisition Corp. (“Dynamics”or “DYNS”) consummated a merger pursuant to which Explore Merger Sub, Inc. (“Merger Sub”), a Delaware corporation and wholly owned subsidiary of Dynamics, merged with and into Senti Sub I, Inc. (formerly named Senti Biosciences, Inc. (“Legacy Senti”), with Legacy Senti surviving as a wholly-owned subsidiary of Dynamics (such transactions, the “Merger,” and, collectively with the other transactions described in the merger agreement (as defined below, the “Reverse Recapitalization”). As a result of the Merger, Dynamics was renamed Senti Biosciences, Inc.</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 xml:space="preserve"> for further details of the Merger.</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1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organizing and staffing, business planning, raising capital, and conducting preclinical studies and has not realized substantial revenues from its planned principal operations. To date, the Company has financed its operations primarily through a Reverse Recapitalization, the sale of equity securities and convertible debt and, to a lesser extent, through collaboration agreements and governmental grants. At June 30, 2022 and December 31, 2021, the Company had an accumulated deficit of 138.4 million and 115.1 million, respectively. The Company’s net losses were $23.4 million and $33.0 million for the six months ended June 30, 2022 and 2021, respectively. 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preclinical activities and clinical trials for its product candidates in development.</w:t>
      </w:r>
    </w:p>
    <w:p>
      <w:pPr>
        <w:spacing w:after="0" w:line="188"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cash, cash equivalents and restricted cash of $143.1 million. Based on the cash and cash equivalents on hand, the Company believes its combined cash and cash equivalents will be sufficient to fund operations, including clinical trial expenses and capital expenditure requirements, for at least 12 months from the issuance date of these interim financial statements.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Company’s continued existence is dependent upon management’s ability to develop profitable operations. Management is devoting substantially all of its efforts to developing its business and raising capital and there can be no assurance that the Company’s efforts will be successful. No assurance can be given that management’s actions will result in profitable operations or the meeting of ongoing liquidity needs.</w:t>
      </w:r>
    </w:p>
    <w:p>
      <w:pPr>
        <w:spacing w:after="0" w:line="284" w:lineRule="exact"/>
        <w:rPr>
          <w:sz w:val="20"/>
          <w:szCs w:val="20"/>
          <w:color w:val="auto"/>
        </w:rPr>
      </w:pPr>
    </w:p>
    <w:p>
      <w:pPr>
        <w:ind w:left="560" w:right="7580" w:hanging="444"/>
        <w:spacing w:after="0" w:line="375" w:lineRule="auto"/>
        <w:tabs>
          <w:tab w:leader="none" w:pos="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generally accepted accounting principles in the United States of America (“U.S. GAAP”) and the rules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00"/>
          </w:cols>
          <w:pgMar w:left="320" w:top="482" w:right="4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condensed consolidated financial statements include the accounts of Senti Biosciences, Inc., and its wholly-owned subsidiaries. All intercompany balances and transactions have been eliminated in consolidation. We have one business activity and operate in one reportable segment.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the Company has retroactively adjusted all common and preferred share and related price information to give effect to the exchange ratio established in the Merger Agreement.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and assumptions reflected in these consolidated financial statements include, but are not limited to, the valuation of stock-based awards, the accrual for research and development expenses, the valuation of contingent earnout, the valuation of convertible notes, the valuation of common and redeemable convertible preferred stock, the valuation of preferred stock tranche liability, standalone selling price (“SSP”) and the determination of the incremental borrowing rate.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Interim Condensed Consolidated Financial Statements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2022 and its results of operations for the three and six months ended June 30, 2022 and 2021, and cash flows for the six months ended June 30, 2022 and 2021. The results of operations for the three and six months ended June 30, 2022 are not necessarily indicative of the results to be expected for the year ended December 31, 2022 or any other period. The December 31, 2021 year-end condensed consolidated balance sheet was derived from audited annual financial statements but does not include all disclosures from the annual financial statements.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2021 and the related notes included in the Company’s Registration Statement on Form S-1, filed with the SEC on June 28, 2022, and amended on July 29, 2022, which provides a more complete discussion of the Company’s accounting policies and certain other information. There have been no material changes to the Company’s significant accounting policies as of and for the three and six months ended June 30, 2022, as compared to the significant accounting policies described in the Company’s audited annual consolidated financial statements as of and for the year ended December 31, 2021, except as discussed below.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82"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Contingent Earnout Equity</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Reverse Recapitalization and pursuant to the Merger dated as of June 8, 2022 by and among the Merger Sub and Legacy Senti, former holder of the Legacy Senti common stock and Legacy Senti preferred stock are entitled to receive as additional consideration of up to 2,000,000 shares of the Company’s Common Stock (the “Contingent Earnout Shares”), comprised of two separate tranches of 1,000,000 shares per tranche, for no consideration upon the achievement of certain share price milestones within a period of two and three years. If there is a change of control within the three-year period following the closing of the Merger that results in a per share price equal to or in excess of certain share price milestones not previously met, then the Company shall issue the earnout shares to the holders of Legacy Senti common stock and preferred stock.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certain terms of the contingent earnout shares were not indexed to the common stock, equity treatment is precluded and liability classification is required at the Reverse Recapitalization date and subsequently remeasured at each reporting date with changes in fair value recorded as a component of other (expense) income, net in the condensed consolidated statements of operations and comprehensive loss. A portion of the earnout shares were granted to holders of Legacy Senti common stock that are subject to repurchase so was accounted for as stock-based compensation and as of the date of the Merger and expensed as there was no remaining service period.</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Contingent Earnout Shares was determined using a Monte Carlo simulation using a distribution of potential outcomes on a monthly basis over a three-year period prioritizing the most reliable information available. The assumptions utilized in the calculation were based on the achievement of certain stock price milestones, including the current Company common stock price, expected volatility, risk-free rate, expected term and expected dividend yield.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 Reverse Recapitalization</w:t>
      </w:r>
    </w:p>
    <w:p>
      <w:pPr>
        <w:spacing w:after="0" w:line="11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June 8, 2022, Merger Sub, a wholly-owned subsidiary of Dynamics, merged with Legacy Senti, with Legacy Senti surviving as a wholly-owned subsidiary of Dynamics. At the effective time of the Merger:</w:t>
      </w:r>
    </w:p>
    <w:p>
      <w:pPr>
        <w:spacing w:after="0" w:line="67"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Senti common stock was converted into approximately 0.1957 shares of the Company’s common stock;</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preferred stock of Legacy Senti was cancelled and converted into the aggregate number of shares of the Company’s common stock that would be issued upon conversion of the shares of Legacy Senti preferred stock based on the applicable conversion ratio immediately prior to the effective time, multiplied by approximately 0.1957;</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to purchase Legacy Senti’s common stock was converted into an option to purchase a number of shares of the Company’s common stock equal to the number of shares of Legacy Senti common stock subject to such option multiplied by approximately 0.1957, rounded down to the nearest whole share, at an exercise price per share equal to the current exercise price per share for such option divided by approximately 0.1957, rounded up to the nearest whole cent;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Dynamics Class A common stock were redesignated as common stock, par value $0.0001 per share, of the Company.</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Former holders of the Legacy Senti common stock and preferred stock are eligible to receive up to an aggregate of 2.0 million additional shares of the Company’s common stock in the aggregate in two equal tranches of 1.0 million shares if the volume-weighted average closing sale price of the common stock is greater than or equal to $15.00 and $20.00, respectively, for any 20 trading days within any 30 consecutive trading day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00"/>
          </w:cols>
          <w:pgMar w:left="320" w:top="482" w:right="47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period. The first and second tranche term is two and three years, respectively, from the closing of the Merger. If there is a change of control within the three-year period following the closing of the Merger that results in a per share price equal to or in excess of the $15.00 and $20.00 share price milestones not previously met, then the Company shall issue the earnout shares to the holders of Legacy Senti common stock and preferred stock. Refer to Note 8,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for further details of the contingent earnout liability.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association with the Merger, Dynamics entered into subscription agreements (the “Subscription Agreements”) with certain investors (the “PIPE Investors”). Pursuant to the Subscription Agreements, the PIPE Investors purchased an aggregate of 5,060,000 shares of the Company’s common stock (the “PIPE Shares”) in a private placement at a price of $10.00 per share for an aggregate purchase price of $50.6 million (the “PIPE Financing”). The PIPE Financing was consummated in connection with the Merger.</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Concurrently with the closing of the Merger, the unsecured convertible promissory note (the “May 2022 Note”) in the principal amount of $5.2 million that was previously issued by Legacy Senti to Bayer Healthcare LLC (“Bayer”) on May 19, 2022 was automatically cancelled and exchanged for 517,500 shares of Class A Common Stock (the “Note Exchange”) at a price of $10.00 per share. The shares of Class A Common Stock issued in the Note Exchange are entitled to the same registration rights granted to the PIPE Investors with respect to the PIPE Shares. Refer to Note 7,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for further details of the convertible note.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was: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by Dynamics’ stockholders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14,915,963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Issued to PIPE Investors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5,060,000</w:t>
            </w:r>
          </w:p>
        </w:tc>
        <w:tc>
          <w:tcPr>
            <w:tcW w:w="24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to Bayer in connection with convertible note cancellation and exchange</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517,500</w:t>
            </w:r>
          </w:p>
        </w:tc>
        <w:tc>
          <w:tcPr>
            <w:tcW w:w="24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Issued to Legacy Senti stockholders</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23,163,614(1)</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exercised shares subject to repurchase</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(288,807)</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43,368,270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19,517,988 shares of common stock issued upon conversion of Legacy Senti’s redeemable convertible preferred stock.</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Merger is accounted for as a reverse recapitalization in accordance with U.S. GAAP. Under this method of accounting, Dynamics is treated as the acquired company for financial reporting purposes and Legacy Senti is treated as the acquiror. This determination is primarily based on the fact that subsequent to the Merger, the Legacy Senti stockholders hold a majority of the voting rights of the combined company, Legacy Senti comprises all of the ongoing operations of the combined company, Legacy Senti comprises a majority of the carryover governing body of the combined company, and Legacy Senti’s senior management comprises all of the senior management of the combined company. Accordingly, for accounting purposes, the Merger was treated as the equivalent of Legacy Senti issuing shares for the net assets of Dynamics, accompanied by a recapitalization. The net assets of Dynamics were stated at historical costs. No goodwill or other intangible assets were recorded. Operations prior to the Merger are those of Legacy Senti.</w:t>
      </w:r>
    </w:p>
    <w:p>
      <w:pPr>
        <w:spacing w:after="0" w:line="17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Merger, the Company received $140.7 million in proceeds from the Merger and related PIPE Financing, including the Bayer convertible note cancellation and exchange. The Company incurred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82"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ind w:left="120"/>
        <w:spacing w:after="0" w:line="312" w:lineRule="auto"/>
        <w:rPr>
          <w:sz w:val="20"/>
          <w:szCs w:val="20"/>
          <w:color w:val="auto"/>
        </w:rPr>
      </w:pPr>
      <w:r>
        <w:rPr>
          <w:rFonts w:ascii="Times New Roman" w:cs="Times New Roman" w:eastAsia="Times New Roman" w:hAnsi="Times New Roman"/>
          <w:sz w:val="17"/>
          <w:szCs w:val="17"/>
          <w:color w:val="auto"/>
        </w:rPr>
        <w:t>$23.3 million of transaction costs, consisting of banking, legal, and other professional fees, which was recorded as a reduction of proceeds to additional paid-in capital. In addition, there were $0.3 million of unpaid transaction costs included in accounts payable and accrued expenses as of June 30, 2022.</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 Fair Value Measurements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estimated value of cash equivalents and restricted cash (in thousands):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June 30, 2022</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Amortized Cost</w:t>
            </w:r>
          </w:p>
        </w:tc>
        <w:tc>
          <w:tcPr>
            <w:tcW w:w="34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Unrealized Gain</w:t>
            </w:r>
          </w:p>
        </w:tc>
        <w:tc>
          <w:tcPr>
            <w:tcW w:w="7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6"/>
              </w:rPr>
              <w:t>Unrealized Loss</w:t>
            </w:r>
          </w:p>
        </w:tc>
        <w:tc>
          <w:tcPr>
            <w:tcW w:w="68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Estimated 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139,800</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3,257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143,057</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left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color w:val="auto"/>
              </w:rPr>
              <w:t>December 31, 2021</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0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Amortized Cost</w:t>
            </w:r>
          </w:p>
        </w:tc>
        <w:tc>
          <w:tcPr>
            <w:tcW w:w="34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Unrealized Gain</w:t>
            </w:r>
          </w:p>
        </w:tc>
        <w:tc>
          <w:tcPr>
            <w:tcW w:w="7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6"/>
              </w:rPr>
              <w:t>Unrealized Loss</w:t>
            </w:r>
          </w:p>
        </w:tc>
        <w:tc>
          <w:tcPr>
            <w:tcW w:w="68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9"/>
              </w:rPr>
              <w:t>Estimated 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56,034</w:t>
            </w:r>
          </w:p>
        </w:tc>
        <w:tc>
          <w:tcPr>
            <w:tcW w:w="2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3"/>
              </w:rPr>
              <w:t>3,257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59,291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lef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assets and liabilities measured and recognized at fair value are as follows (in thousands):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color w:val="auto"/>
              </w:rPr>
              <w:t>June 30, 2022</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2"/>
                <w:szCs w:val="12"/>
                <w:color w:val="auto"/>
              </w:rPr>
            </w:pPr>
          </w:p>
        </w:tc>
        <w:tc>
          <w:tcPr>
            <w:tcW w:w="6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w w:val="98"/>
              </w:rPr>
              <w:t>Level 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139,800</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139,800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143,057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143,057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$ 810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$ 810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40" w:type="dxa"/>
            <w:vAlign w:val="bottom"/>
            <w:gridSpan w:val="2"/>
          </w:tcPr>
          <w:p>
            <w:pPr>
              <w:jc w:val="right"/>
              <w:ind w:right="1236"/>
              <w:spacing w:after="0"/>
              <w:rPr>
                <w:sz w:val="20"/>
                <w:szCs w:val="20"/>
                <w:color w:val="auto"/>
              </w:rPr>
            </w:pPr>
            <w:r>
              <w:rPr>
                <w:rFonts w:ascii="Times New Roman" w:cs="Times New Roman" w:eastAsia="Times New Roman" w:hAnsi="Times New Roman"/>
                <w:sz w:val="18"/>
                <w:szCs w:val="18"/>
                <w:color w:val="auto"/>
              </w:rPr>
              <w:t>F-89</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color w:val="auto"/>
              </w:rPr>
              <w:t>December 31, 2021</w:t>
            </w: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5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2</w:t>
            </w:r>
          </w:p>
        </w:tc>
        <w:tc>
          <w:tcPr>
            <w:tcW w:w="5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3</w:t>
            </w:r>
          </w:p>
        </w:tc>
        <w:tc>
          <w:tcPr>
            <w:tcW w:w="54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$56,034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59,291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59,291</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No securities have contractual maturities of longer than one year. There were no transfers between Levels 1, 2, or 3 for any of the periods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Company’s Level 3 financial instruments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Contingent</w:t>
            </w:r>
          </w:p>
        </w:tc>
      </w:tr>
      <w:tr>
        <w:trPr>
          <w:trHeight w:val="171"/>
        </w:trPr>
        <w:tc>
          <w:tcPr>
            <w:tcW w:w="7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Earnout Liability</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72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Contingent earnout liability recognized upon the closing of the reverse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recapitalization</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(9,688)</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included in other income (expense)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8,878</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June 30, 2022</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Earnout Liability is based on significant unobservable inputs, which represent Level 3 measurements within the fair value hierarchy.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The assumptions utilized in the calculation were based on the achievement of certain stock price milestones, including the current Company common stock price, expected volatility, risk-free rate, expected term and expected dividend yield (see Note 8).</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Preferred Stock Tranche Liability</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subsequent fair values of the preferred stock tranche liability recognized in connection with the issuance of Series B redeemable convertible preferred stock financing were determined with the assistance of a third-party valuation specialist using significant inputs not observable in the market which constitute Level 3 measurements within the fair value hierarchy.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00"/>
          </w:cols>
          <w:pgMar w:left="320" w:top="482" w:right="4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as of December 31, 2020 using a Monte Carlo valuation model and/or Black-Scholes option pricing model:</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20" w:type="dxa"/>
            <w:vAlign w:val="bottom"/>
            <w:gridSpan w:val="4"/>
          </w:tcPr>
          <w:p>
            <w:pPr>
              <w:jc w:val="center"/>
              <w:ind w:left="174"/>
              <w:spacing w:after="0"/>
              <w:rPr>
                <w:sz w:val="20"/>
                <w:szCs w:val="20"/>
                <w:color w:val="auto"/>
              </w:rPr>
            </w:pPr>
            <w:r>
              <w:rPr>
                <w:rFonts w:ascii="Times New Roman" w:cs="Times New Roman" w:eastAsia="Times New Roman" w:hAnsi="Times New Roman"/>
                <w:sz w:val="14"/>
                <w:szCs w:val="14"/>
                <w:color w:val="auto"/>
              </w:rPr>
              <w:t>December 31, 2020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1"/>
        </w:trPr>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left="154"/>
              <w:spacing w:after="0"/>
              <w:rPr>
                <w:sz w:val="20"/>
                <w:szCs w:val="20"/>
                <w:color w:val="auto"/>
              </w:rPr>
            </w:pPr>
            <w:r>
              <w:rPr>
                <w:rFonts w:ascii="Times New Roman" w:cs="Times New Roman" w:eastAsia="Times New Roman" w:hAnsi="Times New Roman"/>
                <w:sz w:val="14"/>
                <w:szCs w:val="14"/>
                <w:color w:val="auto"/>
              </w:rPr>
              <w:t>Subsequent Measurement Dates</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5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Tranche Features 2</w:t>
            </w:r>
          </w:p>
        </w:tc>
        <w:tc>
          <w:tcPr>
            <w:tcW w:w="480" w:type="dxa"/>
            <w:vAlign w:val="bottom"/>
          </w:tcPr>
          <w:p>
            <w:pPr>
              <w:spacing w:after="0"/>
              <w:rPr>
                <w:sz w:val="10"/>
                <w:szCs w:val="10"/>
                <w:color w:val="auto"/>
              </w:rPr>
            </w:pPr>
          </w:p>
        </w:tc>
        <w:tc>
          <w:tcPr>
            <w:tcW w:w="1080" w:type="dxa"/>
            <w:vAlign w:val="bottom"/>
            <w:gridSpan w:val="2"/>
          </w:tcPr>
          <w:p>
            <w:pPr>
              <w:jc w:val="right"/>
              <w:ind w:right="10"/>
              <w:spacing w:after="0" w:line="119" w:lineRule="exact"/>
              <w:rPr>
                <w:sz w:val="20"/>
                <w:szCs w:val="20"/>
                <w:color w:val="auto"/>
              </w:rPr>
            </w:pPr>
            <w:r>
              <w:rPr>
                <w:rFonts w:ascii="Times New Roman" w:cs="Times New Roman" w:eastAsia="Times New Roman" w:hAnsi="Times New Roman"/>
                <w:sz w:val="13"/>
                <w:szCs w:val="13"/>
                <w:color w:val="auto"/>
              </w:rPr>
              <w:t>Tranche 2 and 3</w:t>
            </w:r>
          </w:p>
        </w:tc>
        <w:tc>
          <w:tcPr>
            <w:tcW w:w="200" w:type="dxa"/>
            <w:vAlign w:val="bottom"/>
          </w:tcPr>
          <w:p>
            <w:pPr>
              <w:spacing w:after="0"/>
              <w:rPr>
                <w:sz w:val="10"/>
                <w:szCs w:val="10"/>
                <w:color w:val="auto"/>
              </w:rPr>
            </w:pPr>
          </w:p>
        </w:tc>
      </w:tr>
      <w:tr>
        <w:trPr>
          <w:trHeight w:val="171"/>
        </w:trPr>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and 3 Call Option</w:t>
            </w:r>
          </w:p>
        </w:tc>
        <w:tc>
          <w:tcPr>
            <w:tcW w:w="176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Forward Contracts</w:t>
            </w:r>
          </w:p>
        </w:tc>
      </w:tr>
      <w:tr>
        <w:trPr>
          <w:trHeight w:val="178"/>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 convertible preferred</w:t>
            </w:r>
          </w:p>
        </w:tc>
        <w:tc>
          <w:tcPr>
            <w:tcW w:w="5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4"/>
        </w:trPr>
        <w:tc>
          <w:tcPr>
            <w:tcW w:w="524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2"/>
                <w:szCs w:val="22"/>
                <w:color w:val="auto"/>
                <w:vertAlign w:val="superscript"/>
              </w:rPr>
              <w:t>(1)</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20"/>
                <w:szCs w:val="20"/>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73.8%</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call option and forward contract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6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2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was estimated using the Backsolve method.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the tranche features on a per share basis was $0.012 as of December 31, 2020 for a preferred stock tranche liability of $0.4 million as of December 31, 2020.</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January 2021, the Company issued additional Series B redeemable convertible preferred stock and recorded an addition to the tranche liability of $33 thousand in recognition of the obligation to sell additional shares at a fixed price in the event that certain agreed-upon milestones are achieved or at the election of investors.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as of March 31, 2021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Black-Scholes pricing model and a scenario analysis: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March 31, 2021</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Tranche 2</w:t>
            </w:r>
          </w:p>
        </w:tc>
        <w:tc>
          <w:tcPr>
            <w:tcW w:w="160" w:type="dxa"/>
            <w:vAlign w:val="bottom"/>
          </w:tcPr>
          <w:p>
            <w:pPr>
              <w:spacing w:after="0"/>
              <w:rPr>
                <w:sz w:val="12"/>
                <w:szCs w:val="12"/>
                <w:color w:val="auto"/>
              </w:rPr>
            </w:pPr>
          </w:p>
        </w:tc>
        <w:tc>
          <w:tcPr>
            <w:tcW w:w="1920" w:type="dxa"/>
            <w:vAlign w:val="bottom"/>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color w:val="auto"/>
              </w:rPr>
              <w:t>Tranche 3 (Public)</w:t>
            </w:r>
          </w:p>
        </w:tc>
        <w:tc>
          <w:tcPr>
            <w:tcW w:w="160" w:type="dxa"/>
            <w:vAlign w:val="bottom"/>
          </w:tcPr>
          <w:p>
            <w:pPr>
              <w:spacing w:after="0"/>
              <w:rPr>
                <w:sz w:val="12"/>
                <w:szCs w:val="12"/>
                <w:color w:val="auto"/>
              </w:rPr>
            </w:pPr>
          </w:p>
        </w:tc>
        <w:tc>
          <w:tcPr>
            <w:tcW w:w="21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Tranche 3 (Staying Private)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Forward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Call</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No Value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color w:val="auto"/>
              </w:rPr>
              <w:t>Call</w:t>
            </w:r>
          </w:p>
        </w:tc>
        <w:tc>
          <w:tcPr>
            <w:tcW w:w="10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color w:val="auto"/>
              </w:rPr>
              <w:t>Forward</w:t>
            </w:r>
          </w:p>
        </w:tc>
        <w:tc>
          <w:tcPr>
            <w:tcW w:w="5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92"/>
              </w:rPr>
              <w:t>No Value</w:t>
            </w:r>
          </w:p>
        </w:tc>
        <w:tc>
          <w:tcPr>
            <w:tcW w:w="220" w:type="dxa"/>
            <w:vAlign w:val="bottom"/>
          </w:tcPr>
          <w:p>
            <w:pPr>
              <w:spacing w:after="0"/>
              <w:rPr>
                <w:sz w:val="12"/>
                <w:szCs w:val="12"/>
                <w:color w:val="auto"/>
              </w:rPr>
            </w:pPr>
          </w:p>
        </w:tc>
      </w:tr>
      <w:tr>
        <w:trPr>
          <w:trHeight w:val="178"/>
        </w:trPr>
        <w:tc>
          <w:tcPr>
            <w:tcW w:w="5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 convertible</w:t>
            </w: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50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preferred stock</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2.0796</w:t>
            </w:r>
          </w:p>
        </w:tc>
        <w:tc>
          <w:tcPr>
            <w:tcW w:w="12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$2.3386</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$1.3023</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$1.3023</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0.05%</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0.75</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0.75</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call option and forward contract</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1.6427</w:t>
            </w:r>
          </w:p>
        </w:tc>
        <w:tc>
          <w:tcPr>
            <w:tcW w:w="12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$1.6427</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$1.6427</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$1.6427</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80.00%</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437</w:t>
            </w:r>
          </w:p>
        </w:tc>
        <w:tc>
          <w:tcPr>
            <w:tcW w:w="12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$ 0.</w:t>
            </w:r>
            <w:r>
              <w:rPr>
                <w:rFonts w:ascii="Times New Roman" w:cs="Times New Roman" w:eastAsia="Times New Roman" w:hAnsi="Times New Roman"/>
                <w:sz w:val="18"/>
                <w:szCs w:val="18"/>
                <w:u w:val="single" w:color="auto"/>
                <w:color w:val="auto"/>
              </w:rPr>
              <w:t>873</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$ 0.</w:t>
            </w:r>
            <w:r>
              <w:rPr>
                <w:rFonts w:ascii="Times New Roman" w:cs="Times New Roman" w:eastAsia="Times New Roman" w:hAnsi="Times New Roman"/>
                <w:sz w:val="18"/>
                <w:szCs w:val="18"/>
                <w:u w:val="single" w:color="auto"/>
                <w:color w:val="auto"/>
              </w:rPr>
              <w:t>251</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 (0.340)</w:t>
            </w: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value of tranche feature (in millions)</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320" w:hanging="424"/>
        <w:spacing w:after="0" w:line="266" w:lineRule="auto"/>
        <w:tabs>
          <w:tab w:leader="none" w:pos="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for Tranche 3 was estimated using guideline IPO transactions for the public scenario and the Black-Scholes based option pricing model for the staying-private scenario, and for Tranche 2 was based on a weighting of the public and staying-private scenarios used for Tranche 3.</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40"/>
          </w:cols>
          <w:pgMar w:left="320" w:top="482"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total value of Tranche 2 was determined as a forward contract for a total of $8.6 million. The value of Tranche 3 was determined using public company and staying-private scenarios for a total value of $4.3 million and $1.9 million, respectively. The Company applied a 75% weighting to the public scenario and a 25% weighting to the staying-private scenario, resulting in a value of Tranche 3 rights of $3.7 million.</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the tranche feature on a per share basis was $0.312 as of March 31, 2021 for a total preferred stock tranche liability of $12.3 million resulting in a change in fair value of the preferred stock tranche liability of $11.8 million for the three months ended March 31, 2021.</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certain technical milestones within the Series B agreements had been achieved and approved the notice to call tranches 2 and 3, subject to requisite stockholders’ written election and related waivers. The second and third closings occurred on May 14, 2021 and all shares of the Series B redeemable convertible preferred stock were acquired thereby extinguishing the preferred stock tranche liability.</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value of the tranche rights acquired on May 14, 2021 was determined using the current value method as both tranches were called by the Company on the valuation date. The following reflects the significant quantitative inputs used in the valuation of the preferred stock tranche liability as of May 14, 2021 using a weighted comparable guideline IPO (high and low) and special purpose acquisition company (“SPAC”) transactions for the public scenario and the Black-Scholes pricing model for the staying private scenario:</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May 14, 2021</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76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color w:val="auto"/>
              </w:rPr>
              <w:t>Public Scenario</w:t>
            </w:r>
          </w:p>
        </w:tc>
        <w:tc>
          <w:tcPr>
            <w:tcW w:w="13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color w:val="auto"/>
              </w:rPr>
              <w:t>Tranches 2 and 3</w:t>
            </w: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2600" w:type="dxa"/>
            <w:vAlign w:val="bottom"/>
            <w:gridSpan w:val="4"/>
          </w:tcPr>
          <w:p>
            <w:pPr>
              <w:ind w:left="960"/>
              <w:spacing w:after="0"/>
              <w:rPr>
                <w:sz w:val="20"/>
                <w:szCs w:val="20"/>
                <w:color w:val="auto"/>
              </w:rPr>
            </w:pPr>
            <w:r>
              <w:rPr>
                <w:rFonts w:ascii="Times New Roman" w:cs="Times New Roman" w:eastAsia="Times New Roman" w:hAnsi="Times New Roman"/>
                <w:sz w:val="14"/>
                <w:szCs w:val="14"/>
                <w:color w:val="auto"/>
              </w:rPr>
              <w:t>Staying Private Scenario</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color w:val="auto"/>
              </w:rPr>
              <w:t>Call</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color w:val="auto"/>
              </w:rPr>
              <w:t>Call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 convertible</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value of Series B redeemable convertible</w:t>
            </w:r>
          </w:p>
        </w:tc>
        <w:tc>
          <w:tcPr>
            <w:tcW w:w="5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difference between the weighted-average value of Series B redeemable convertible preferred stock of $2.032 and the strike price of $1.6427 is the $0.3893 weighted-average fair value of the tranche feature on a per share basis as of May 14, 2021 for a total fair value of $15.2 million resulting in a change in fair value of the preferred stock tranche liability of $2.9 million for the three months ended June 30, 2021.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roll-forward of the change in the preferred stock tranche liability (in thousands):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 Tranche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tranche rights from January 2021 issuance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Tranche liability extinguishment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F-92</w:t>
            </w: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560" w:right="7200" w:hanging="444"/>
        <w:spacing w:after="0" w:line="375" w:lineRule="auto"/>
        <w:tabs>
          <w:tab w:leader="none" w:pos="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Financial Statement information </w:t>
      </w:r>
      <w:r>
        <w:rPr>
          <w:rFonts w:ascii="Times New Roman" w:cs="Times New Roman" w:eastAsia="Times New Roman" w:hAnsi="Times New Roman"/>
          <w:sz w:val="18"/>
          <w:szCs w:val="18"/>
          <w:i w:val="1"/>
          <w:iCs w:val="1"/>
          <w:color w:val="auto"/>
        </w:rPr>
        <w:t>Prepaid Expenses and Other Current Assets</w:t>
      </w:r>
    </w:p>
    <w:p>
      <w:pPr>
        <w:spacing w:after="0" w:line="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w w:val="98"/>
              </w:rPr>
              <w:t>June 30,</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(including prepaid rent)</w:t>
            </w: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2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Recapitalization deferred offering costs</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8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3,546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8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$ 6,395</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1,830</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28,762</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8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35,505</w:t>
            </w:r>
          </w:p>
        </w:tc>
        <w:tc>
          <w:tcPr>
            <w:tcW w:w="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Depreciation totaled $0.5 million and $0.3 million for the six months ended June 30, 2022 and 2021, respectively and $0.3 million and $0.2 million for the three months ended June 30, 2022 and 2021, respectively.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Accrued Expenses and Other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June 30,</w:t>
            </w:r>
          </w:p>
        </w:tc>
        <w:tc>
          <w:tcPr>
            <w:tcW w:w="6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$7,234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2,555</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9,056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3"/>
              </w:rPr>
              <w:t>5,331</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 Operating Leases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operating leases are primarily for its corporate headquarters located in South San Francisco, California and for additional office and laboratory space located in Alameda, California (“Alameda lease”) that</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0920"/>
          </w:cols>
          <w:pgMar w:left="320" w:top="482" w:right="6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commenced on July 30, 2021. The corporate headquarters lease has an initial term of eight years expiring in 2027, with an option to renew for an additional eight years unless canceled by either party thereafter. The Alameda lease has an initial term of eleven years expiring in 2032, with an option to renew the lease for up to two additional terms of five years. The exercise of these renewal options is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was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 Accordingly, the tenant improvement allowance is considered an incentive and was deducted from the initial measurement of the ROU asset and lease liability. The Company estimated the timing of tenant improvement reimbursements at the lease commencement date and upon receipt of the cash incentives, the Company recognized the cash received as an increase in the lease liability.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total lease costs and other information for the period relating to the Company’s operating leases is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71"/>
        </w:trPr>
        <w:tc>
          <w:tcPr>
            <w:tcW w:w="8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June 30,</w:t>
            </w:r>
          </w:p>
        </w:tc>
      </w:tr>
      <w:tr>
        <w:trPr>
          <w:trHeight w:val="142"/>
        </w:trPr>
        <w:tc>
          <w:tcPr>
            <w:tcW w:w="880" w:type="dxa"/>
            <w:vAlign w:val="bottom"/>
            <w:tcBorders>
              <w:bottom w:val="single" w:sz="8" w:color="CCEEFF"/>
            </w:tcBorders>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679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$1,359</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6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840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1,763</w:t>
            </w:r>
          </w:p>
        </w:tc>
        <w:tc>
          <w:tcPr>
            <w:tcW w:w="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12"/>
          </w:tcPr>
          <w:p>
            <w:pPr>
              <w:ind w:left="280"/>
              <w:spacing w:after="0"/>
              <w:rPr>
                <w:sz w:val="20"/>
                <w:szCs w:val="20"/>
                <w:color w:val="auto"/>
              </w:rPr>
            </w:pPr>
            <w:r>
              <w:rPr>
                <w:rFonts w:ascii="Times New Roman" w:cs="Times New Roman" w:eastAsia="Times New Roman" w:hAnsi="Times New Roman"/>
                <w:sz w:val="14"/>
                <w:szCs w:val="14"/>
                <w:color w:val="auto"/>
              </w:rPr>
              <w:t>Six Months Ended June 30,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8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137"/>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880" w:type="dxa"/>
            <w:vAlign w:val="bottom"/>
          </w:tcPr>
          <w:p>
            <w:pPr>
              <w:spacing w:after="0"/>
              <w:rPr>
                <w:sz w:val="17"/>
                <w:szCs w:val="17"/>
                <w:color w:val="auto"/>
              </w:rPr>
            </w:pPr>
          </w:p>
        </w:tc>
        <w:tc>
          <w:tcPr>
            <w:tcW w:w="5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cash flows net inflows and (outflows) from operating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lease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880" w:type="dxa"/>
            <w:vAlign w:val="bottom"/>
          </w:tcPr>
          <w:p>
            <w:pPr>
              <w:spacing w:after="0"/>
              <w:rPr>
                <w:sz w:val="17"/>
                <w:szCs w:val="17"/>
                <w:color w:val="auto"/>
              </w:rPr>
            </w:pPr>
          </w:p>
        </w:tc>
        <w:tc>
          <w:tcPr>
            <w:tcW w:w="5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Remeasurement of ROU and lease liabilities due to changes in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timing of receipt of lease incentives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8.2 years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5.8 years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 Company had received $8.1 million of the $17.5 million tenant improvements allowance.</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and 2021, amounts disclosed for ROU assets obtained in exchange for lease obligations include amounts added to the carrying amount of ROU assets resulting from lease modifications and reassessments.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80"/>
          </w:cols>
          <w:pgMar w:left="320" w:top="482" w:right="49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07"/>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7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SENTI BIOSCIENCES, INC.</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Maturities of the Company’s lease liabilities as of June 30, 2022, were as follows (in thousands):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for the remainder of the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(20,137)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reimbursements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7. Convertible Note</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May 19, 2022, in connection with the Merger, Legacy Senti issued $5.2 million in unsecured convertible promissory notes for the purchase price of $5.2 million. The May 2022 Note was due May 2024 and interest accrued at an annual rate of 3.0%.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May 2022 Note was cancellable and exchangeable or convertible under any of the following circumstances:</w:t>
      </w:r>
    </w:p>
    <w:p>
      <w:pPr>
        <w:spacing w:after="0" w:line="131" w:lineRule="exact"/>
        <w:rPr>
          <w:sz w:val="20"/>
          <w:szCs w:val="20"/>
          <w:color w:val="auto"/>
        </w:rPr>
      </w:pPr>
    </w:p>
    <w:p>
      <w:pPr>
        <w:ind w:left="1080" w:hanging="424"/>
        <w:spacing w:after="0" w:line="258"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upon the closing of the Business Combination Agreement with Dynamics. The outstanding principal under this note shall be cancelled and exchanged automatically into that number of shares of Dynamics common stock as is equal to (a) the entire principal amount under this note divided by (b) $10.00. Upon conversion of this note, any and all accrued interest under this note shall immediately and automatically be cancelled and forgiven. The shares issued upon conversion of this note shall have the same rights and entitlements as the shares issued in connection with the PIPE by Dynamics.</w:t>
      </w:r>
    </w:p>
    <w:p>
      <w:pPr>
        <w:spacing w:after="0" w:line="88"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upon closing of a qualified Initial Public Offering (“IPO”). The note and any accrued unpaid interest shall be automatically converted into shares of the equity securities issued in the qualified IPO at a conversion price equal to the product of (a) 80%, and (b) the price per share of the Company’s common stock issued to the public in the qualified IPO.</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upon closing of non-qualified financing. The note and any accrued unpaid interest shall be automatically converted into shares of the Company’s equity securities issued in such non-qualified financing at a conversion price per share equal to the product of</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80%, and (b) the lowest per-share selling price of the equity securities issued to other investors in the non-qualified financing.</w:t>
      </w:r>
    </w:p>
    <w:p>
      <w:pPr>
        <w:spacing w:after="0" w:line="112"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 has not been repaid or previously converted, on or after the maturity date, at the election of the holder, the outstanding balance shall either (a) be repaid in cash in an amount equal to the outstanding principal, or (b) be converted into that number of shares of Legacy Senti’s Series B Preferred Stock equal to the outstanding balance divided by the original issuance price of the Series B Preferred Stock.</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June 8, 2022, concurrently with the closing of the Merger, the May 2022 Note was automatically cancelled and exchanged for 517,500 shares of Class A Common Stock at a price of $10.00 per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73"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accounting guidance for an extinguishment of convertible debt instruments with a conversion feature that is separately accounted for as a derivative, the Company determined that the cancellation and exchange should be accounted for as an extinguishment of the May 2022 Note and a gain on extinguishment of $1.3 million was recorded at the closing of the Merger and all accrued interest at the time of the Merger was reversed and recorded to additional paid in capital.​</w:t>
      </w:r>
    </w:p>
    <w:p>
      <w:pPr>
        <w:spacing w:after="0" w:line="288" w:lineRule="exact"/>
        <w:rPr>
          <w:sz w:val="20"/>
          <w:szCs w:val="20"/>
          <w:color w:val="auto"/>
        </w:rPr>
      </w:pPr>
    </w:p>
    <w:p>
      <w:pPr>
        <w:ind w:left="120" w:right="8080" w:hanging="4"/>
        <w:spacing w:after="0" w:line="397" w:lineRule="auto"/>
        <w:tabs>
          <w:tab w:leader="none" w:pos="3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Equity (Deficit) Redeemable Convertible Preferred Stock</w:t>
      </w:r>
    </w:p>
    <w:p>
      <w:pPr>
        <w:spacing w:after="0" w:line="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Company’s redeemable convertible preferred stock consisted of the following as of December 31, 2021 (in thousands, except per share amounts):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Shares Issued and</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3"/>
                <w:szCs w:val="13"/>
                <w:color w:val="auto"/>
              </w:rPr>
              <w:t>Aggregate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Issue Price</w:t>
            </w:r>
          </w:p>
        </w:tc>
        <w:tc>
          <w:tcPr>
            <w:tcW w:w="15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Shares Authorized</w:t>
            </w: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Carrying Value</w:t>
            </w: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Liquidation</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Preference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$ 1.6427</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6,888,563</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$ 1.6427</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12,629,427</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12,629,425</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114,425</w:t>
            </w: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106,012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19,517,990</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19,517,988</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171,833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163,834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Merger, all previously issued and outstanding redeemable convertible preferred stock was converted into an equivalent number of shares of common stock of the Company on a one-to-one basis, then multiplied by the Exchange Ratio pursuant to the Merger Agreement. Refer to Note 3,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 xml:space="preserve"> for further details of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w:t>
      </w:r>
    </w:p>
    <w:p>
      <w:pPr>
        <w:spacing w:after="0" w:line="117" w:lineRule="exact"/>
        <w:rPr>
          <w:sz w:val="20"/>
          <w:szCs w:val="20"/>
          <w:color w:val="auto"/>
        </w:rPr>
      </w:pPr>
    </w:p>
    <w:p>
      <w:pPr>
        <w:jc w:val="both"/>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June 30, 2022, no cash dividends have been declared or paid.</w:t>
      </w:r>
    </w:p>
    <w:p>
      <w:pPr>
        <w:spacing w:after="0" w:line="164"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Company was authorized to issue 500,000,000 and 27,006,600 shares of common stock, respectively all at a par value of $0.0001 per share, and had reserved the following shares for future issuance:</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Unvested early exercised common stock</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288,807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473,373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8,779,368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2,291,838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 under stock option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2,492,735</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717,617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11,560,910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23,000,816</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F-96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June 8, 2022, upon the Closing, all of the outstanding redeemable convertible preferred stock was converted to Common Stock pursuant to the conversion rate effective immediately prior to the Merger and the Exchange Ratio and the remaining amount was reclassified to additional paid-in capital. Refer to Note 3,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 xml:space="preserve"> for further details of the Merger.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Preferred Stock</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close of the Merger, the Company’s Amended and Restated Certificate of Incorporation provides the Company’s board of directors with the authority to issue $0.0001 par value preferred stock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10,000,000 shares designated as preferred stock and none were outstanding as of June 30, 2022.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Contingent Earnout Equity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Closing, former holders of Legacy Senti common stock and preferred stock may receive up to 2,000,000 additional shares of the Company’s common stock in the aggregate, in two equal tranches of 1,000,000 shares of common stock per tranche. The first and second tranches are issuable if the closing volume weighted average price (“VWAP”) per share of common stock quoted on the Nasdaq (or the exchange on which the shares of common stock are then listed) is greater or equal to $15.00 and $20.00, respectively over any twenty trading days within any thirty-day trading period. The first and second tranche term is two and three years, respectively, from the closing of the Merger. If there is a change of control within the three-year following the closing of the Merger that results in a per share price equal to or in excess of the $15.00 and $20.00 share price milestones not previously met, then Company shall issue the earnout shares to the holders of Legacy Senti common stock and preferred stock.</w:t>
      </w:r>
    </w:p>
    <w:p>
      <w:pPr>
        <w:spacing w:after="0" w:line="18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estimated fair value of the total Contingent Earnout Shares at the Closing on June 8, 2022, was $9.8 million based on a Monte Carlo simulation valuation model. Of this amount, $9.7 million was accounted for as a Contingent Earnout Liability because the triggering events that determine the number of Contingent Earnout Shares required to be issued include events that are not solely indexed to the common stock of the Company.​The remaining balance of $0.1 million relates to holders of Legacy Senti common stock that are subject to repurchase were accounted for as stock-based compensation and recorded as an expense, as there was no remaining service period. The Contingent Earnout Liability was remeasured to fair value as of June 30, 2022, resulting in the recording of a non-cash gain of $8.9 million for the three and six months ended June 30, 2022, classified within change in fair value of contingent earnout liability in the condensed consolidated statements of operations and comprehensive loss.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Assumptions used in the valuation are described below:</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Current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46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Expected share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Estimated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Expected term (years)</w:t>
      </w:r>
    </w:p>
    <w:p>
      <w:pPr>
        <w:spacing w:after="0" w:line="139"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8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w w:val="99"/>
              </w:rPr>
              <w:t>June 08, 2022</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June 30, 2022</w:t>
            </w:r>
          </w:p>
        </w:tc>
      </w:tr>
      <w:tr>
        <w:trPr>
          <w:trHeight w:val="191"/>
        </w:trPr>
        <w:tc>
          <w:tcPr>
            <w:tcW w:w="300" w:type="dxa"/>
            <w:vAlign w:val="bottom"/>
            <w:tcBorders>
              <w:top w:val="single" w:sz="8" w:color="auto"/>
            </w:tcBorders>
          </w:tcPr>
          <w:p>
            <w:pPr>
              <w:jc w:val="right"/>
              <w:ind w:right="11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7.51</w:t>
            </w:r>
          </w:p>
        </w:tc>
        <w:tc>
          <w:tcPr>
            <w:tcW w:w="1080" w:type="dxa"/>
            <w:vAlign w:val="bottom"/>
          </w:tcPr>
          <w:p>
            <w:pPr>
              <w:spacing w:after="0"/>
              <w:rPr>
                <w:sz w:val="16"/>
                <w:szCs w:val="16"/>
                <w:color w:val="auto"/>
              </w:rPr>
            </w:pPr>
          </w:p>
        </w:tc>
        <w:tc>
          <w:tcPr>
            <w:tcW w:w="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3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3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300" w:type="dxa"/>
            <w:vAlign w:val="bottom"/>
          </w:tcPr>
          <w:p>
            <w:pPr>
              <w:spacing w:after="0"/>
              <w:rPr>
                <w:sz w:val="20"/>
                <w:szCs w:val="20"/>
                <w:color w:val="auto"/>
              </w:rPr>
            </w:pPr>
          </w:p>
        </w:tc>
        <w:tc>
          <w:tcPr>
            <w:tcW w:w="15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2">
            <w:col w:w="6200" w:space="720"/>
            <w:col w:w="4200"/>
          </w:cols>
          <w:pgMar w:left="320" w:top="482" w:right="459" w:bottom="1440" w:gutter="0" w:footer="0" w:header="0"/>
          <w:type w:val="continuous"/>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 Revenue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revenue consists of amounts received related to research services provided to customers.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Contract Revenue</w:t>
      </w:r>
    </w:p>
    <w:p>
      <w:pPr>
        <w:spacing w:after="0" w:line="2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collaborative development agreement. The Company determined that the agreement contained three distinct promises; research and development, design services, and intellectual property, which will be accounted for as a single combined performance obligation of research and development services recognized over time. The development agreement included $0.3 million of fixed consideration allocated to a single performance obligation and an additional $0.3 million of variable consideration. At the inception of the development agreement, it was not probable that a significant reversal of revenue would not occur and therefore the variable consideration was fully constrained. Throughout the development agreement period, several parameters of the research and development services were changed, which increased the uncertainty of achieving the remaining performance obligations. Therefore, in December 2021, the contract asset of $0.3 million was reversed due to this increased uncertainty.</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expects to complete the research program over a two-year period.</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this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w:t>
      </w:r>
    </w:p>
    <w:p>
      <w:pPr>
        <w:spacing w:after="0" w:line="185" w:lineRule="exact"/>
        <w:rPr>
          <w:sz w:val="20"/>
          <w:szCs w:val="20"/>
          <w:color w:val="auto"/>
        </w:rPr>
      </w:pPr>
    </w:p>
    <w:p>
      <w:pPr>
        <w:jc w:val="both"/>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 is eligible to receive a license fee, potential research, development and commercial milestone payments and royalties on product sales.</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Spark may generally terminate the agreement upon 90 days prior written notice or 180 days prior written notice if the licensed promoter is in clinical trials or is being commercialized at the time of termination.</w:t>
      </w:r>
    </w:p>
    <w:p>
      <w:pPr>
        <w:spacing w:after="0" w:line="18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the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20"/>
          </w:cols>
          <w:pgMar w:left="320" w:top="482" w:right="4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both collaboration agreements,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recorded revenue, which was previously included in deferred revenue at the beginning of each period, of $0.5 million and $0.3 million, respectively, and for the six months ended June 30, 2022 and 2021, the Company recorded revenue, which was previously included in the deferred revenue at the beginning of each period, of $1.0 million and $0.3 million, respectively. Contract asset balances related to unbilled revenue for our collaboration agreements were zero as of June 30, 2022 and 2021, and are presented within prepaid expenses and other current assets on the condensed consolidated balance sheets.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Grant Income</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2021, the Small Business Innovation Research (“SBIR”) awarded the Company a grant in the amount of $2.0 million over two years subject to meeting certain terms and conditions. The purpose of the grant is to support the further development of SENTI-202 for acute myeloid leukemia towards clinical development.</w:t>
      </w:r>
    </w:p>
    <w:p>
      <w:pPr>
        <w:spacing w:after="0" w:line="176"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Grant income was recognized when qualified research and development costs were incurred and the Company obtained reasonable assurance that the terms and conditions of the grant were met.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Entity-wide information</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Customers A and B accounted for 82% and 18%, respectively, of revenue. During the three months ended June 30, 2021, Customers A, B and C accounted for 86%, 2% and 12%, respectively, of revenue. During the six months ended June 30, 2022, Customers A and B accounted for 80% and 20%, respectively, of revenue. During the six months ended June 30, 2021, Customer A, B and C accounted for 79%, 5% and 16%, respectively, of revenue.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revenues were generated in the United States for the three and six months ended June 30, 2022 and 2021.</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 Stock-Based Compensation</w:t>
      </w:r>
    </w:p>
    <w:p>
      <w:pPr>
        <w:spacing w:after="0" w:line="117"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On June 8, 2022, upon the Merger, the Company adopted a 2022 Stock Incentive Plan (the “2022 Plan”) authorizing the grant of incentive stock options (“ISOs”), to employees, including employees of any parent or subsidiary, and for the grant of nonstatutory stock options (“NSOs”), stock appreciation rights, restricted stock awards, restricted stock unit awards, performance awards and other forms of awards to employees, directors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40"/>
          </w:cols>
          <w:pgMar w:left="320" w:top="482" w:right="4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consultants, including employees and consultants of the Company’s affiliates. As of June 30, 2022, the Company is authorized to issue up to 2,492,735, of shares of common stock under the 2022 Plan in which the exercise price of an ISO and NSO shall not be less than 100% of the fair market value of a common stock share on the date of grant. The exercise price of an ISO granted to a 10% stockholder shall not be less than 110% of the fair value of the common stock share on the date of grant. Stock options awarded under the Plan expire ten years after the grant date. On January 1 of each year commencing January 1, 2023, the 2022 Plan will automatically increase by 5% of the outstanding number of shares of common stock of the Company on December 31 or such lesser number of shares as approved by the Company’s board of directors.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2022 Plan replaced the Legacy Senti 2016 Stock Incentive Plan (the “2016 Plan”). As of June 30, 2022 and December 31, 2021, Legacy Senti was authorized to issue up to 12,828,363 of shares of common stock under the 2016 Plan. Following the Merger, no additional stock awards will be granted under the 2016 Plan. All awards previously granted and outstanding as of the effective date of the Merger, were adjusted to reflect the impact of the Merger as described in Note 3,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 xml:space="preserve"> but otherwise remain in effect pursuant to their original terms. The shares underlying any award granted under the 2016 Plan that are forfeited back to or repurchased or reacquired by the Company, will revert to and again become available for issuance under the 2022 Plan.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excluding performance and market awards: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Weighted-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Weighted-</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80" w:type="dxa"/>
            <w:vAlign w:val="bottom"/>
          </w:tcPr>
          <w:p>
            <w:pPr>
              <w:spacing w:after="0"/>
              <w:rPr>
                <w:sz w:val="12"/>
                <w:szCs w:val="12"/>
                <w:color w:val="auto"/>
              </w:rPr>
            </w:pPr>
          </w:p>
        </w:tc>
        <w:tc>
          <w:tcPr>
            <w:tcW w:w="6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2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Number of</w:t>
            </w:r>
          </w:p>
        </w:tc>
        <w:tc>
          <w:tcPr>
            <w:tcW w:w="26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Contractual</w:t>
            </w:r>
          </w:p>
        </w:tc>
        <w:tc>
          <w:tcPr>
            <w:tcW w:w="2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Life</w:t>
            </w:r>
          </w:p>
        </w:tc>
        <w:tc>
          <w:tcPr>
            <w:tcW w:w="2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 (in</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Price</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(Years)</w:t>
            </w:r>
          </w:p>
        </w:tc>
        <w:tc>
          <w:tcPr>
            <w:tcW w:w="28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2,291,838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(199,807)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(424,485)</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2.77</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1,667,546</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June 30, 2022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421,763</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Early Exercise of Stock Options into Restricted Stock</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issued zero and 512,670 shares of common stock upon exercise of unvested stock options, respectively. As of June 30, 2022 and December 31, 2021, 288,807 and 473,373 shares were held by employees subject to repurchase at an aggregate price of $0.8 million and $1.2 million, respectively.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on December 19, 2021, the Legacy Senti approved 8,400,892 performance awards to existing employees that vest contingent upon the satisfaction of both a four-year service condition and a performance condition tied to the consummation of the Merger. The awards and the associated recognition of stock-based compensation were contingent on the Merger being consummated. As of the approval date of the performance awards, Legacy Senti did not have sufficient common stock available for issuance. Upon the Merger, the Company increased number of shares authorized and 6,796,074 awards were granted on June 8,</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00"/>
          </w:cols>
          <w:pgMar w:left="320" w:top="482" w:right="4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2022. Refer to Note 8,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for further details of the shares of common stock authorized.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Weighted-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Weighted-</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320" w:type="dxa"/>
            <w:vAlign w:val="bottom"/>
          </w:tcPr>
          <w:p>
            <w:pPr>
              <w:spacing w:after="0"/>
              <w:rPr>
                <w:sz w:val="12"/>
                <w:szCs w:val="12"/>
                <w:color w:val="auto"/>
              </w:rPr>
            </w:pPr>
          </w:p>
        </w:tc>
        <w:tc>
          <w:tcPr>
            <w:tcW w:w="6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3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Number of</w:t>
            </w:r>
          </w:p>
        </w:tc>
        <w:tc>
          <w:tcPr>
            <w:tcW w:w="30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Contractual</w:t>
            </w:r>
          </w:p>
        </w:tc>
        <w:tc>
          <w:tcPr>
            <w:tcW w:w="3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Life</w:t>
            </w:r>
          </w:p>
        </w:tc>
        <w:tc>
          <w:tcPr>
            <w:tcW w:w="3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Price</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(Years)</w:t>
            </w:r>
          </w:p>
        </w:tc>
        <w:tc>
          <w:tcPr>
            <w:tcW w:w="32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6,796,074</w:t>
            </w:r>
          </w:p>
        </w:tc>
        <w:tc>
          <w:tcPr>
            <w:tcW w:w="30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9.92</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7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6,796,074</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June 30, 2022</w:t>
            </w:r>
          </w:p>
        </w:tc>
        <w:tc>
          <w:tcPr>
            <w:tcW w:w="1080" w:type="dxa"/>
            <w:vAlign w:val="bottom"/>
            <w:gridSpan w:val="2"/>
          </w:tcPr>
          <w:p>
            <w:pPr>
              <w:spacing w:after="0" w:line="20" w:lineRule="exact"/>
              <w:rPr>
                <w:sz w:val="1"/>
                <w:szCs w:val="1"/>
                <w:color w:val="auto"/>
              </w:rPr>
            </w:pP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Market Awards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Agreement with DYNS, on December 19, 2021, Legacy Senti approved 605,451 market awards to its co-founder and Chief Executive Officer, Dr. Timothy Lu that vest contingent upon the satisfaction of all three of the following conditions: a service condition, a performance condition tied to the consummation of the Merger, and market conditions. The market condition is achieved in four tranches, where 25% of the options will vest when the trading price of the Company’s stock is above various thresholds of price per share. The award and the associated recognition of stock-based compensation are contingent on the Merger being consummated. As of the approval date, the Legacy Senti did not have sufficient common stock available for issuance to allow for exercise of the stock options. Upon the Merger, the Company increased number of shares authorized and 315,748 awards were granted on June 8, 2022. Refer to Note 8,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for further details of the shares of common stock authorized.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assumptions below for the Black-Scholes option pricing model, which are subjective and generally require significant judgment.</w:t>
      </w:r>
    </w:p>
    <w:p>
      <w:pPr>
        <w:spacing w:after="0" w:line="52" w:lineRule="exact"/>
        <w:rPr>
          <w:sz w:val="20"/>
          <w:szCs w:val="20"/>
          <w:color w:val="auto"/>
        </w:rPr>
      </w:pPr>
    </w:p>
    <w:p>
      <w:pPr>
        <w:ind w:left="560" w:right="1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Fair Value of Common Stock </w:t>
      </w:r>
      <w:r>
        <w:rPr>
          <w:rFonts w:ascii="Times New Roman" w:cs="Times New Roman" w:eastAsia="Times New Roman" w:hAnsi="Times New Roman"/>
          <w:sz w:val="17"/>
          <w:szCs w:val="17"/>
          <w:color w:val="auto"/>
        </w:rPr>
        <w:t>— The fair value of the shares of common stock has historically been determined by the Company’s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as there was no public market for the common stock. The board of directors determined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 As of the closing of the Merger and going forward, the fair value of common stock will be based on the publicly traded market value.</w:t>
      </w:r>
    </w:p>
    <w:p>
      <w:pPr>
        <w:spacing w:after="0" w:line="60"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 options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(based on the mid-point between the vesting date and the end of the contractual term).</w:t>
      </w:r>
    </w:p>
    <w:p>
      <w:pPr>
        <w:spacing w:after="0" w:line="50" w:lineRule="exact"/>
        <w:rPr>
          <w:sz w:val="20"/>
          <w:szCs w:val="20"/>
          <w:color w:val="auto"/>
        </w:rPr>
      </w:pPr>
    </w:p>
    <w:p>
      <w:pPr>
        <w:jc w:val="both"/>
        <w:ind w:lef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The expected volatility is based on the average historical volatility of comparable publicly-traded peer companies, over a period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expected term of the stock option grants, as the Company was not publicly traded prior to the Merger and does not have a trading history for its common stock for a sufficient period of time subsequent to the Merger.</w:t>
      </w:r>
    </w:p>
    <w:p>
      <w:pPr>
        <w:spacing w:after="0" w:line="65" w:lineRule="exact"/>
        <w:rPr>
          <w:sz w:val="20"/>
          <w:szCs w:val="20"/>
          <w:color w:val="auto"/>
        </w:rPr>
      </w:pPr>
    </w:p>
    <w:p>
      <w:pPr>
        <w:ind w:left="560" w:right="7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 The risk-free rate assumption is based on the U.S. Treasury zero-coupon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option.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20"/>
          </w:cols>
          <w:pgMar w:left="320" w:top="482"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Company has never paid dividends on its common stock and does not anticipate paying dividends on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an expected dividend yield of zero.</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assumptions used to determine the grant date fair value of non-market based, stock options granted were as follows, presented on a weighted-average basis: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color w:val="auto"/>
              </w:rPr>
              <w:t>Six Months Ended 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8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88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8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40" w:type="dxa"/>
            <w:vAlign w:val="bottom"/>
          </w:tcPr>
          <w:p>
            <w:pPr>
              <w:spacing w:after="0"/>
              <w:rPr>
                <w:sz w:val="24"/>
                <w:szCs w:val="24"/>
                <w:color w:val="auto"/>
              </w:rPr>
            </w:pPr>
          </w:p>
        </w:tc>
        <w:tc>
          <w:tcPr>
            <w:tcW w:w="194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88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3"/>
              </w:rPr>
              <w:t>7,863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1,362</w:t>
            </w:r>
          </w:p>
        </w:tc>
        <w:tc>
          <w:tcPr>
            <w:tcW w:w="14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8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8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9,225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9,886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r>
      <w:tr>
        <w:trPr>
          <w:trHeight w:val="20"/>
        </w:trPr>
        <w:tc>
          <w:tcPr>
            <w:tcW w:w="8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the total unrecognized stock-based compensation was approximately $32.1 million, expected to be recognized over a weighted-average period of 2.26 years. As of December 31, 2021, the total unrecognized stock-based compensation was approximately $9.2 million, expected to be recognized over a weighted-average period of 3.1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Income Tax</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provision for income taxes was recorded for the three and six months ended June 30, 2022 and 2021, respectively. Deferred tax assets generated from the Company’s net operating losses have been fully reserved, as the Company believes it is not more likely than not that the benefit will be realized due to the Company’s net operating losses generated to date.</w:t>
      </w:r>
    </w:p>
    <w:p>
      <w:pPr>
        <w:spacing w:after="0" w:line="176"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Effective January 1, 2022, under the Tax Cuts and Jobs Act, for tax purposes the Company is required to capitalize and subsequently amortize all R&amp;D expenditures over five years for research activities conducted in the U.S. and over fifteen years for research activities conducted outside of the U.S. Given the significant loss and credit carryforwards in the U.S., the Company does not anticipate to have a change in valuation allowance assertion.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00"/>
          </w:cols>
          <w:pgMar w:left="320" w:top="482"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Net Loss Per Share</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net loss available to common stockholders and the number of shares in the calculation of basic and diluted loss per share is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5"/>
          </w:tcPr>
          <w:p>
            <w:pPr>
              <w:jc w:val="right"/>
              <w:ind w:right="881"/>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00" w:type="dxa"/>
            <w:vAlign w:val="bottom"/>
          </w:tcPr>
          <w:p>
            <w:pPr>
              <w:spacing w:after="0"/>
              <w:rPr>
                <w:sz w:val="13"/>
                <w:szCs w:val="13"/>
                <w:color w:val="auto"/>
              </w:rPr>
            </w:pPr>
          </w:p>
        </w:tc>
        <w:tc>
          <w:tcPr>
            <w:tcW w:w="228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2021</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64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64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64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basic and diluted</w:t>
            </w:r>
          </w:p>
        </w:tc>
        <w:tc>
          <w:tcPr>
            <w:tcW w:w="100" w:type="dxa"/>
            <w:vAlign w:val="bottom"/>
          </w:tcPr>
          <w:p>
            <w:pPr>
              <w:spacing w:after="0"/>
              <w:rPr>
                <w:sz w:val="20"/>
                <w:szCs w:val="20"/>
                <w:color w:val="auto"/>
              </w:rPr>
            </w:pPr>
          </w:p>
        </w:tc>
        <w:tc>
          <w:tcPr>
            <w:tcW w:w="14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w w:val="96"/>
              </w:rPr>
              <w:t>13,446,622</w:t>
            </w:r>
          </w:p>
        </w:tc>
        <w:tc>
          <w:tcPr>
            <w:tcW w:w="100" w:type="dxa"/>
            <w:vAlign w:val="bottom"/>
          </w:tcPr>
          <w:p>
            <w:pPr>
              <w:spacing w:after="0"/>
              <w:rPr>
                <w:sz w:val="20"/>
                <w:szCs w:val="20"/>
                <w:color w:val="auto"/>
              </w:rPr>
            </w:pPr>
          </w:p>
        </w:tc>
        <w:tc>
          <w:tcPr>
            <w:tcW w:w="13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w w:val="97"/>
              </w:rPr>
              <w:t>2,909,105</w:t>
            </w:r>
          </w:p>
        </w:tc>
        <w:tc>
          <w:tcPr>
            <w:tcW w:w="100" w:type="dxa"/>
            <w:vAlign w:val="bottom"/>
          </w:tcPr>
          <w:p>
            <w:pPr>
              <w:spacing w:after="0"/>
              <w:rPr>
                <w:sz w:val="20"/>
                <w:szCs w:val="20"/>
                <w:color w:val="auto"/>
              </w:rPr>
            </w:pPr>
          </w:p>
        </w:tc>
        <w:tc>
          <w:tcPr>
            <w:tcW w:w="13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w w:val="97"/>
              </w:rPr>
              <w:t>8,336,451</w:t>
            </w:r>
          </w:p>
        </w:tc>
        <w:tc>
          <w:tcPr>
            <w:tcW w:w="100" w:type="dxa"/>
            <w:vAlign w:val="bottom"/>
          </w:tcPr>
          <w:p>
            <w:pPr>
              <w:spacing w:after="0"/>
              <w:rPr>
                <w:sz w:val="20"/>
                <w:szCs w:val="20"/>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7"/>
              </w:rPr>
              <w:t>2,883,582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stock securities were excluded from the computation of diluted net loss per share attributable to common stockholders for the periods presented because including them would have been anti-dilutive (on an as-converted basis):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6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Three and Six Months Ended June 30,</w:t>
            </w:r>
          </w:p>
        </w:tc>
      </w:tr>
      <w:tr>
        <w:trPr>
          <w:trHeight w:val="171"/>
        </w:trPr>
        <w:tc>
          <w:tcPr>
            <w:tcW w:w="56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19,517,988</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8,779,368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1,815,431</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options</w:t>
            </w: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288,807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499,571</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earnout common stock</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11,068,175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21,832,990</w:t>
            </w:r>
          </w:p>
        </w:tc>
      </w:tr>
      <w:tr>
        <w:trPr>
          <w:trHeight w:val="20"/>
        </w:trPr>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agreements with third parties that include non-cancelable payment obligations, for which we are liable in future periods.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June 3, 2021, the Company entered into a lease agreement for a new cGMP facility in Alameda, California to support planned initial clinical trials for our product candidates (Note 6). The lease will expire in 2032 with future undiscounted operating lease payments of $46.0 million over an initial lease period of eleven years.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2021, the Company began construction of the cGMP facility. As of June 30, 2022 the Company paid $17.9 million in construction costs of the $35.5 million purchase commitment. The agreements with the construction company provide for termination following a certain period after notice. Upon termination, the Company will be responsible for payment for work performed to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2021, the Company entered into a three-year collaboration and option agreement with BlueRock Therapeutics LP (“BlueRock”) under which the Company granted BlueRock an option to acquire an exclusive or non-exclusive license to develop, manufacture and commercialize cell therapy products (Note 14). In consideration for the option, the Company is responsible for up to $10.0 million in costs and expenses incurred over the three-year term.</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000"/>
          </w:cols>
          <w:pgMar w:left="320" w:top="482" w:right="5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purchase commitments related to sponsored research agreements amounted to approximately $1.7 million.</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under which they are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June 30, 2022, the Company is unable to estimate the timing or likelihood of achieving these milestones or generating future product sales.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Following the Closing, former holders of Legacy Senti common stock and preferred stock may receive up to 2,000,000 additional shares of the Company’s common stock in the aggregate, in two equal tranches of 1,000,000 shares of common stock per tranche. Refer to Note 3,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(Deficit), </w:t>
      </w:r>
      <w:r>
        <w:rPr>
          <w:rFonts w:ascii="Times New Roman" w:cs="Times New Roman" w:eastAsia="Times New Roman" w:hAnsi="Times New Roman"/>
          <w:sz w:val="18"/>
          <w:szCs w:val="18"/>
          <w:color w:val="auto"/>
        </w:rPr>
        <w:t>for further details of the contingent earnout liability.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condensed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6" w:lineRule="exact"/>
        <w:rPr>
          <w:sz w:val="20"/>
          <w:szCs w:val="20"/>
          <w:color w:val="auto"/>
        </w:rPr>
      </w:pPr>
    </w:p>
    <w:p>
      <w:pPr>
        <w:ind w:left="560" w:right="8900" w:hanging="444"/>
        <w:spacing w:after="0" w:line="375" w:lineRule="auto"/>
        <w:tabs>
          <w:tab w:leader="none" w:pos="38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Related Parties </w:t>
      </w:r>
      <w:r>
        <w:rPr>
          <w:rFonts w:ascii="Times New Roman" w:cs="Times New Roman" w:eastAsia="Times New Roman" w:hAnsi="Times New Roman"/>
          <w:sz w:val="18"/>
          <w:szCs w:val="18"/>
          <w:i w:val="1"/>
          <w:iCs w:val="1"/>
          <w:color w:val="auto"/>
        </w:rPr>
        <w:t>Preferred Stockholders</w:t>
      </w:r>
    </w:p>
    <w:p>
      <w:pPr>
        <w:spacing w:after="0" w:line="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issued Series A convertible redeemable preferred stock and Series B redeemable convertible preferred stock in February 2018 and October 2020, respectively, to certain related parties, including New Enterprise Associates 15, L.P. and its affiliates (“NEA”) and 8VC and its affiliates (“8VC”).</w:t>
      </w:r>
    </w:p>
    <w:p>
      <w:pPr>
        <w:spacing w:after="0" w:line="176"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February 2018, the outstanding convertible notes held by NEA and 8VC, as well as Dr. Timothy Lu, our Chief Executive Officer, converted into additional shares of Series A redeemable convertible preferred stock while in October 2020, the outstanding convertible notes held by NEA and 8VC converted into additional shares of Series B redeemable convertible preferred stock, both in accordance with the terms of the note agreements.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82"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June 8, 2022, in conjunction with the Merger, each outstanding share of preferred stock of Legacy Senti was cancelled and converted into the aggregate number of shares of the Company’s common stock that would be issued upon conversion of the shares of Legacy Senti preferred stock based on the applicable conversion ratio immediately prior to the effective time, multiplied by the Exchange Ratio, rounded down to the nearest whole share. As of June 30, 2022, no shares of preferred stock remain outstanding.</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NEA</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NEA held 4,429,725 and zero shares of common stock as of June 30, 2022 and December 31, 2021, respectively. NEA held zero and 2,642,934 shares of outstanding Series A redeemable convertible preferred stock as of June 30, 2022 and December 31, 2021, respectively, as well as zero and 536,791 shares of outstanding Series B redeemable convertible preferred stock, respectively. NEA held one of the seven seats on the Company’s Board of Directors as of June 30, 2022 and December 31, 2021.</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Bayer Healthcare LLC</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May 19, 2022, Legacy Senti issued to Bayer a $5.2 million unsecured convertible promissory note. On June 8, 2022, the May 2022 Note was automatically cancelled and exchanged for 517,500 shares of Class A Common Stock at a price of $10.00 per share. Refer to Note 7,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for further details of the convertible note.</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May 21, 2021, the Company entered into a collaboration and option agreement (“BlueRock Agreement”) with BlueRock Therapeutics LP (“BlueRock”), a wholly-owned subsidiary of Bayer, pursuant to which the Company granted to BlueRock an option (“BlueRock Option”), on a collaboration program-by-collaboration program basis, to obtain an exclusive or non-exclusive license to develop, manufacture and commercialize cell therapy products that contain cells of 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spacing w:after="0" w:line="19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concluded that the Agreement is not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the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w:t>
      </w:r>
    </w:p>
    <w:p>
      <w:pPr>
        <w:spacing w:after="0" w:line="18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Bayer held 5,878,488 shares of the Company’s common stock. As of December 31, 2021, Bayer held 5,360,988 shares of Series B redeemable convertible preferred stock and held one of the seven seats on the Board of Directors of Legacy Senti. Bayer’s parent company is Bayer AG, which served as the lead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080"/>
          </w:cols>
          <w:pgMar w:left="320" w:top="482" w:right="4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in our Series B financing through its Leaps by Bayer unit. Accordingly, Bayer is considered a related party.</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 Subsequent Events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the unaudited condensed financial statements were issued. Based upon this review, the Company did not identify any subsequent events that would have required adjustment or disclosure in the unaudited condensed financial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120"/>
          </w:cols>
          <w:pgMar w:left="320" w:top="482"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8,727,049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2693035</wp:posOffset>
            </wp:positionV>
            <wp:extent cx="1474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343535</wp:posOffset>
            </wp:positionV>
            <wp:extent cx="2623185" cy="6940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2318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399415</wp:posOffset>
            </wp:positionV>
            <wp:extent cx="1474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41"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410845</wp:posOffset>
            </wp:positionV>
            <wp:extent cx="69951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470535</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40"/>
          </w:cols>
          <w:pgMar w:left="320" w:top="482" w:right="5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securities being registered hereby.</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3"/>
                <w:szCs w:val="13"/>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6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31" w:lineRule="exact"/>
        <w:rPr>
          <w:sz w:val="20"/>
          <w:szCs w:val="20"/>
          <w:color w:val="auto"/>
        </w:rPr>
      </w:pPr>
    </w:p>
    <w:p>
      <w:pPr>
        <w:ind w:left="1080" w:right="20" w:hanging="532"/>
        <w:spacing w:after="0" w:line="253"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82" w:right="47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5" w:lineRule="exact"/>
        <w:rPr>
          <w:sz w:val="20"/>
          <w:szCs w:val="20"/>
          <w:color w:val="auto"/>
        </w:rPr>
      </w:pPr>
    </w:p>
    <w:p>
      <w:pPr>
        <w:ind w:left="1080" w:right="200" w:hanging="532"/>
        <w:spacing w:after="0" w:line="261"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85"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94"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92"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97"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8"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82"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5" w:lineRule="exact"/>
        <w:rPr>
          <w:sz w:val="20"/>
          <w:szCs w:val="20"/>
          <w:color w:val="auto"/>
        </w:rPr>
      </w:pPr>
    </w:p>
    <w:p>
      <w:pPr>
        <w:ind w:left="1080" w:right="60" w:hanging="532"/>
        <w:spacing w:after="0" w:line="25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92"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9" w:lineRule="auto"/>
        <w:tabs>
          <w:tab w:leader="none" w:pos="10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58"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amended and restated certificate of incorporation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82"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right to indemnification which is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bylaws include the provisions relating to advancement of expenses and indemnification rights consistent with those which are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82"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of which is filed as Exhibit 10.5 to our Registration Statement on Form S-4 that was declared effective by the SEC on May 13, 2022.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we agreed to continue to indemnify DYNS’ directors and officers and have agreed to the continuation of director and officer liability insurance covering such directors and officers.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March 8, 2021, the Sponsor was issued 5,750,000 shares of DYNS Class B Common Stock (the Founder Shares) for an aggregate price of $25,000. The Founder Shares included an aggregate of up to 750,000 shares of Class B Common Stock subject to forfeiture by the Sponsor to the extent that the underwriter’s over-allotment option was not exercised in full or in part, so that the Sponsor would own, on an as-converted basis, 20% of DYNS’ issued and outstanding shares after its Initial Public Offering (excluding the Private Placement Shares) and assuming its Sponsor did not purchase any Public Shares in its Initial Public Offering). The underwriter fully exercised the over-allotment option on May 28, 2021; thus, these 750,000 Founder Shares are no longer subject to forfeiture.</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DYNS Initial Public Offering, DYNS consummated the sale of 715,500 shares of its Class A Common Stock (the “Private Placement Shares”) at a price of $10.00 per share in a private placement to its Sponsor, generating gross proceeds of $7,155,000. A portion of the proceeds from the sale of the Private Placement Shares was added to the net proceeds from its Initial Public Offering held in the Trust Account. If DYNS did not complete an initial business combination within 24 months from the closing of its Initial Public Offering, the proceeds from the sale of the Private Placement Shares held in the Trust Account would have been used to fund the redemption of Public Shares (subject to the requirements of applicable law).</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March 8, 2021, DYNS issued an unsecured promissory note to its Sponsor (the “Promissory Note”), pursuant to which DYNS could borrow up to an aggregate of $300,000 to cover expenses related to its Initial Public Offering. The Promissory Note was non-interest bearing and was payable on the earlier of December 31, 2021 or the consummation of its Initial Public Offering. In April 2021, DYNS borrowed $250,000 under the Promissory Note, which was repaid on May 26, 2021.</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DYNS entered into subscription agreements with the PIPE Investors, pursuant to which the PIPE Investors purchased, and DYNS sold to the PIPE Investors, on June 8, 2022, an aggregate of 5,060,000 shares of DYNS Class A Common Stock, for a purchase price of $10.00 per share and an aggregate purchase price of $50.6 million out of an expected $66.8 million, in the PIPE Investment. We gave certain registration rights to the PIPE Investors with respect to the PIPE Shares.</w:t>
      </w:r>
    </w:p>
    <w:p>
      <w:pPr>
        <w:spacing w:after="0" w:line="180"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DYNS issued 517,500 shares of DYNS Class A Common Stock to Bayer Healthcare LLC on June 8, 2022, in connection with the cancellation and exchange of the Convertible Note simultaneously with the closing of the PIPE Investment. Bayer Healthcare LLC is entitled to registration rights with respect to the shares issued upon the cancellation and exchange of the Convertible Note.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82"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August 31, 2022, we issued 100,000 Senti Common Shares to Chardan Capital Markets LLC in consideration for its execution and delivery of the ChEF Purchase Agreement, dated as of August 31, 2022 (the “Purchase Agreement”), by and between us and Chardan Capital Markets LLC, in connection with a committed equity financing with an aggregate amount of $50.0 million.</w:t>
      </w:r>
    </w:p>
    <w:p>
      <w:pPr>
        <w:spacing w:after="0" w:line="17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33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and Financial Statements Schedules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20" w:type="dxa"/>
            <w:vAlign w:val="bottom"/>
            <w:gridSpan w:val="1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20" w:type="dxa"/>
            <w:vAlign w:val="bottom"/>
            <w:vMerge w:val="restart"/>
          </w:tcPr>
          <w:p>
            <w:pPr>
              <w:spacing w:after="0"/>
              <w:rPr>
                <w:sz w:val="9"/>
                <w:szCs w:val="9"/>
                <w:color w:val="auto"/>
              </w:rPr>
            </w:pP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vMerge w:val="restart"/>
          </w:tcPr>
          <w:p>
            <w:pPr>
              <w:spacing w:after="0"/>
              <w:rPr>
                <w:sz w:val="9"/>
                <w:szCs w:val="9"/>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60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6"/>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5280" w:type="dxa"/>
            <w:vAlign w:val="bottom"/>
            <w:gridSpan w:val="19"/>
          </w:tcPr>
          <w:p>
            <w:pPr>
              <w:spacing w:after="0"/>
              <w:rPr>
                <w:rFonts w:ascii="Times New Roman" w:cs="Times New Roman" w:eastAsia="Times New Roman" w:hAnsi="Times New Roman"/>
                <w:sz w:val="18"/>
                <w:szCs w:val="18"/>
                <w:color w:val="0000EE"/>
              </w:rPr>
            </w:pPr>
            <w:hyperlink r:id="rId483">
              <w:r>
                <w:rPr>
                  <w:rFonts w:ascii="Times New Roman" w:cs="Times New Roman" w:eastAsia="Times New Roman" w:hAnsi="Times New Roman"/>
                  <w:sz w:val="18"/>
                  <w:szCs w:val="18"/>
                  <w:color w:val="0000EE"/>
                </w:rPr>
                <w:t>Business Combination Agreement, dated as of December 19, 2021, by</w:t>
              </w:r>
            </w:hyperlink>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S-4/A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83">
              <w:r>
                <w:rPr>
                  <w:rFonts w:ascii="Times New Roman" w:cs="Times New Roman" w:eastAsia="Times New Roman" w:hAnsi="Times New Roman"/>
                  <w:sz w:val="18"/>
                  <w:szCs w:val="18"/>
                  <w:color w:val="0000EE"/>
                  <w:w w:val="99"/>
                </w:rPr>
                <w:t>and among Dynamics Special Purpose Corp., Explore Merger Sub, Inc.</w:t>
              </w:r>
            </w:hyperlink>
          </w:p>
        </w:tc>
        <w:tc>
          <w:tcPr>
            <w:tcW w:w="1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9"/>
          </w:tcPr>
          <w:p>
            <w:pPr>
              <w:spacing w:after="0" w:line="196" w:lineRule="exact"/>
              <w:rPr>
                <w:rFonts w:ascii="Times New Roman" w:cs="Times New Roman" w:eastAsia="Times New Roman" w:hAnsi="Times New Roman"/>
                <w:sz w:val="18"/>
                <w:szCs w:val="18"/>
                <w:color w:val="0000EE"/>
              </w:rPr>
            </w:pPr>
            <w:hyperlink r:id="rId483">
              <w:r>
                <w:rPr>
                  <w:rFonts w:ascii="Times New Roman" w:cs="Times New Roman" w:eastAsia="Times New Roman" w:hAnsi="Times New Roman"/>
                  <w:sz w:val="18"/>
                  <w:szCs w:val="18"/>
                  <w:color w:val="0000EE"/>
                </w:rPr>
                <w:t>and Senti Biosciences, Inc.</w:t>
              </w:r>
            </w:hyperlink>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84">
              <w:r>
                <w:rPr>
                  <w:rFonts w:ascii="Times New Roman" w:cs="Times New Roman" w:eastAsia="Times New Roman" w:hAnsi="Times New Roman"/>
                  <w:sz w:val="18"/>
                  <w:szCs w:val="18"/>
                  <w:color w:val="0000EE"/>
                  <w:w w:val="99"/>
                </w:rPr>
                <w:t>Amendment No. 1 to Business Combination Agreement, dated as of</w:t>
              </w:r>
            </w:hyperlink>
          </w:p>
        </w:tc>
        <w:tc>
          <w:tcPr>
            <w:tcW w:w="360" w:type="dxa"/>
            <w:vAlign w:val="bottom"/>
            <w:gridSpan w:val="6"/>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S-4/A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9"/>
          </w:tcPr>
          <w:p>
            <w:pPr>
              <w:spacing w:after="0" w:line="196" w:lineRule="exact"/>
              <w:rPr>
                <w:rFonts w:ascii="Times New Roman" w:cs="Times New Roman" w:eastAsia="Times New Roman" w:hAnsi="Times New Roman"/>
                <w:sz w:val="18"/>
                <w:szCs w:val="18"/>
                <w:color w:val="0000EE"/>
              </w:rPr>
            </w:pPr>
            <w:hyperlink r:id="rId484">
              <w:r>
                <w:rPr>
                  <w:rFonts w:ascii="Times New Roman" w:cs="Times New Roman" w:eastAsia="Times New Roman" w:hAnsi="Times New Roman"/>
                  <w:sz w:val="18"/>
                  <w:szCs w:val="18"/>
                  <w:color w:val="0000EE"/>
                </w:rPr>
                <w:t>February 12, 2022, by and among Dynamics Special Purpose Corp.,</w:t>
              </w:r>
            </w:hyperlink>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84">
              <w:r>
                <w:rPr>
                  <w:rFonts w:ascii="Times New Roman" w:cs="Times New Roman" w:eastAsia="Times New Roman" w:hAnsi="Times New Roman"/>
                  <w:sz w:val="18"/>
                  <w:szCs w:val="18"/>
                  <w:color w:val="0000EE"/>
                  <w:w w:val="99"/>
                </w:rPr>
                <w:t>Explore Merger Sub, Inc. and Senti Biosciences, Inc.</w:t>
              </w:r>
            </w:hyperlink>
          </w:p>
        </w:tc>
        <w:tc>
          <w:tcPr>
            <w:tcW w:w="1080" w:type="dxa"/>
            <w:vAlign w:val="bottom"/>
            <w:tcBorders>
              <w:top w:val="single" w:sz="8" w:color="0000EE"/>
            </w:tcBorders>
            <w:gridSpan w:val="6"/>
          </w:tcPr>
          <w:p>
            <w:pPr>
              <w:spacing w:after="0"/>
              <w:rPr>
                <w:sz w:val="17"/>
                <w:szCs w:val="17"/>
                <w:color w:val="auto"/>
              </w:rPr>
            </w:pPr>
          </w:p>
        </w:tc>
        <w:tc>
          <w:tcPr>
            <w:tcW w:w="380" w:type="dxa"/>
            <w:vAlign w:val="bottom"/>
            <w:gridSpan w:val="7"/>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5280" w:type="dxa"/>
            <w:vAlign w:val="bottom"/>
            <w:gridSpan w:val="19"/>
          </w:tcPr>
          <w:p>
            <w:pPr>
              <w:spacing w:after="0"/>
              <w:rPr>
                <w:rFonts w:ascii="Times New Roman" w:cs="Times New Roman" w:eastAsia="Times New Roman" w:hAnsi="Times New Roman"/>
                <w:sz w:val="18"/>
                <w:szCs w:val="18"/>
                <w:color w:val="0000EE"/>
              </w:rPr>
            </w:pPr>
            <w:hyperlink r:id="rId485">
              <w:r>
                <w:rPr>
                  <w:rFonts w:ascii="Times New Roman" w:cs="Times New Roman" w:eastAsia="Times New Roman" w:hAnsi="Times New Roman"/>
                  <w:sz w:val="18"/>
                  <w:szCs w:val="18"/>
                  <w:color w:val="0000EE"/>
                </w:rPr>
                <w:t>Amendment No. 2 to Business Combination Agreement, dated as of</w:t>
              </w:r>
            </w:hyperlink>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85">
              <w:r>
                <w:rPr>
                  <w:rFonts w:ascii="Times New Roman" w:cs="Times New Roman" w:eastAsia="Times New Roman" w:hAnsi="Times New Roman"/>
                  <w:sz w:val="18"/>
                  <w:szCs w:val="18"/>
                  <w:color w:val="0000EE"/>
                </w:rPr>
                <w:t>May 19, 2022, by and among Dynamics Special Purpose Corp.,</w:t>
              </w:r>
            </w:hyperlink>
          </w:p>
        </w:tc>
        <w:tc>
          <w:tcPr>
            <w:tcW w:w="380" w:type="dxa"/>
            <w:vAlign w:val="bottom"/>
            <w:gridSpan w:val="7"/>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85">
              <w:r>
                <w:rPr>
                  <w:rFonts w:ascii="Times New Roman" w:cs="Times New Roman" w:eastAsia="Times New Roman" w:hAnsi="Times New Roman"/>
                  <w:sz w:val="18"/>
                  <w:szCs w:val="18"/>
                  <w:color w:val="0000EE"/>
                  <w:w w:val="99"/>
                </w:rPr>
                <w:t>Explore Merger Sub, Inc. and Senti Biosciences, Inc.</w:t>
              </w:r>
            </w:hyperlink>
          </w:p>
        </w:tc>
        <w:tc>
          <w:tcPr>
            <w:tcW w:w="760" w:type="dxa"/>
            <w:vAlign w:val="bottom"/>
            <w:tcBorders>
              <w:top w:val="single" w:sz="8" w:color="0000EE"/>
            </w:tcBorders>
            <w:gridSpan w:val="3"/>
          </w:tcPr>
          <w:p>
            <w:pPr>
              <w:spacing w:after="0"/>
              <w:rPr>
                <w:sz w:val="17"/>
                <w:szCs w:val="17"/>
                <w:color w:val="auto"/>
              </w:rPr>
            </w:pPr>
          </w:p>
        </w:tc>
        <w:tc>
          <w:tcPr>
            <w:tcW w:w="700" w:type="dxa"/>
            <w:vAlign w:val="bottom"/>
            <w:gridSpan w:val="10"/>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86">
              <w:r>
                <w:rPr>
                  <w:rFonts w:ascii="Times New Roman" w:cs="Times New Roman" w:eastAsia="Times New Roman" w:hAnsi="Times New Roman"/>
                  <w:sz w:val="18"/>
                  <w:szCs w:val="18"/>
                  <w:color w:val="0000EE"/>
                  <w:w w:val="99"/>
                </w:rPr>
                <w:t>Second Amended and Restated Certificate of Incorporation of Senti</w:t>
              </w:r>
            </w:hyperlink>
          </w:p>
        </w:tc>
        <w:tc>
          <w:tcPr>
            <w:tcW w:w="400" w:type="dxa"/>
            <w:vAlign w:val="bottom"/>
            <w:gridSpan w:val="8"/>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9"/>
          </w:tcPr>
          <w:p>
            <w:pPr>
              <w:spacing w:after="0" w:line="196" w:lineRule="exact"/>
              <w:rPr>
                <w:rFonts w:ascii="Times New Roman" w:cs="Times New Roman" w:eastAsia="Times New Roman" w:hAnsi="Times New Roman"/>
                <w:sz w:val="18"/>
                <w:szCs w:val="18"/>
                <w:color w:val="0000EE"/>
              </w:rPr>
            </w:pPr>
            <w:hyperlink r:id="rId486">
              <w:r>
                <w:rPr>
                  <w:rFonts w:ascii="Times New Roman" w:cs="Times New Roman" w:eastAsia="Times New Roman" w:hAnsi="Times New Roman"/>
                  <w:sz w:val="18"/>
                  <w:szCs w:val="18"/>
                  <w:color w:val="0000EE"/>
                </w:rPr>
                <w:t>Biosciences, Inc. (formerly Dynamics Special Purpose Corp.)</w:t>
              </w:r>
            </w:hyperlink>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41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487">
              <w:r>
                <w:rPr>
                  <w:rFonts w:ascii="Times New Roman" w:cs="Times New Roman" w:eastAsia="Times New Roman" w:hAnsi="Times New Roman"/>
                  <w:sz w:val="18"/>
                  <w:szCs w:val="18"/>
                  <w:color w:val="0000EE"/>
                  <w:w w:val="99"/>
                </w:rPr>
                <w:t>Amended and Restated Bylaws of Senti Biosciences, Inc.</w:t>
              </w:r>
            </w:hyperlink>
          </w:p>
        </w:tc>
        <w:tc>
          <w:tcPr>
            <w:tcW w:w="300" w:type="dxa"/>
            <w:vAlign w:val="bottom"/>
            <w:tcBorders>
              <w:top w:val="single" w:sz="8" w:color="0000EE"/>
            </w:tcBorders>
          </w:tcPr>
          <w:p>
            <w:pPr>
              <w:spacing w:after="0"/>
              <w:rPr>
                <w:sz w:val="24"/>
                <w:szCs w:val="24"/>
                <w:color w:val="auto"/>
              </w:rPr>
            </w:pPr>
          </w:p>
        </w:tc>
        <w:tc>
          <w:tcPr>
            <w:tcW w:w="840" w:type="dxa"/>
            <w:vAlign w:val="bottom"/>
            <w:gridSpan w:val="11"/>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304"/>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280" w:type="dxa"/>
            <w:vAlign w:val="bottom"/>
            <w:gridSpan w:val="19"/>
          </w:tcPr>
          <w:p>
            <w:pPr>
              <w:spacing w:after="0"/>
              <w:rPr>
                <w:rFonts w:ascii="Times New Roman" w:cs="Times New Roman" w:eastAsia="Times New Roman" w:hAnsi="Times New Roman"/>
                <w:sz w:val="18"/>
                <w:szCs w:val="18"/>
                <w:color w:val="0000EE"/>
              </w:rPr>
            </w:pPr>
            <w:hyperlink r:id="rId488">
              <w:r>
                <w:rPr>
                  <w:rFonts w:ascii="Times New Roman" w:cs="Times New Roman" w:eastAsia="Times New Roman" w:hAnsi="Times New Roman"/>
                  <w:sz w:val="18"/>
                  <w:szCs w:val="18"/>
                  <w:color w:val="0000EE"/>
                </w:rPr>
                <w:t>Specimen Common Stock Certificate</w:t>
              </w:r>
            </w:hyperlink>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304"/>
        </w:trPr>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26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2600" w:type="dxa"/>
            <w:vAlign w:val="bottom"/>
            <w:gridSpan w:val="15"/>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5280" w:type="dxa"/>
            <w:vAlign w:val="bottom"/>
            <w:gridSpan w:val="19"/>
          </w:tcPr>
          <w:p>
            <w:pPr>
              <w:spacing w:after="0"/>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Note Subscription Agreement by and among Senti Biosciences, Inc.,</w:t>
              </w:r>
            </w:hyperlink>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89">
              <w:r>
                <w:rPr>
                  <w:rFonts w:ascii="Times New Roman" w:cs="Times New Roman" w:eastAsia="Times New Roman" w:hAnsi="Times New Roman"/>
                  <w:sz w:val="18"/>
                  <w:szCs w:val="18"/>
                  <w:color w:val="0000EE"/>
                  <w:w w:val="99"/>
                </w:rPr>
                <w:t>Dynamics Special Purpose Corp. and Bayer HealthCare LLC, dated as</w:t>
              </w:r>
            </w:hyperlink>
          </w:p>
        </w:tc>
        <w:tc>
          <w:tcPr>
            <w:tcW w:w="20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89">
              <w:r>
                <w:rPr>
                  <w:rFonts w:ascii="Times New Roman" w:cs="Times New Roman" w:eastAsia="Times New Roman" w:hAnsi="Times New Roman"/>
                  <w:sz w:val="18"/>
                  <w:szCs w:val="18"/>
                  <w:color w:val="0000EE"/>
                  <w:w w:val="98"/>
                </w:rPr>
                <w:t>of May 19, 2022</w:t>
              </w:r>
            </w:hyperlink>
          </w:p>
        </w:tc>
        <w:tc>
          <w:tcPr>
            <w:tcW w:w="4080" w:type="dxa"/>
            <w:vAlign w:val="bottom"/>
            <w:gridSpan w:val="18"/>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5280" w:type="dxa"/>
            <w:vAlign w:val="bottom"/>
            <w:gridSpan w:val="19"/>
          </w:tcPr>
          <w:p>
            <w:pPr>
              <w:spacing w:after="0"/>
              <w:rPr>
                <w:rFonts w:ascii="Times New Roman" w:cs="Times New Roman" w:eastAsia="Times New Roman" w:hAnsi="Times New Roman"/>
                <w:sz w:val="18"/>
                <w:szCs w:val="18"/>
                <w:color w:val="0000EE"/>
              </w:rPr>
            </w:pPr>
            <w:hyperlink r:id="rId490">
              <w:r>
                <w:rPr>
                  <w:rFonts w:ascii="Times New Roman" w:cs="Times New Roman" w:eastAsia="Times New Roman" w:hAnsi="Times New Roman"/>
                  <w:sz w:val="18"/>
                  <w:szCs w:val="18"/>
                  <w:color w:val="0000EE"/>
                </w:rPr>
                <w:t>Senti Biosciences, Inc. 2016 Stock Incentive Plan, as amended, and</w:t>
              </w:r>
            </w:hyperlink>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90">
              <w:r>
                <w:rPr>
                  <w:rFonts w:ascii="Times New Roman" w:cs="Times New Roman" w:eastAsia="Times New Roman" w:hAnsi="Times New Roman"/>
                  <w:sz w:val="18"/>
                  <w:szCs w:val="18"/>
                  <w:color w:val="0000EE"/>
                </w:rPr>
                <w:t>forms of award agreements thereunder.</w:t>
              </w:r>
            </w:hyperlink>
          </w:p>
        </w:tc>
        <w:tc>
          <w:tcPr>
            <w:tcW w:w="2000" w:type="dxa"/>
            <w:vAlign w:val="bottom"/>
            <w:tcBorders>
              <w:top w:val="single" w:sz="8" w:color="0000EE"/>
            </w:tcBorders>
            <w:gridSpan w:val="5"/>
          </w:tcPr>
          <w:p>
            <w:pPr>
              <w:spacing w:after="0"/>
              <w:rPr>
                <w:sz w:val="17"/>
                <w:szCs w:val="17"/>
                <w:color w:val="auto"/>
              </w:rPr>
            </w:pPr>
          </w:p>
        </w:tc>
        <w:tc>
          <w:tcPr>
            <w:tcW w:w="420" w:type="dxa"/>
            <w:vAlign w:val="bottom"/>
            <w:gridSpan w:val="9"/>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82"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880" w:right="26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492">
        <w:r>
          <w:rPr>
            <w:rFonts w:ascii="Times New Roman" w:cs="Times New Roman" w:eastAsia="Times New Roman" w:hAnsi="Times New Roman"/>
            <w:sz w:val="18"/>
            <w:szCs w:val="18"/>
            <w:u w:val="single" w:color="auto"/>
            <w:color w:val="0000EE"/>
          </w:rPr>
          <w:t>Senti Biosciences, Inc. 2022 Equity Incentive Plan and forms of</w:t>
        </w:r>
      </w:hyperlink>
      <w:r>
        <w:rPr>
          <w:rFonts w:ascii="Times New Roman" w:cs="Times New Roman" w:eastAsia="Times New Roman" w:hAnsi="Times New Roman"/>
          <w:sz w:val="18"/>
          <w:szCs w:val="18"/>
          <w:u w:val="single" w:color="auto"/>
          <w:color w:val="0000EE"/>
        </w:rPr>
        <w:t xml:space="preserve"> </w:t>
      </w:r>
      <w:hyperlink r:id="rId492">
        <w:r>
          <w:rPr>
            <w:rFonts w:ascii="Times New Roman" w:cs="Times New Roman" w:eastAsia="Times New Roman" w:hAnsi="Times New Roman"/>
            <w:sz w:val="18"/>
            <w:szCs w:val="18"/>
            <w:u w:val="single" w:color="auto"/>
            <w:color w:val="0000EE"/>
          </w:rPr>
          <w:t>award agreements thereunder</w:t>
        </w:r>
      </w:hyperlink>
    </w:p>
    <w:p>
      <w:pPr>
        <w:spacing w:after="0" w:line="54" w:lineRule="exact"/>
        <w:rPr>
          <w:sz w:val="20"/>
          <w:szCs w:val="20"/>
          <w:color w:val="auto"/>
        </w:rPr>
      </w:pPr>
    </w:p>
    <w:p>
      <w:pPr>
        <w:ind w:left="120"/>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493">
        <w:r>
          <w:rPr>
            <w:rFonts w:ascii="Times New Roman" w:cs="Times New Roman" w:eastAsia="Times New Roman" w:hAnsi="Times New Roman"/>
            <w:sz w:val="18"/>
            <w:szCs w:val="18"/>
            <w:u w:val="single" w:color="auto"/>
            <w:color w:val="0000EE"/>
          </w:rPr>
          <w:t>Senti Biosciences, Inc. 2022 Employee Stock Purchase Plan</w:t>
        </w:r>
      </w:hyperlink>
    </w:p>
    <w:p>
      <w:pPr>
        <w:spacing w:after="0" w:line="117" w:lineRule="exact"/>
        <w:rPr>
          <w:sz w:val="20"/>
          <w:szCs w:val="20"/>
          <w:color w:val="auto"/>
        </w:rPr>
      </w:pPr>
    </w:p>
    <w:p>
      <w:pPr>
        <w:ind w:left="880" w:right="2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494">
        <w:r>
          <w:rPr>
            <w:rFonts w:ascii="Times New Roman" w:cs="Times New Roman" w:eastAsia="Times New Roman" w:hAnsi="Times New Roman"/>
            <w:sz w:val="18"/>
            <w:szCs w:val="18"/>
            <w:u w:val="single" w:color="auto"/>
            <w:color w:val="0000EE"/>
          </w:rPr>
          <w:t>Form of Indemnification Agreement by and between the Registrant</w:t>
        </w:r>
      </w:hyperlink>
      <w:r>
        <w:rPr>
          <w:rFonts w:ascii="Times New Roman" w:cs="Times New Roman" w:eastAsia="Times New Roman" w:hAnsi="Times New Roman"/>
          <w:sz w:val="18"/>
          <w:szCs w:val="18"/>
          <w:u w:val="single" w:color="auto"/>
          <w:color w:val="0000EE"/>
        </w:rPr>
        <w:t xml:space="preserve"> </w:t>
      </w:r>
      <w:hyperlink r:id="rId494">
        <w:r>
          <w:rPr>
            <w:rFonts w:ascii="Times New Roman" w:cs="Times New Roman" w:eastAsia="Times New Roman" w:hAnsi="Times New Roman"/>
            <w:sz w:val="18"/>
            <w:szCs w:val="18"/>
            <w:u w:val="single" w:color="auto"/>
            <w:color w:val="0000EE"/>
          </w:rPr>
          <w:t>and each of its directors and executive officers. Combination.</w:t>
        </w:r>
      </w:hyperlink>
    </w:p>
    <w:p>
      <w:pPr>
        <w:spacing w:after="0" w:line="54" w:lineRule="exact"/>
        <w:rPr>
          <w:sz w:val="20"/>
          <w:szCs w:val="20"/>
          <w:color w:val="auto"/>
        </w:rPr>
      </w:pPr>
    </w:p>
    <w:p>
      <w:pPr>
        <w:ind w:left="880" w:right="40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495">
        <w:r>
          <w:rPr>
            <w:rFonts w:ascii="Times New Roman" w:cs="Times New Roman" w:eastAsia="Times New Roman" w:hAnsi="Times New Roman"/>
            <w:sz w:val="18"/>
            <w:szCs w:val="18"/>
            <w:u w:val="single" w:color="auto"/>
            <w:color w:val="0000EE"/>
          </w:rPr>
          <w:t>Employee Offer Letter, by and between Timothy Lu and Senti</w:t>
        </w:r>
      </w:hyperlink>
      <w:r>
        <w:rPr>
          <w:rFonts w:ascii="Times New Roman" w:cs="Times New Roman" w:eastAsia="Times New Roman" w:hAnsi="Times New Roman"/>
          <w:sz w:val="18"/>
          <w:szCs w:val="18"/>
          <w:u w:val="single" w:color="auto"/>
          <w:color w:val="0000EE"/>
        </w:rPr>
        <w:t xml:space="preserve"> </w:t>
      </w:r>
      <w:hyperlink r:id="rId495">
        <w:r>
          <w:rPr>
            <w:rFonts w:ascii="Times New Roman" w:cs="Times New Roman" w:eastAsia="Times New Roman" w:hAnsi="Times New Roman"/>
            <w:sz w:val="18"/>
            <w:szCs w:val="18"/>
            <w:u w:val="single" w:color="auto"/>
            <w:color w:val="0000EE"/>
          </w:rPr>
          <w:t>Biosciences, Inc., dated December 27, 2018.</w:t>
        </w:r>
      </w:hyperlink>
    </w:p>
    <w:p>
      <w:pPr>
        <w:spacing w:after="0" w:line="54" w:lineRule="exact"/>
        <w:rPr>
          <w:sz w:val="20"/>
          <w:szCs w:val="20"/>
          <w:color w:val="auto"/>
        </w:rPr>
      </w:pPr>
    </w:p>
    <w:p>
      <w:pPr>
        <w:ind w:left="880" w:right="52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496">
        <w:r>
          <w:rPr>
            <w:rFonts w:ascii="Times New Roman" w:cs="Times New Roman" w:eastAsia="Times New Roman" w:hAnsi="Times New Roman"/>
            <w:sz w:val="18"/>
            <w:szCs w:val="18"/>
            <w:u w:val="single" w:color="auto"/>
            <w:color w:val="0000EE"/>
          </w:rPr>
          <w:t>Employee Offer Letter, by and between Philip Lee and Senti</w:t>
        </w:r>
      </w:hyperlink>
      <w:r>
        <w:rPr>
          <w:rFonts w:ascii="Times New Roman" w:cs="Times New Roman" w:eastAsia="Times New Roman" w:hAnsi="Times New Roman"/>
          <w:sz w:val="18"/>
          <w:szCs w:val="18"/>
          <w:u w:val="single" w:color="auto"/>
          <w:color w:val="0000EE"/>
        </w:rPr>
        <w:t xml:space="preserve"> </w:t>
      </w:r>
      <w:hyperlink r:id="rId496">
        <w:r>
          <w:rPr>
            <w:rFonts w:ascii="Times New Roman" w:cs="Times New Roman" w:eastAsia="Times New Roman" w:hAnsi="Times New Roman"/>
            <w:sz w:val="18"/>
            <w:szCs w:val="18"/>
            <w:u w:val="single" w:color="auto"/>
            <w:color w:val="0000EE"/>
          </w:rPr>
          <w:t>Biosciences, Inc., dated December 27, 2018.</w:t>
        </w:r>
      </w:hyperlink>
    </w:p>
    <w:p>
      <w:pPr>
        <w:spacing w:after="0" w:line="54" w:lineRule="exact"/>
        <w:rPr>
          <w:sz w:val="20"/>
          <w:szCs w:val="20"/>
          <w:color w:val="auto"/>
        </w:rPr>
      </w:pPr>
    </w:p>
    <w:p>
      <w:pPr>
        <w:ind w:left="880" w:right="32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497">
        <w:r>
          <w:rPr>
            <w:rFonts w:ascii="Times New Roman" w:cs="Times New Roman" w:eastAsia="Times New Roman" w:hAnsi="Times New Roman"/>
            <w:sz w:val="18"/>
            <w:szCs w:val="18"/>
            <w:u w:val="single" w:color="auto"/>
            <w:color w:val="0000EE"/>
          </w:rPr>
          <w:t>Employment Agreement, by and between Curt Herberts III and</w:t>
        </w:r>
      </w:hyperlink>
      <w:r>
        <w:rPr>
          <w:rFonts w:ascii="Times New Roman" w:cs="Times New Roman" w:eastAsia="Times New Roman" w:hAnsi="Times New Roman"/>
          <w:sz w:val="18"/>
          <w:szCs w:val="18"/>
          <w:u w:val="single" w:color="auto"/>
          <w:color w:val="0000EE"/>
        </w:rPr>
        <w:t xml:space="preserve"> </w:t>
      </w:r>
      <w:hyperlink r:id="rId497">
        <w:r>
          <w:rPr>
            <w:rFonts w:ascii="Times New Roman" w:cs="Times New Roman" w:eastAsia="Times New Roman" w:hAnsi="Times New Roman"/>
            <w:sz w:val="18"/>
            <w:szCs w:val="18"/>
            <w:u w:val="single" w:color="auto"/>
            <w:color w:val="0000EE"/>
          </w:rPr>
          <w:t>Senti Biosciences, Inc., dated April 28, 2018.</w:t>
        </w:r>
      </w:hyperlink>
    </w:p>
    <w:p>
      <w:pPr>
        <w:spacing w:after="0" w:line="54" w:lineRule="exact"/>
        <w:rPr>
          <w:sz w:val="20"/>
          <w:szCs w:val="20"/>
          <w:color w:val="auto"/>
        </w:rPr>
      </w:pPr>
    </w:p>
    <w:p>
      <w:pPr>
        <w:ind w:left="880" w:right="18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498">
        <w:r>
          <w:rPr>
            <w:rFonts w:ascii="Times New Roman" w:cs="Times New Roman" w:eastAsia="Times New Roman" w:hAnsi="Times New Roman"/>
            <w:sz w:val="18"/>
            <w:szCs w:val="18"/>
            <w:u w:val="single" w:color="auto"/>
            <w:color w:val="0000EE"/>
          </w:rPr>
          <w:t>Employee Offer Letter, by and between Deborah Knobelman and</w:t>
        </w:r>
      </w:hyperlink>
      <w:r>
        <w:rPr>
          <w:rFonts w:ascii="Times New Roman" w:cs="Times New Roman" w:eastAsia="Times New Roman" w:hAnsi="Times New Roman"/>
          <w:sz w:val="18"/>
          <w:szCs w:val="18"/>
          <w:u w:val="single" w:color="auto"/>
          <w:color w:val="0000EE"/>
        </w:rPr>
        <w:t xml:space="preserve"> </w:t>
      </w:r>
      <w:hyperlink r:id="rId498">
        <w:r>
          <w:rPr>
            <w:rFonts w:ascii="Times New Roman" w:cs="Times New Roman" w:eastAsia="Times New Roman" w:hAnsi="Times New Roman"/>
            <w:sz w:val="18"/>
            <w:szCs w:val="18"/>
            <w:u w:val="single" w:color="auto"/>
            <w:color w:val="0000EE"/>
          </w:rPr>
          <w:t>Senti Biosciences, Inc., dated May 13, 2021.</w:t>
        </w:r>
      </w:hyperlink>
    </w:p>
    <w:p>
      <w:pPr>
        <w:spacing w:after="0" w:line="54" w:lineRule="exact"/>
        <w:rPr>
          <w:sz w:val="20"/>
          <w:szCs w:val="20"/>
          <w:color w:val="auto"/>
        </w:rPr>
      </w:pPr>
    </w:p>
    <w:p>
      <w:pPr>
        <w:ind w:left="880" w:right="520" w:hanging="768"/>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499">
        <w:r>
          <w:rPr>
            <w:rFonts w:ascii="Times New Roman" w:cs="Times New Roman" w:eastAsia="Times New Roman" w:hAnsi="Times New Roman"/>
            <w:sz w:val="18"/>
            <w:szCs w:val="18"/>
            <w:u w:val="single" w:color="auto"/>
            <w:color w:val="0000EE"/>
          </w:rPr>
          <w:t>Lease, by and between Britannia Biotech Gateway Limited</w:t>
        </w:r>
      </w:hyperlink>
      <w:r>
        <w:rPr>
          <w:rFonts w:ascii="Times New Roman" w:cs="Times New Roman" w:eastAsia="Times New Roman" w:hAnsi="Times New Roman"/>
          <w:sz w:val="18"/>
          <w:szCs w:val="18"/>
          <w:u w:val="single" w:color="auto"/>
          <w:color w:val="0000EE"/>
        </w:rPr>
        <w:t xml:space="preserve"> </w:t>
      </w:r>
      <w:hyperlink r:id="rId499">
        <w:r>
          <w:rPr>
            <w:rFonts w:ascii="Times New Roman" w:cs="Times New Roman" w:eastAsia="Times New Roman" w:hAnsi="Times New Roman"/>
            <w:sz w:val="18"/>
            <w:szCs w:val="18"/>
            <w:u w:val="single" w:color="auto"/>
            <w:color w:val="0000EE"/>
          </w:rPr>
          <w:t>Partnership and Senti Biosciences, Inc., dated July 17, 2018.</w:t>
        </w:r>
      </w:hyperlink>
    </w:p>
    <w:p>
      <w:pPr>
        <w:spacing w:after="0" w:line="54" w:lineRule="exact"/>
        <w:rPr>
          <w:sz w:val="20"/>
          <w:szCs w:val="20"/>
          <w:color w:val="auto"/>
        </w:rPr>
      </w:pPr>
    </w:p>
    <w:p>
      <w:pPr>
        <w:ind w:left="880" w:right="280" w:hanging="768"/>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500">
        <w:r>
          <w:rPr>
            <w:rFonts w:ascii="Times New Roman" w:cs="Times New Roman" w:eastAsia="Times New Roman" w:hAnsi="Times New Roman"/>
            <w:sz w:val="18"/>
            <w:szCs w:val="18"/>
            <w:u w:val="single" w:color="auto"/>
            <w:color w:val="0000EE"/>
          </w:rPr>
          <w:t>First Amendment to Lease, by and between Britannia Biotech</w:t>
        </w:r>
      </w:hyperlink>
      <w:r>
        <w:rPr>
          <w:rFonts w:ascii="Times New Roman" w:cs="Times New Roman" w:eastAsia="Times New Roman" w:hAnsi="Times New Roman"/>
          <w:sz w:val="18"/>
          <w:szCs w:val="18"/>
          <w:u w:val="single" w:color="auto"/>
          <w:color w:val="0000EE"/>
        </w:rPr>
        <w:t xml:space="preserve"> </w:t>
      </w:r>
      <w:hyperlink r:id="rId500">
        <w:r>
          <w:rPr>
            <w:rFonts w:ascii="Times New Roman" w:cs="Times New Roman" w:eastAsia="Times New Roman" w:hAnsi="Times New Roman"/>
            <w:sz w:val="18"/>
            <w:szCs w:val="18"/>
            <w:u w:val="single" w:color="auto"/>
            <w:color w:val="0000EE"/>
          </w:rPr>
          <w:t>Gateway Limited Partnership and Senti Biosciences, Inc., dated</w:t>
        </w:r>
      </w:hyperlink>
      <w:r>
        <w:rPr>
          <w:rFonts w:ascii="Times New Roman" w:cs="Times New Roman" w:eastAsia="Times New Roman" w:hAnsi="Times New Roman"/>
          <w:sz w:val="18"/>
          <w:szCs w:val="18"/>
          <w:u w:val="single" w:color="auto"/>
          <w:color w:val="0000EE"/>
        </w:rPr>
        <w:t xml:space="preserve"> </w:t>
      </w:r>
      <w:hyperlink r:id="rId500">
        <w:r>
          <w:rPr>
            <w:rFonts w:ascii="Times New Roman" w:cs="Times New Roman" w:eastAsia="Times New Roman" w:hAnsi="Times New Roman"/>
            <w:sz w:val="18"/>
            <w:szCs w:val="18"/>
            <w:u w:val="single" w:color="auto"/>
            <w:color w:val="0000EE"/>
          </w:rPr>
          <w:t>May 8, 2019.</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880" w:right="220" w:hanging="768"/>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501">
        <w:r>
          <w:rPr>
            <w:rFonts w:ascii="Times New Roman" w:cs="Times New Roman" w:eastAsia="Times New Roman" w:hAnsi="Times New Roman"/>
            <w:sz w:val="18"/>
            <w:szCs w:val="18"/>
            <w:u w:val="single" w:color="auto"/>
            <w:color w:val="0000EE"/>
          </w:rPr>
          <w:t>Second Amendment to Lease, by and between Britannia Biotech</w:t>
        </w:r>
      </w:hyperlink>
      <w:r>
        <w:rPr>
          <w:rFonts w:ascii="Times New Roman" w:cs="Times New Roman" w:eastAsia="Times New Roman" w:hAnsi="Times New Roman"/>
          <w:sz w:val="18"/>
          <w:szCs w:val="18"/>
          <w:u w:val="single" w:color="auto"/>
          <w:color w:val="0000EE"/>
        </w:rPr>
        <w:t xml:space="preserve"> </w:t>
      </w:r>
      <w:hyperlink r:id="rId501">
        <w:r>
          <w:rPr>
            <w:rFonts w:ascii="Times New Roman" w:cs="Times New Roman" w:eastAsia="Times New Roman" w:hAnsi="Times New Roman"/>
            <w:sz w:val="18"/>
            <w:szCs w:val="18"/>
            <w:u w:val="single" w:color="auto"/>
            <w:color w:val="0000EE"/>
          </w:rPr>
          <w:t>Gateway Limited Partnership and Senti Biosciences, Inc., dated</w:t>
        </w:r>
      </w:hyperlink>
      <w:r>
        <w:rPr>
          <w:rFonts w:ascii="Times New Roman" w:cs="Times New Roman" w:eastAsia="Times New Roman" w:hAnsi="Times New Roman"/>
          <w:sz w:val="18"/>
          <w:szCs w:val="18"/>
          <w:u w:val="single" w:color="auto"/>
          <w:color w:val="0000EE"/>
        </w:rPr>
        <w:t xml:space="preserve"> </w:t>
      </w:r>
      <w:hyperlink r:id="rId501">
        <w:r>
          <w:rPr>
            <w:rFonts w:ascii="Times New Roman" w:cs="Times New Roman" w:eastAsia="Times New Roman" w:hAnsi="Times New Roman"/>
            <w:sz w:val="18"/>
            <w:szCs w:val="18"/>
            <w:u w:val="single" w:color="auto"/>
            <w:color w:val="0000EE"/>
          </w:rPr>
          <w:t>June 17, 2020.</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880" w:right="160" w:hanging="768"/>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502">
        <w:r>
          <w:rPr>
            <w:rFonts w:ascii="Times New Roman" w:cs="Times New Roman" w:eastAsia="Times New Roman" w:hAnsi="Times New Roman"/>
            <w:sz w:val="18"/>
            <w:szCs w:val="18"/>
            <w:u w:val="single" w:color="auto"/>
            <w:color w:val="0000EE"/>
          </w:rPr>
          <w:t>Research and Development and Laboratory Lease Agreement, by</w:t>
        </w:r>
      </w:hyperlink>
      <w:r>
        <w:rPr>
          <w:rFonts w:ascii="Times New Roman" w:cs="Times New Roman" w:eastAsia="Times New Roman" w:hAnsi="Times New Roman"/>
          <w:sz w:val="18"/>
          <w:szCs w:val="18"/>
          <w:u w:val="single" w:color="auto"/>
          <w:color w:val="0000EE"/>
        </w:rPr>
        <w:t xml:space="preserve"> </w:t>
      </w:r>
      <w:hyperlink r:id="rId502">
        <w:r>
          <w:rPr>
            <w:rFonts w:ascii="Times New Roman" w:cs="Times New Roman" w:eastAsia="Times New Roman" w:hAnsi="Times New Roman"/>
            <w:sz w:val="18"/>
            <w:szCs w:val="18"/>
            <w:u w:val="single" w:color="auto"/>
            <w:color w:val="0000EE"/>
          </w:rPr>
          <w:t>and between 1430 Harbor Bay Pkwy LLC and Senti Biosciences,</w:t>
        </w:r>
      </w:hyperlink>
      <w:r>
        <w:rPr>
          <w:rFonts w:ascii="Times New Roman" w:cs="Times New Roman" w:eastAsia="Times New Roman" w:hAnsi="Times New Roman"/>
          <w:sz w:val="18"/>
          <w:szCs w:val="18"/>
          <w:u w:val="single" w:color="auto"/>
          <w:color w:val="0000EE"/>
        </w:rPr>
        <w:t xml:space="preserve"> </w:t>
      </w:r>
      <w:hyperlink r:id="rId502">
        <w:r>
          <w:rPr>
            <w:rFonts w:ascii="Times New Roman" w:cs="Times New Roman" w:eastAsia="Times New Roman" w:hAnsi="Times New Roman"/>
            <w:sz w:val="18"/>
            <w:szCs w:val="18"/>
            <w:u w:val="single" w:color="auto"/>
            <w:color w:val="0000EE"/>
          </w:rPr>
          <w:t>Inc., dated June 3, 2021.</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880" w:right="40" w:hanging="768"/>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503">
        <w:r>
          <w:rPr>
            <w:rFonts w:ascii="Times New Roman" w:cs="Times New Roman" w:eastAsia="Times New Roman" w:hAnsi="Times New Roman"/>
            <w:sz w:val="18"/>
            <w:szCs w:val="18"/>
            <w:u w:val="single" w:color="auto"/>
            <w:color w:val="0000EE"/>
          </w:rPr>
          <w:t>Patent License Agreement by and between the U.S. Department of</w:t>
        </w:r>
      </w:hyperlink>
      <w:r>
        <w:rPr>
          <w:rFonts w:ascii="Times New Roman" w:cs="Times New Roman" w:eastAsia="Times New Roman" w:hAnsi="Times New Roman"/>
          <w:sz w:val="18"/>
          <w:szCs w:val="18"/>
          <w:u w:val="single" w:color="auto"/>
          <w:color w:val="0000EE"/>
        </w:rPr>
        <w:t xml:space="preserve"> </w:t>
      </w:r>
      <w:hyperlink r:id="rId503">
        <w:r>
          <w:rPr>
            <w:rFonts w:ascii="Times New Roman" w:cs="Times New Roman" w:eastAsia="Times New Roman" w:hAnsi="Times New Roman"/>
            <w:sz w:val="18"/>
            <w:szCs w:val="18"/>
            <w:u w:val="single" w:color="auto"/>
            <w:color w:val="0000EE"/>
          </w:rPr>
          <w:t>Health and Human Services, as represented by the National Cancer</w:t>
        </w:r>
      </w:hyperlink>
      <w:r>
        <w:rPr>
          <w:rFonts w:ascii="Times New Roman" w:cs="Times New Roman" w:eastAsia="Times New Roman" w:hAnsi="Times New Roman"/>
          <w:sz w:val="18"/>
          <w:szCs w:val="18"/>
          <w:u w:val="single" w:color="auto"/>
          <w:color w:val="0000EE"/>
        </w:rPr>
        <w:t xml:space="preserve"> </w:t>
      </w:r>
      <w:hyperlink r:id="rId503">
        <w:r>
          <w:rPr>
            <w:rFonts w:ascii="Times New Roman" w:cs="Times New Roman" w:eastAsia="Times New Roman" w:hAnsi="Times New Roman"/>
            <w:sz w:val="18"/>
            <w:szCs w:val="18"/>
            <w:u w:val="single" w:color="auto"/>
            <w:color w:val="0000EE"/>
          </w:rPr>
          <w:t>Institute, and Senti Biosciences, Inc., dated July 20, 2020.</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880" w:right="40" w:hanging="768"/>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504">
        <w:r>
          <w:rPr>
            <w:rFonts w:ascii="Times New Roman" w:cs="Times New Roman" w:eastAsia="Times New Roman" w:hAnsi="Times New Roman"/>
            <w:sz w:val="18"/>
            <w:szCs w:val="18"/>
            <w:u w:val="single" w:color="auto"/>
            <w:color w:val="0000EE"/>
          </w:rPr>
          <w:t>Patent License Agreement by and between the U.S. Department of</w:t>
        </w:r>
      </w:hyperlink>
      <w:r>
        <w:rPr>
          <w:rFonts w:ascii="Times New Roman" w:cs="Times New Roman" w:eastAsia="Times New Roman" w:hAnsi="Times New Roman"/>
          <w:sz w:val="18"/>
          <w:szCs w:val="18"/>
          <w:u w:val="single" w:color="auto"/>
          <w:color w:val="0000EE"/>
        </w:rPr>
        <w:t xml:space="preserve"> </w:t>
      </w:r>
      <w:hyperlink r:id="rId504">
        <w:r>
          <w:rPr>
            <w:rFonts w:ascii="Times New Roman" w:cs="Times New Roman" w:eastAsia="Times New Roman" w:hAnsi="Times New Roman"/>
            <w:sz w:val="18"/>
            <w:szCs w:val="18"/>
            <w:u w:val="single" w:color="auto"/>
            <w:color w:val="0000EE"/>
          </w:rPr>
          <w:t>Health and Human Services, as represented by the National Cancer</w:t>
        </w:r>
      </w:hyperlink>
      <w:r>
        <w:rPr>
          <w:rFonts w:ascii="Times New Roman" w:cs="Times New Roman" w:eastAsia="Times New Roman" w:hAnsi="Times New Roman"/>
          <w:sz w:val="18"/>
          <w:szCs w:val="18"/>
          <w:u w:val="single" w:color="auto"/>
          <w:color w:val="0000EE"/>
        </w:rPr>
        <w:t xml:space="preserve"> </w:t>
      </w:r>
      <w:hyperlink r:id="rId504">
        <w:r>
          <w:rPr>
            <w:rFonts w:ascii="Times New Roman" w:cs="Times New Roman" w:eastAsia="Times New Roman" w:hAnsi="Times New Roman"/>
            <w:sz w:val="18"/>
            <w:szCs w:val="18"/>
            <w:u w:val="single" w:color="auto"/>
            <w:color w:val="0000EE"/>
          </w:rPr>
          <w:t>Institute, and Senti Biosciences, Inc., dated February 5, 2021.</w:t>
        </w:r>
      </w:hyperlink>
    </w:p>
    <w:p>
      <w:pPr>
        <w:spacing w:after="0" w:line="68" w:lineRule="exact"/>
        <w:rPr>
          <w:rFonts w:ascii="Times New Roman" w:cs="Times New Roman" w:eastAsia="Times New Roman" w:hAnsi="Times New Roman"/>
          <w:sz w:val="18"/>
          <w:szCs w:val="18"/>
          <w:u w:val="single" w:color="auto"/>
          <w:color w:val="0000EE"/>
        </w:rPr>
      </w:pPr>
    </w:p>
    <w:p>
      <w:pPr>
        <w:ind w:left="880" w:right="40" w:hanging="768"/>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505">
        <w:r>
          <w:rPr>
            <w:rFonts w:ascii="Times New Roman" w:cs="Times New Roman" w:eastAsia="Times New Roman" w:hAnsi="Times New Roman"/>
            <w:sz w:val="18"/>
            <w:szCs w:val="18"/>
            <w:u w:val="single" w:color="auto"/>
            <w:color w:val="0000EE"/>
          </w:rPr>
          <w:t>Research Collaboration and License Agreement by and between</w:t>
        </w:r>
      </w:hyperlink>
      <w:r>
        <w:rPr>
          <w:rFonts w:ascii="Times New Roman" w:cs="Times New Roman" w:eastAsia="Times New Roman" w:hAnsi="Times New Roman"/>
          <w:sz w:val="18"/>
          <w:szCs w:val="18"/>
          <w:u w:val="single" w:color="auto"/>
          <w:color w:val="0000EE"/>
        </w:rPr>
        <w:t xml:space="preserve"> </w:t>
      </w:r>
      <w:hyperlink r:id="rId505">
        <w:r>
          <w:rPr>
            <w:rFonts w:ascii="Times New Roman" w:cs="Times New Roman" w:eastAsia="Times New Roman" w:hAnsi="Times New Roman"/>
            <w:sz w:val="18"/>
            <w:szCs w:val="18"/>
            <w:u w:val="single" w:color="auto"/>
            <w:color w:val="0000EE"/>
          </w:rPr>
          <w:t>Spark Therapeutics, Inc. and Senti Biosciences, Inc., dated April 9,</w:t>
        </w:r>
      </w:hyperlink>
      <w:r>
        <w:rPr>
          <w:rFonts w:ascii="Times New Roman" w:cs="Times New Roman" w:eastAsia="Times New Roman" w:hAnsi="Times New Roman"/>
          <w:sz w:val="18"/>
          <w:szCs w:val="18"/>
          <w:u w:val="single" w:color="auto"/>
          <w:color w:val="0000EE"/>
        </w:rPr>
        <w:t xml:space="preserve"> </w:t>
      </w:r>
      <w:hyperlink r:id="rId505">
        <w:r>
          <w:rPr>
            <w:rFonts w:ascii="Times New Roman" w:cs="Times New Roman" w:eastAsia="Times New Roman" w:hAnsi="Times New Roman"/>
            <w:sz w:val="18"/>
            <w:szCs w:val="18"/>
            <w:u w:val="single" w:color="auto"/>
            <w:color w:val="0000EE"/>
          </w:rPr>
          <w:t>2021.</w:t>
        </w:r>
      </w:hyperlink>
    </w:p>
    <w:p>
      <w:pPr>
        <w:spacing w:after="0" w:line="108"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96"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001-40440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August 15,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001-40440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August 15, 2022</w:t>
            </w:r>
          </w:p>
        </w:tc>
      </w:tr>
      <w:tr>
        <w:trPr>
          <w:trHeight w:val="324"/>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S-4/A</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May 10,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S-4</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333-262707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14, 2022</w:t>
            </w:r>
          </w:p>
        </w:tc>
      </w:tr>
    </w:tbl>
    <w:p>
      <w:pPr>
        <w:sectPr>
          <w:pgSz w:w="11900" w:h="16838" w:orient="portrait"/>
          <w:cols w:equalWidth="0" w:num="2">
            <w:col w:w="5760" w:space="620"/>
            <w:col w:w="4500"/>
          </w:cols>
          <w:pgMar w:left="320" w:top="482" w:right="69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820" w:type="dxa"/>
            <w:vAlign w:val="bottom"/>
            <w:gridSpan w:val="23"/>
          </w:tcPr>
          <w:p>
            <w:pPr>
              <w:spacing w:after="0"/>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Patent License Agreement by and between the U.S. Department of</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07">
              <w:r>
                <w:rPr>
                  <w:rFonts w:ascii="Times New Roman" w:cs="Times New Roman" w:eastAsia="Times New Roman" w:hAnsi="Times New Roman"/>
                  <w:sz w:val="18"/>
                  <w:szCs w:val="18"/>
                  <w:color w:val="0000EE"/>
                  <w:w w:val="99"/>
                </w:rPr>
                <w:t>Health and Human Services, as represented by the National Cancer</w:t>
              </w:r>
            </w:hyperlink>
          </w:p>
        </w:tc>
      </w:tr>
      <w:tr>
        <w:trPr>
          <w:trHeight w:val="196"/>
        </w:trPr>
        <w:tc>
          <w:tcPr>
            <w:tcW w:w="880" w:type="dxa"/>
            <w:vAlign w:val="bottom"/>
          </w:tcPr>
          <w:p>
            <w:pPr>
              <w:spacing w:after="0"/>
              <w:rPr>
                <w:sz w:val="17"/>
                <w:szCs w:val="17"/>
                <w:color w:val="auto"/>
              </w:rPr>
            </w:pPr>
          </w:p>
        </w:tc>
        <w:tc>
          <w:tcPr>
            <w:tcW w:w="4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07">
              <w:r>
                <w:rPr>
                  <w:rFonts w:ascii="Times New Roman" w:cs="Times New Roman" w:eastAsia="Times New Roman" w:hAnsi="Times New Roman"/>
                  <w:sz w:val="18"/>
                  <w:szCs w:val="18"/>
                  <w:color w:val="0000EE"/>
                  <w:w w:val="99"/>
                </w:rPr>
                <w:t>Institute, and Senti Biosciences, Inc., dated May 17, 2021.</w:t>
              </w:r>
            </w:hyperlink>
          </w:p>
        </w:tc>
        <w:tc>
          <w:tcPr>
            <w:tcW w:w="620" w:type="dxa"/>
            <w:vAlign w:val="bottom"/>
            <w:gridSpan w:val="11"/>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08">
              <w:r>
                <w:rPr>
                  <w:rFonts w:ascii="Times New Roman" w:cs="Times New Roman" w:eastAsia="Times New Roman" w:hAnsi="Times New Roman"/>
                  <w:sz w:val="18"/>
                  <w:szCs w:val="18"/>
                  <w:color w:val="0000EE"/>
                  <w:w w:val="99"/>
                </w:rPr>
                <w:t>Collaboration and Option Agreement by and between BlueRock</w:t>
              </w:r>
            </w:hyperlink>
          </w:p>
        </w:tc>
        <w:tc>
          <w:tcPr>
            <w:tcW w:w="20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820" w:type="dxa"/>
            <w:vAlign w:val="bottom"/>
            <w:gridSpan w:val="23"/>
          </w:tcPr>
          <w:p>
            <w:pPr>
              <w:spacing w:after="0" w:line="196" w:lineRule="exact"/>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Therapeutics, LP and Senti Biosciences, Inc., dated May 21, 2021.</w:t>
              </w:r>
            </w:hyperlink>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0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Investor Rights and Lock-up Agreement.</w:t>
              </w:r>
            </w:hyperlink>
          </w:p>
        </w:tc>
        <w:tc>
          <w:tcPr>
            <w:tcW w:w="1780" w:type="dxa"/>
            <w:vAlign w:val="bottom"/>
            <w:tcBorders>
              <w:top w:val="single" w:sz="8" w:color="0000EE"/>
            </w:tcBorders>
            <w:gridSpan w:val="12"/>
          </w:tcPr>
          <w:p>
            <w:pPr>
              <w:spacing w:after="0"/>
              <w:rPr>
                <w:sz w:val="24"/>
                <w:szCs w:val="24"/>
                <w:color w:val="auto"/>
              </w:rPr>
            </w:pPr>
          </w:p>
        </w:tc>
        <w:tc>
          <w:tcPr>
            <w:tcW w:w="40" w:type="dxa"/>
            <w:vAlign w:val="bottom"/>
            <w:gridSpan w:val="2"/>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510">
              <w:r>
                <w:rPr>
                  <w:rFonts w:ascii="Times New Roman" w:cs="Times New Roman" w:eastAsia="Times New Roman" w:hAnsi="Times New Roman"/>
                  <w:sz w:val="18"/>
                  <w:szCs w:val="18"/>
                  <w:color w:val="0000EE"/>
                  <w:w w:val="98"/>
                </w:rPr>
                <w:t>Form of Subscription Agreement</w:t>
              </w:r>
            </w:hyperlink>
          </w:p>
        </w:tc>
        <w:tc>
          <w:tcPr>
            <w:tcW w:w="2440" w:type="dxa"/>
            <w:vAlign w:val="bottom"/>
            <w:gridSpan w:val="16"/>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11">
              <w:r>
                <w:rPr>
                  <w:rFonts w:ascii="Times New Roman" w:cs="Times New Roman" w:eastAsia="Times New Roman" w:hAnsi="Times New Roman"/>
                  <w:sz w:val="18"/>
                  <w:szCs w:val="18"/>
                  <w:color w:val="0000EE"/>
                  <w:w w:val="99"/>
                </w:rPr>
                <w:t>Form Sponsor Support Agreement (included in Exhibit 2.1).</w:t>
              </w:r>
            </w:hyperlink>
          </w:p>
        </w:tc>
        <w:tc>
          <w:tcPr>
            <w:tcW w:w="480" w:type="dxa"/>
            <w:vAlign w:val="bottom"/>
            <w:gridSpan w:val="9"/>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820" w:type="dxa"/>
            <w:vAlign w:val="bottom"/>
            <w:gridSpan w:val="23"/>
          </w:tcPr>
          <w:p>
            <w:pPr>
              <w:spacing w:after="0"/>
              <w:rPr>
                <w:rFonts w:ascii="Times New Roman" w:cs="Times New Roman" w:eastAsia="Times New Roman" w:hAnsi="Times New Roman"/>
                <w:sz w:val="18"/>
                <w:szCs w:val="18"/>
                <w:color w:val="0000EE"/>
              </w:rPr>
            </w:pPr>
            <w:hyperlink r:id="rId512">
              <w:r>
                <w:rPr>
                  <w:rFonts w:ascii="Times New Roman" w:cs="Times New Roman" w:eastAsia="Times New Roman" w:hAnsi="Times New Roman"/>
                  <w:sz w:val="18"/>
                  <w:szCs w:val="18"/>
                  <w:color w:val="0000EE"/>
                </w:rPr>
                <w:t>Form of Company Stockholder Support Agreement (included in</w:t>
              </w:r>
            </w:hyperlink>
          </w:p>
        </w:tc>
      </w:tr>
      <w:tr>
        <w:trPr>
          <w:trHeight w:val="196"/>
        </w:trPr>
        <w:tc>
          <w:tcPr>
            <w:tcW w:w="8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12">
              <w:r>
                <w:rPr>
                  <w:rFonts w:ascii="Times New Roman" w:cs="Times New Roman" w:eastAsia="Times New Roman" w:hAnsi="Times New Roman"/>
                  <w:sz w:val="18"/>
                  <w:szCs w:val="18"/>
                  <w:color w:val="0000EE"/>
                  <w:w w:val="97"/>
                </w:rPr>
                <w:t>Exhibit 2.1).</w:t>
              </w:r>
            </w:hyperlink>
          </w:p>
        </w:tc>
        <w:tc>
          <w:tcPr>
            <w:tcW w:w="3700" w:type="dxa"/>
            <w:vAlign w:val="bottom"/>
            <w:tcBorders>
              <w:top w:val="single" w:sz="8" w:color="0000EE"/>
            </w:tcBorders>
            <w:gridSpan w:val="15"/>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8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13">
              <w:r>
                <w:rPr>
                  <w:rFonts w:ascii="Times New Roman" w:cs="Times New Roman" w:eastAsia="Times New Roman" w:hAnsi="Times New Roman"/>
                  <w:sz w:val="18"/>
                  <w:szCs w:val="18"/>
                  <w:color w:val="0000EE"/>
                  <w:w w:val="99"/>
                </w:rPr>
                <w:t>Form of Amendment to Company Stockholder Support Agreement</w:t>
              </w:r>
            </w:hyperlink>
          </w:p>
        </w:tc>
      </w:tr>
      <w:tr>
        <w:trPr>
          <w:trHeight w:val="196"/>
        </w:trPr>
        <w:tc>
          <w:tcPr>
            <w:tcW w:w="880" w:type="dxa"/>
            <w:vAlign w:val="bottom"/>
          </w:tcPr>
          <w:p>
            <w:pPr>
              <w:spacing w:after="0"/>
              <w:rPr>
                <w:sz w:val="17"/>
                <w:szCs w:val="17"/>
                <w:color w:val="auto"/>
              </w:rPr>
            </w:pPr>
          </w:p>
        </w:tc>
        <w:tc>
          <w:tcPr>
            <w:tcW w:w="47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513">
              <w:r>
                <w:rPr>
                  <w:rFonts w:ascii="Times New Roman" w:cs="Times New Roman" w:eastAsia="Times New Roman" w:hAnsi="Times New Roman"/>
                  <w:sz w:val="18"/>
                  <w:szCs w:val="18"/>
                  <w:color w:val="0000EE"/>
                  <w:w w:val="99"/>
                </w:rPr>
                <w:t>entered into on February 12, 2022 by certain stockholders of Senti</w:t>
              </w:r>
            </w:hyperlink>
          </w:p>
        </w:tc>
        <w:tc>
          <w:tcPr>
            <w:tcW w:w="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820" w:type="dxa"/>
            <w:vAlign w:val="bottom"/>
            <w:gridSpan w:val="23"/>
          </w:tcPr>
          <w:p>
            <w:pPr>
              <w:spacing w:after="0" w:line="196" w:lineRule="exact"/>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Biosciences, Inc. (incorporated by reference to and Exhibit 10.1 of</w:t>
              </w:r>
            </w:hyperlink>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82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513">
              <w:r>
                <w:rPr>
                  <w:rFonts w:ascii="Times New Roman" w:cs="Times New Roman" w:eastAsia="Times New Roman" w:hAnsi="Times New Roman"/>
                  <w:sz w:val="18"/>
                  <w:szCs w:val="18"/>
                  <w:color w:val="0000EE"/>
                  <w:w w:val="99"/>
                </w:rPr>
                <w:t>Dynamics Special Purpose Corp.’s Current Report on Form 8-K as</w:t>
              </w:r>
            </w:hyperlink>
          </w:p>
        </w:tc>
      </w:tr>
      <w:tr>
        <w:trPr>
          <w:trHeight w:val="196"/>
        </w:trPr>
        <w:tc>
          <w:tcPr>
            <w:tcW w:w="880" w:type="dxa"/>
            <w:vAlign w:val="bottom"/>
          </w:tcPr>
          <w:p>
            <w:pPr>
              <w:spacing w:after="0"/>
              <w:rPr>
                <w:sz w:val="17"/>
                <w:szCs w:val="17"/>
                <w:color w:val="auto"/>
              </w:rPr>
            </w:pPr>
          </w:p>
        </w:tc>
        <w:tc>
          <w:tcPr>
            <w:tcW w:w="48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filed with the SEC on February 15, 2021).</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7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Senti Biosciences, Inc. 2022 Inducement Plan and forms of award</w:t>
            </w:r>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agreements thereunder.</w:t>
            </w: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14">
              <w:r>
                <w:rPr>
                  <w:rFonts w:ascii="Times New Roman" w:cs="Times New Roman" w:eastAsia="Times New Roman" w:hAnsi="Times New Roman"/>
                  <w:sz w:val="18"/>
                  <w:szCs w:val="18"/>
                  <w:color w:val="0000EE"/>
                  <w:w w:val="99"/>
                </w:rPr>
                <w:t>ChEF Purchase Agreement, dated as of August 31, 2022, by and</w:t>
              </w:r>
            </w:hyperlink>
          </w:p>
        </w:tc>
        <w:tc>
          <w:tcPr>
            <w:tcW w:w="1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14">
              <w:r>
                <w:rPr>
                  <w:rFonts w:ascii="Times New Roman" w:cs="Times New Roman" w:eastAsia="Times New Roman" w:hAnsi="Times New Roman"/>
                  <w:sz w:val="18"/>
                  <w:szCs w:val="18"/>
                  <w:color w:val="0000EE"/>
                  <w:w w:val="99"/>
                </w:rPr>
                <w:t>between Senti Biosciences, Inc. and Chardan Capital Markets</w:t>
              </w:r>
            </w:hyperlink>
          </w:p>
        </w:tc>
        <w:tc>
          <w:tcPr>
            <w:tcW w:w="38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514">
              <w:r>
                <w:rPr>
                  <w:rFonts w:ascii="Times New Roman" w:cs="Times New Roman" w:eastAsia="Times New Roman" w:hAnsi="Times New Roman"/>
                  <w:sz w:val="18"/>
                  <w:szCs w:val="18"/>
                  <w:color w:val="0000EE"/>
                  <w:w w:val="93"/>
                </w:rPr>
                <w:t>LLC.</w:t>
              </w:r>
            </w:hyperlink>
          </w:p>
        </w:tc>
        <w:tc>
          <w:tcPr>
            <w:tcW w:w="4440" w:type="dxa"/>
            <w:vAlign w:val="bottom"/>
            <w:gridSpan w:val="2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820" w:type="dxa"/>
            <w:vAlign w:val="bottom"/>
            <w:gridSpan w:val="23"/>
          </w:tcPr>
          <w:p>
            <w:pPr>
              <w:spacing w:after="0"/>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Registration Rights Agreement dated as of August 31, 2022, by</w:t>
              </w:r>
            </w:hyperlink>
          </w:p>
        </w:tc>
      </w:tr>
      <w:tr>
        <w:trPr>
          <w:trHeight w:val="20"/>
        </w:trPr>
        <w:tc>
          <w:tcPr>
            <w:tcW w:w="8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820" w:type="dxa"/>
            <w:vAlign w:val="bottom"/>
            <w:gridSpan w:val="23"/>
          </w:tcPr>
          <w:p>
            <w:pPr>
              <w:spacing w:after="0" w:line="196" w:lineRule="exact"/>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and between Senti Biosciences, Inc. and Chardan Capital Markets</w:t>
              </w:r>
            </w:hyperlink>
          </w:p>
        </w:tc>
      </w:tr>
      <w:tr>
        <w:trPr>
          <w:trHeight w:val="196"/>
        </w:trPr>
        <w:tc>
          <w:tcPr>
            <w:tcW w:w="88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515">
              <w:r>
                <w:rPr>
                  <w:rFonts w:ascii="Times New Roman" w:cs="Times New Roman" w:eastAsia="Times New Roman" w:hAnsi="Times New Roman"/>
                  <w:sz w:val="18"/>
                  <w:szCs w:val="18"/>
                  <w:color w:val="0000EE"/>
                  <w:w w:val="93"/>
                </w:rPr>
                <w:t>LLC.</w:t>
              </w:r>
            </w:hyperlink>
          </w:p>
        </w:tc>
        <w:tc>
          <w:tcPr>
            <w:tcW w:w="4360" w:type="dxa"/>
            <w:vAlign w:val="bottom"/>
            <w:tcBorders>
              <w:top w:val="single" w:sz="8" w:color="0000EE"/>
            </w:tcBorders>
            <w:gridSpan w:val="19"/>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4820" w:type="dxa"/>
            <w:vAlign w:val="bottom"/>
            <w:gridSpan w:val="23"/>
          </w:tcPr>
          <w:p>
            <w:pPr>
              <w:spacing w:after="0"/>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Letter from Marcum LLC to the SEC</w:t>
              </w:r>
            </w:hyperlink>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517">
              <w:r>
                <w:rPr>
                  <w:rFonts w:ascii="Times New Roman" w:cs="Times New Roman" w:eastAsia="Times New Roman" w:hAnsi="Times New Roman"/>
                  <w:sz w:val="18"/>
                  <w:szCs w:val="18"/>
                  <w:color w:val="0000EE"/>
                  <w:w w:val="98"/>
                </w:rPr>
                <w:t>List of Subsidiaries</w:t>
              </w:r>
            </w:hyperlink>
          </w:p>
        </w:tc>
        <w:tc>
          <w:tcPr>
            <w:tcW w:w="1280" w:type="dxa"/>
            <w:vAlign w:val="bottom"/>
            <w:tcBorders>
              <w:top w:val="single" w:sz="8" w:color="0000EE"/>
            </w:tcBorders>
            <w:gridSpan w:val="5"/>
          </w:tcPr>
          <w:p>
            <w:pPr>
              <w:spacing w:after="0"/>
              <w:rPr>
                <w:sz w:val="24"/>
                <w:szCs w:val="24"/>
                <w:color w:val="auto"/>
              </w:rPr>
            </w:pPr>
          </w:p>
        </w:tc>
        <w:tc>
          <w:tcPr>
            <w:tcW w:w="2140" w:type="dxa"/>
            <w:vAlign w:val="bottom"/>
            <w:gridSpan w:val="15"/>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Marcum LLP</w:t>
            </w:r>
          </w:p>
        </w:tc>
        <w:tc>
          <w:tcPr>
            <w:tcW w:w="3020" w:type="dxa"/>
            <w:vAlign w:val="bottom"/>
            <w:gridSpan w:val="17"/>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KPMG LLP</w:t>
            </w:r>
          </w:p>
        </w:tc>
      </w:tr>
      <w:tr>
        <w:trPr>
          <w:trHeight w:val="20"/>
        </w:trPr>
        <w:tc>
          <w:tcPr>
            <w:tcW w:w="88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 hereto)</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7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the</w:t>
            </w:r>
          </w:p>
        </w:tc>
        <w:tc>
          <w:tcPr>
            <w:tcW w:w="80" w:type="dxa"/>
            <w:vAlign w:val="bottom"/>
            <w:gridSpan w:val="3"/>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gridSpan w:val="1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which forms part of this registration statement).</w:t>
            </w:r>
          </w:p>
        </w:tc>
      </w:tr>
      <w:tr>
        <w:trPr>
          <w:trHeight w:val="20"/>
        </w:trPr>
        <w:tc>
          <w:tcPr>
            <w:tcW w:w="880" w:type="dxa"/>
            <w:vAlign w:val="bottom"/>
          </w:tcPr>
          <w:p>
            <w:pPr>
              <w:spacing w:after="0" w:line="20" w:lineRule="exact"/>
              <w:rPr>
                <w:sz w:val="1"/>
                <w:szCs w:val="1"/>
                <w:color w:val="auto"/>
              </w:rPr>
            </w:pPr>
          </w:p>
        </w:tc>
        <w:tc>
          <w:tcPr>
            <w:tcW w:w="4240" w:type="dxa"/>
            <w:vAlign w:val="bottom"/>
            <w:gridSpan w:val="13"/>
            <w:shd w:val="clear" w:color="auto" w:fill="0000EE"/>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r>
      <w:tr>
        <w:trPr>
          <w:trHeight w:val="3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9"/>
              </w:rPr>
              <w:t>XBRL Instance Document-this instance document does not appear</w:t>
            </w:r>
          </w:p>
        </w:tc>
      </w:tr>
      <w:tr>
        <w:trPr>
          <w:trHeight w:val="216"/>
        </w:trPr>
        <w:tc>
          <w:tcPr>
            <w:tcW w:w="880" w:type="dxa"/>
            <w:vAlign w:val="bottom"/>
          </w:tcPr>
          <w:p>
            <w:pPr>
              <w:spacing w:after="0"/>
              <w:rPr>
                <w:sz w:val="18"/>
                <w:szCs w:val="18"/>
                <w:color w:val="auto"/>
              </w:rPr>
            </w:pP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tc>
      </w:tr>
      <w:tr>
        <w:trPr>
          <w:trHeight w:val="234"/>
        </w:trPr>
        <w:tc>
          <w:tcPr>
            <w:tcW w:w="880" w:type="dxa"/>
            <w:vAlign w:val="bottom"/>
          </w:tcPr>
          <w:p>
            <w:pPr>
              <w:spacing w:after="0"/>
              <w:rPr>
                <w:sz w:val="20"/>
                <w:szCs w:val="20"/>
                <w:color w:val="auto"/>
              </w:rPr>
            </w:pP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8"/>
        </w:trPr>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II-8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S-4</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333-262707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S-4</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333-262707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001-40440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June 15, 2022</w:t>
            </w:r>
          </w:p>
        </w:tc>
      </w:tr>
      <w:tr>
        <w:trPr>
          <w:trHeight w:val="324"/>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S/4-A</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333-262707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May 10, 2022</w:t>
            </w:r>
          </w:p>
        </w:tc>
      </w:tr>
      <w:tr>
        <w:trPr>
          <w:trHeight w:val="324"/>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S-4</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333-262707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324"/>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S-4</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333-262707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S-4</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333-262707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February 14,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001-404400</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September 1, 2022</w:t>
            </w:r>
          </w:p>
        </w:tc>
      </w:tr>
      <w:tr>
        <w:trPr>
          <w:trHeight w:val="75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001-404400</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September 1, 2022</w:t>
            </w:r>
          </w:p>
        </w:tc>
      </w:tr>
      <w:tr>
        <w:trPr>
          <w:trHeight w:val="75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001-40440</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16.1</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June 15, 2022</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001-40440</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June 15, 2022</w:t>
            </w:r>
          </w:p>
        </w:tc>
      </w:tr>
    </w:tbl>
    <w:p>
      <w:pPr>
        <w:sectPr>
          <w:pgSz w:w="11900" w:h="16838" w:orient="portrait"/>
          <w:cols w:equalWidth="0" w:num="2">
            <w:col w:w="5820" w:space="520"/>
            <w:col w:w="4520"/>
          </w:cols>
          <w:pgMar w:left="320" w:top="482" w:right="719" w:bottom="1440" w:gutter="0" w:footer="0" w:header="0"/>
        </w:sectPr>
      </w:pPr>
    </w:p>
    <w:bookmarkStart w:id="353" w:name="page354"/>
    <w:bookmarkEnd w:id="3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820" w:type="dxa"/>
            <w:vAlign w:val="bottom"/>
          </w:tcPr>
          <w:p>
            <w:pPr>
              <w:spacing w:after="0"/>
              <w:rPr>
                <w:sz w:val="17"/>
                <w:szCs w:val="17"/>
                <w:color w:val="auto"/>
              </w:rPr>
            </w:pPr>
          </w:p>
        </w:tc>
      </w:tr>
      <w:tr>
        <w:trPr>
          <w:trHeight w:val="533"/>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103" w:lineRule="exact"/>
        <w:rPr>
          <w:sz w:val="20"/>
          <w:szCs w:val="20"/>
          <w:color w:val="auto"/>
        </w:rPr>
      </w:pPr>
    </w:p>
    <w:p>
      <w:pPr>
        <w:ind w:left="1660" w:right="3900" w:hanging="1544"/>
        <w:spacing w:after="0" w:line="282" w:lineRule="auto"/>
        <w:tabs>
          <w:tab w:leader="none" w:pos="1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67" w:lineRule="exact"/>
        <w:rPr>
          <w:sz w:val="20"/>
          <w:szCs w:val="20"/>
          <w:color w:val="auto"/>
        </w:rPr>
      </w:pPr>
    </w:p>
    <w:p>
      <w:pPr>
        <w:ind w:left="120"/>
        <w:spacing w:after="0"/>
        <w:tabs>
          <w:tab w:leader="none" w:pos="1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340" w:right="120" w:hanging="21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Certain exhibits and schedules to this Exhibit have been omitted in accordance with Regulation S-K Item 601(b)(2). The Company agrees to furnish supplementally a copy of all omitted exhibits and schedules to the Securities and Exchange Commission upon its request.</w:t>
      </w:r>
    </w:p>
    <w:p>
      <w:pPr>
        <w:spacing w:after="0" w:line="1" w:lineRule="exact"/>
        <w:rPr>
          <w:sz w:val="20"/>
          <w:szCs w:val="20"/>
          <w:color w:val="auto"/>
        </w:rPr>
      </w:pPr>
    </w:p>
    <w:p>
      <w:pPr>
        <w:ind w:left="340" w:right="100" w:hanging="224"/>
        <w:spacing w:after="0" w:line="250"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because the registrant has determined that the information is both not material and is the type that the registration treats as private or confidential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See the index to the consolidated financial statements included on page F-1 for a list of the financial statements included in this registration statement. Schedules not listed above have been omitted because the information required to be set forth therein is not applicable or is shown in the financial statements or notes thereto.</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5"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20"/>
          </w:cols>
          <w:pgMar w:left="320" w:top="473" w:right="4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532"/>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jc w:val="both"/>
        <w:ind w:left="1080" w:right="320" w:hanging="532"/>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w:t>
      </w:r>
    </w:p>
    <w:p>
      <w:pPr>
        <w:spacing w:after="0" w:line="67" w:lineRule="exact"/>
        <w:rPr>
          <w:rFonts w:ascii="Times New Roman" w:cs="Times New Roman" w:eastAsia="Times New Roman" w:hAnsi="Times New Roman"/>
          <w:sz w:val="18"/>
          <w:szCs w:val="18"/>
          <w:color w:val="auto"/>
        </w:rPr>
      </w:pPr>
    </w:p>
    <w:p>
      <w:pPr>
        <w:ind w:left="110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080"/>
          </w:cols>
          <w:pgMar w:left="320" w:top="482" w:right="49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South San Francisco, CA on the 12th day of September, 2022.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Timothy Lu, M.D., Ph.D.</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Timothy Lu and Deborah Knobelman as his or her true and lawful attorney-in-fact and agent, with full power of substitution and resubstitution, for him or her and in his or her name, place and stead, in any and all capacities, to sign one or more registration statements on Form S-1 and any and all amendments to such registration statements,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Lu</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7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Lu, M.D., Ph.D.</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Deborah Knobelman</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Deborah Knobelman, Ph.D.</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7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Beland</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Berland</w:t>
            </w:r>
          </w:p>
        </w:tc>
        <w:tc>
          <w:tcPr>
            <w:tcW w:w="5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Brenda Cooperstone</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 Cooperstone, M.D.</w:t>
            </w:r>
          </w:p>
        </w:tc>
        <w:tc>
          <w:tcPr>
            <w:tcW w:w="5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Mathers</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Edward Mathers</w:t>
            </w:r>
          </w:p>
        </w:tc>
        <w:tc>
          <w:tcPr>
            <w:tcW w:w="5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J. Collins</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J. (Jim) Collins</w:t>
            </w:r>
          </w:p>
        </w:tc>
        <w:tc>
          <w:tcPr>
            <w:tcW w:w="5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0"/>
        </w:trPr>
        <w:tc>
          <w:tcPr>
            <w:tcW w:w="3860" w:type="dxa"/>
            <w:vAlign w:val="bottom"/>
          </w:tcPr>
          <w:p>
            <w:pPr>
              <w:spacing w:after="0"/>
              <w:rPr>
                <w:sz w:val="24"/>
                <w:szCs w:val="24"/>
                <w:color w:val="auto"/>
              </w:rPr>
            </w:pPr>
          </w:p>
        </w:tc>
        <w:tc>
          <w:tcPr>
            <w:tcW w:w="51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II-11</w:t>
            </w:r>
          </w:p>
        </w:tc>
        <w:tc>
          <w:tcPr>
            <w:tcW w:w="17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Omid Farokhzad</w:t>
            </w:r>
          </w:p>
        </w:tc>
        <w:tc>
          <w:tcPr>
            <w:tcW w:w="41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8"/>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Omid Farokhzad</w:t>
            </w:r>
          </w:p>
        </w:tc>
        <w:tc>
          <w:tcPr>
            <w:tcW w:w="41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Epstein</w:t>
            </w:r>
          </w:p>
        </w:tc>
        <w:tc>
          <w:tcPr>
            <w:tcW w:w="41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8"/>
              </w:rPr>
              <w:t>September 12,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Epstein</w:t>
            </w:r>
          </w:p>
        </w:tc>
        <w:tc>
          <w:tcPr>
            <w:tcW w:w="41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576"/>
        </w:trPr>
        <w:tc>
          <w:tcPr>
            <w:tcW w:w="3860" w:type="dxa"/>
            <w:vAlign w:val="bottom"/>
          </w:tcPr>
          <w:p>
            <w:pPr>
              <w:spacing w:after="0"/>
              <w:rPr>
                <w:sz w:val="24"/>
                <w:szCs w:val="24"/>
                <w:color w:val="auto"/>
              </w:rPr>
            </w:pPr>
          </w:p>
        </w:tc>
        <w:tc>
          <w:tcPr>
            <w:tcW w:w="4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II-12</w:t>
            </w:r>
          </w:p>
        </w:tc>
        <w:tc>
          <w:tcPr>
            <w:tcW w:w="2720" w:type="dxa"/>
            <w:vAlign w:val="bottom"/>
          </w:tcPr>
          <w:p>
            <w:pPr>
              <w:spacing w:after="0"/>
              <w:rPr>
                <w:sz w:val="24"/>
                <w:szCs w:val="24"/>
                <w:color w:val="auto"/>
              </w:rPr>
            </w:pPr>
          </w:p>
        </w:tc>
      </w:tr>
    </w:tbl>
    <w:p>
      <w:pPr>
        <w:sectPr>
          <w:pgSz w:w="11900" w:h="16838" w:orient="portrait"/>
          <w:cols w:equalWidth="0" w:num="1">
            <w:col w:w="10860"/>
          </w:cols>
          <w:pgMar w:left="320" w:top="482" w:right="71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31645" cy="3943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17316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+1 212 813 8800</w:t>
      </w:r>
    </w:p>
    <w:p>
      <w:pPr>
        <w:spacing w:after="0" w:line="20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September 12,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Corporate Drive, First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34"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Registered under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S-1 (as amended or supplemented, the “Registration Statement”) pursuant to the Securities Act of 1933, as amended (the “Securities Act”), relating to the registration by Senti Bioscience, Inc., a Delaware corporation (the “Company”), of the offering of up to 8,727,049 shares (the “Shares”) of Common Stock, $0.0001 par value per share, to be sold by the selling stockholder listed in the Registration Statement under “Selling Securityholder” (the “Selling Securityholder”).</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Selling Securityholder Shares have been duly authorized and validly issued and are fully paid and non-assessable.</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21" w:right="4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color w:val="auto"/>
        </w:rPr>
        <w:t>Exhibit 10.24</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ENTI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2022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UGUST</w:t>
      </w:r>
      <w:r>
        <w:rPr>
          <w:rFonts w:ascii="Times New Roman" w:cs="Times New Roman" w:eastAsia="Times New Roman" w:hAnsi="Times New Roman"/>
          <w:sz w:val="18"/>
          <w:szCs w:val="18"/>
          <w:b w:val="1"/>
          <w:bCs w:val="1"/>
          <w:color w:val="auto"/>
        </w:rPr>
        <w:t xml:space="preserve"> 5, 2022</w:t>
      </w:r>
    </w:p>
    <w:p>
      <w:pPr>
        <w:sectPr>
          <w:pgSz w:w="11900" w:h="16838" w:orient="portrait"/>
          <w:cols w:equalWidth="0" w:num="1">
            <w:col w:w="10020"/>
          </w:cols>
          <w:pgMar w:left="1440" w:top="121" w:right="43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840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4"/>
        </w:trPr>
        <w:tc>
          <w:tcPr>
            <w:tcW w:w="280" w:type="dxa"/>
            <w:vAlign w:val="bottom"/>
            <w:vMerge w:val="continue"/>
          </w:tcPr>
          <w:p>
            <w:pPr>
              <w:spacing w:after="0"/>
              <w:rPr>
                <w:sz w:val="20"/>
                <w:szCs w:val="20"/>
                <w:color w:val="auto"/>
              </w:rPr>
            </w:pPr>
          </w:p>
        </w:tc>
        <w:tc>
          <w:tcPr>
            <w:tcW w:w="8400" w:type="dxa"/>
            <w:vAlign w:val="bottom"/>
            <w:vMerge w:val="continue"/>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84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i</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0" w:name="page361"/>
    <w:bookmarkEnd w:id="360"/>
    <w:p>
      <w:pPr>
        <w:ind w:left="424" w:hanging="424"/>
        <w:spacing w:after="0"/>
        <w:tabs>
          <w:tab w:leader="none" w:pos="42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699"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induce highly-qualified prospective officers and employees who are not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or any Affiliate to accept employment and provide them with a proprietary interest in the Company. The Company intends that the Plan be reserved for persons to whom the Company may issue securities without stockholder approval as an inducement pursuant to Rule 5635(c)(4) of the Marketplace Rules of the NASDAQ Stock Market, Inc.</w:t>
      </w:r>
    </w:p>
    <w:p>
      <w:pPr>
        <w:spacing w:after="0" w:line="176" w:lineRule="exact"/>
        <w:rPr>
          <w:rFonts w:ascii="Times New Roman" w:cs="Times New Roman" w:eastAsia="Times New Roman" w:hAnsi="Times New Roman"/>
          <w:sz w:val="18"/>
          <w:szCs w:val="18"/>
          <w:b w:val="1"/>
          <w:bCs w:val="1"/>
          <w:color w:val="auto"/>
        </w:rPr>
      </w:pPr>
    </w:p>
    <w:p>
      <w:pPr>
        <w:ind w:left="4" w:right="160" w:firstLine="436"/>
        <w:spacing w:after="0" w:line="286" w:lineRule="auto"/>
        <w:tabs>
          <w:tab w:leader="none" w:pos="709"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Nonstatutory Stock Options; (ii)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Restricted Stock Awards; (iv) RSU Awards; (v) Performance Awards; and (vi) Other Awards.</w:t>
      </w:r>
    </w:p>
    <w:p>
      <w:pPr>
        <w:spacing w:after="0" w:line="154"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w:t>
      </w:r>
      <w:r>
        <w:rPr>
          <w:rFonts w:ascii="Times New Roman" w:cs="Times New Roman" w:eastAsia="Times New Roman" w:hAnsi="Times New Roman"/>
          <w:sz w:val="18"/>
          <w:szCs w:val="18"/>
          <w:color w:val="auto"/>
        </w:rPr>
        <w:t>The Plan will come into existence and become effective on the Adoption Date.</w:t>
      </w:r>
    </w:p>
    <w:p>
      <w:pPr>
        <w:spacing w:after="0" w:line="37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00" w:firstLine="436"/>
        <w:spacing w:after="0" w:line="317" w:lineRule="auto"/>
        <w:tabs>
          <w:tab w:leader="none" w:pos="699" w:val="left"/>
        </w:tabs>
        <w:numPr>
          <w:ilvl w:val="1"/>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Reserve. </w:t>
      </w:r>
      <w:r>
        <w:rPr>
          <w:rFonts w:ascii="Times New Roman" w:cs="Times New Roman" w:eastAsia="Times New Roman" w:hAnsi="Times New Roman"/>
          <w:sz w:val="17"/>
          <w:szCs w:val="17"/>
          <w:color w:val="auto"/>
        </w:rPr>
        <w:t>Subject to adjustment in accordance with Section 2(b) and any adjustments as necessary to implement any Capitalization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Adjustments, the aggregate number of shares of Common Stock that may be issued pursuant to Awards will not exceed two million (2,000,000) shares.</w:t>
      </w:r>
    </w:p>
    <w:p>
      <w:pPr>
        <w:spacing w:after="0" w:line="131"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ind w:left="4" w:right="320" w:firstLine="987"/>
        <w:spacing w:after="0" w:line="257" w:lineRule="auto"/>
        <w:tabs>
          <w:tab w:leader="none" w:pos="1210"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310"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361" w:name="page362"/>
    <w:bookmarkEnd w:id="361"/>
    <w:p>
      <w:pPr>
        <w:ind w:left="424" w:hanging="424"/>
        <w:spacing w:after="0"/>
        <w:tabs>
          <w:tab w:leader="none" w:pos="4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699"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grantees under the Plan will be such Employees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to whom the Company may issue securities without stockholder approval in accordance with Rule 5635(c)(4) of the Marketplace Rules of the NASDAQ Stock Market, Inc. as selected from time to time by the Board or Compensation Committee.</w:t>
      </w:r>
    </w:p>
    <w:p>
      <w:pPr>
        <w:spacing w:after="0" w:line="170" w:lineRule="exact"/>
        <w:rPr>
          <w:rFonts w:ascii="Times New Roman" w:cs="Times New Roman" w:eastAsia="Times New Roman" w:hAnsi="Times New Roman"/>
          <w:sz w:val="18"/>
          <w:szCs w:val="18"/>
          <w:b w:val="1"/>
          <w:bCs w:val="1"/>
          <w:color w:val="auto"/>
        </w:rPr>
      </w:pPr>
    </w:p>
    <w:p>
      <w:pPr>
        <w:ind w:left="4" w:right="140" w:firstLine="436"/>
        <w:spacing w:after="0" w:line="262" w:lineRule="auto"/>
        <w:tabs>
          <w:tab w:leader="none" w:pos="709"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 who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Continuous Service only to any “parent” of the Company (as such term is defined in Rule 405) unless the stock underlying such Award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 Nonstatutory Stock Option at the time of grant. The shares purchased upon exercise of each type of Option will be accounted for separately.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9" w:lineRule="exact"/>
        <w:rPr>
          <w:sz w:val="20"/>
          <w:szCs w:val="20"/>
          <w:color w:val="auto"/>
        </w:rPr>
      </w:pPr>
    </w:p>
    <w:p>
      <w:pPr>
        <w:ind w:left="4" w:right="360" w:firstLine="436"/>
        <w:spacing w:after="0" w:line="286" w:lineRule="auto"/>
        <w:tabs>
          <w:tab w:leader="none" w:pos="699"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No Option or SAR will be exercisable after the expiration of ten years from the date of grant of such Award or such shorter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left="4" w:right="40" w:firstLine="436"/>
        <w:spacing w:after="0" w:line="262" w:lineRule="auto"/>
        <w:tabs>
          <w:tab w:leader="none" w:pos="709"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The exercise or strike price of each Option or SAR will not be less than 100% of the Fair Market Value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of the Code.</w:t>
      </w:r>
    </w:p>
    <w:p>
      <w:pPr>
        <w:spacing w:after="0" w:line="176" w:lineRule="exact"/>
        <w:rPr>
          <w:rFonts w:ascii="Times New Roman" w:cs="Times New Roman" w:eastAsia="Times New Roman" w:hAnsi="Times New Roman"/>
          <w:sz w:val="18"/>
          <w:szCs w:val="18"/>
          <w:b w:val="1"/>
          <w:bCs w:val="1"/>
          <w:color w:val="auto"/>
        </w:rPr>
      </w:pPr>
    </w:p>
    <w:p>
      <w:pPr>
        <w:ind w:left="4" w:right="100" w:firstLine="436"/>
        <w:spacing w:after="0" w:line="257" w:lineRule="auto"/>
        <w:tabs>
          <w:tab w:leader="none" w:pos="689"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8"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(or an electronic equivalent thereof) payable to the Company;</w:t>
      </w:r>
    </w:p>
    <w:p>
      <w:pPr>
        <w:spacing w:after="0" w:line="117" w:lineRule="exact"/>
        <w:rPr>
          <w:rFonts w:ascii="Times New Roman" w:cs="Times New Roman" w:eastAsia="Times New Roman" w:hAnsi="Times New Roman"/>
          <w:sz w:val="18"/>
          <w:szCs w:val="18"/>
          <w:b w:val="1"/>
          <w:bCs w:val="1"/>
          <w:color w:val="auto"/>
        </w:rPr>
      </w:pPr>
    </w:p>
    <w:p>
      <w:pPr>
        <w:ind w:left="4" w:right="160" w:firstLine="987"/>
        <w:spacing w:after="0" w:line="266" w:lineRule="auto"/>
        <w:tabs>
          <w:tab w:leader="none" w:pos="126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66" w:right="539" w:bottom="1440" w:gutter="0" w:footer="0" w:header="0"/>
        </w:sectPr>
      </w:pPr>
    </w:p>
    <w:bookmarkStart w:id="362" w:name="page363"/>
    <w:bookmarkEnd w:id="362"/>
    <w:p>
      <w:pPr>
        <w:ind w:left="4" w:firstLine="987"/>
        <w:spacing w:after="0" w:line="255" w:lineRule="auto"/>
        <w:tabs>
          <w:tab w:leader="none" w:pos="1310" w:val="left"/>
        </w:tabs>
        <w:numPr>
          <w:ilvl w:val="2"/>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4" w:right="260" w:firstLine="987"/>
        <w:spacing w:after="0" w:line="276" w:lineRule="auto"/>
        <w:tabs>
          <w:tab w:leader="none" w:pos="1300" w:val="left"/>
        </w:tabs>
        <w:numPr>
          <w:ilvl w:val="2"/>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w:t>
      </w:r>
    </w:p>
    <w:p>
      <w:pPr>
        <w:ind w:left="4" w:right="100" w:hanging="4"/>
        <w:spacing w:after="0" w:line="260"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used to pay the exercise price will not be exercisable thereafter and (2) any remaining balance of the exercise price not satisfied by such net exercise is paid by the Participant in cash or other permitted form of payment; or</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ind w:left="4" w:right="40" w:firstLine="436"/>
        <w:spacing w:after="0" w:line="257" w:lineRule="auto"/>
        <w:tabs>
          <w:tab w:leader="none" w:pos="709" w:val="left"/>
        </w:tabs>
        <w:numPr>
          <w:ilvl w:val="1"/>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ind w:left="4" w:right="140" w:firstLine="436"/>
        <w:spacing w:after="0" w:line="262" w:lineRule="auto"/>
        <w:tabs>
          <w:tab w:leader="none" w:pos="689" w:val="left"/>
        </w:tabs>
        <w:numPr>
          <w:ilvl w:val="1"/>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spacing w:after="0" w:line="176"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210" w:val="left"/>
        </w:tabs>
        <w:numPr>
          <w:ilvl w:val="2"/>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ind w:left="4" w:right="40" w:firstLine="987"/>
        <w:spacing w:after="0" w:line="268" w:lineRule="auto"/>
        <w:tabs>
          <w:tab w:leader="none" w:pos="1260" w:val="left"/>
        </w:tabs>
        <w:numPr>
          <w:ilvl w:val="2"/>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63" w:name="page364"/>
    <w:bookmarkEnd w:id="363"/>
    <w:p>
      <w:pPr>
        <w:ind w:right="220" w:firstLine="436"/>
        <w:spacing w:after="0" w:line="268" w:lineRule="auto"/>
        <w:tabs>
          <w:tab w:leader="none" w:pos="66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9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70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206"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right="420" w:firstLine="987"/>
        <w:spacing w:after="0" w:line="282" w:lineRule="auto"/>
        <w:tabs>
          <w:tab w:leader="none" w:pos="1296"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right="60" w:firstLine="436"/>
        <w:spacing w:after="0" w:line="259" w:lineRule="auto"/>
        <w:tabs>
          <w:tab w:leader="none" w:pos="65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64" w:name="page365"/>
    <w:bookmarkEnd w:id="364"/>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79" w:lineRule="exact"/>
        <w:rPr>
          <w:sz w:val="20"/>
          <w:szCs w:val="20"/>
          <w:color w:val="auto"/>
        </w:rPr>
      </w:pPr>
    </w:p>
    <w:p>
      <w:pPr>
        <w:ind w:left="4" w:firstLine="436"/>
        <w:spacing w:after="0" w:line="272" w:lineRule="auto"/>
        <w:tabs>
          <w:tab w:leader="none" w:pos="669" w:val="left"/>
        </w:tabs>
        <w:numPr>
          <w:ilvl w:val="1"/>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their regular rate of pay.</w:t>
      </w:r>
    </w:p>
    <w:p>
      <w:pPr>
        <w:spacing w:after="0" w:line="171"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7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720" w:firstLine="436"/>
        <w:spacing w:after="0" w:line="291" w:lineRule="auto"/>
        <w:tabs>
          <w:tab w:leader="none" w:pos="699" w:val="left"/>
        </w:tabs>
        <w:numPr>
          <w:ilvl w:val="1"/>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56" w:lineRule="exact"/>
        <w:rPr>
          <w:rFonts w:ascii="Times New Roman" w:cs="Times New Roman" w:eastAsia="Times New Roman" w:hAnsi="Times New Roman"/>
          <w:sz w:val="17"/>
          <w:szCs w:val="17"/>
          <w:b w:val="1"/>
          <w:bCs w:val="1"/>
          <w:color w:val="auto"/>
        </w:rPr>
      </w:pPr>
    </w:p>
    <w:p>
      <w:pPr>
        <w:ind w:left="1204" w:hanging="213"/>
        <w:spacing w:after="0"/>
        <w:tabs>
          <w:tab w:leader="none" w:pos="120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Award.</w:t>
      </w:r>
    </w:p>
    <w:p>
      <w:pPr>
        <w:spacing w:after="0" w:line="221" w:lineRule="exact"/>
        <w:rPr>
          <w:rFonts w:ascii="Times New Roman" w:cs="Times New Roman" w:eastAsia="Times New Roman" w:hAnsi="Times New Roman"/>
          <w:sz w:val="18"/>
          <w:szCs w:val="18"/>
          <w:color w:val="auto"/>
        </w:rPr>
      </w:pPr>
    </w:p>
    <w:p>
      <w:pPr>
        <w:ind w:left="4" w:firstLine="1428"/>
        <w:spacing w:after="0" w:line="259" w:lineRule="auto"/>
        <w:tabs>
          <w:tab w:leader="none" w:pos="1691" w:val="left"/>
        </w:tabs>
        <w:numPr>
          <w:ilvl w:val="3"/>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RSAs</w:t>
      </w:r>
      <w:r>
        <w:rPr>
          <w:rFonts w:ascii="Times New Roman" w:cs="Times New Roman" w:eastAsia="Times New Roman" w:hAnsi="Times New Roman"/>
          <w:sz w:val="18"/>
          <w:szCs w:val="18"/>
          <w:color w:val="auto"/>
        </w:rPr>
        <w:t>. To the extent consistent with the Company’s Bylaws, at the Board’s election, shares of Common Stock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79" w:lineRule="exact"/>
        <w:rPr>
          <w:rFonts w:ascii="Times New Roman" w:cs="Times New Roman" w:eastAsia="Times New Roman" w:hAnsi="Times New Roman"/>
          <w:sz w:val="18"/>
          <w:szCs w:val="18"/>
          <w:b w:val="1"/>
          <w:bCs w:val="1"/>
          <w:color w:val="auto"/>
        </w:rPr>
      </w:pPr>
    </w:p>
    <w:p>
      <w:pPr>
        <w:ind w:left="4" w:right="60" w:firstLine="1428"/>
        <w:spacing w:after="0" w:line="275" w:lineRule="auto"/>
        <w:tabs>
          <w:tab w:leader="none" w:pos="1691" w:val="left"/>
        </w:tabs>
        <w:numPr>
          <w:ilvl w:val="3"/>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An RSU Award represents a Participant’s right to be issued on a future date the number of shares of Common Stock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65" w:name="page366"/>
    <w:bookmarkEnd w:id="365"/>
    <w:p>
      <w:pPr>
        <w:ind w:left="1220" w:hanging="273"/>
        <w:spacing w:after="0"/>
        <w:tabs>
          <w:tab w:leader="none" w:pos="1220"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w:t>
      </w:r>
    </w:p>
    <w:p>
      <w:pPr>
        <w:spacing w:after="0" w:line="225" w:lineRule="exact"/>
        <w:rPr>
          <w:rFonts w:ascii="Times New Roman" w:cs="Times New Roman" w:eastAsia="Times New Roman" w:hAnsi="Times New Roman"/>
          <w:sz w:val="18"/>
          <w:szCs w:val="18"/>
          <w:b w:val="1"/>
          <w:bCs w:val="1"/>
          <w:color w:val="auto"/>
        </w:rPr>
      </w:pPr>
    </w:p>
    <w:p>
      <w:pPr>
        <w:ind w:left="-40" w:firstLine="1428"/>
        <w:spacing w:after="0" w:line="286" w:lineRule="auto"/>
        <w:tabs>
          <w:tab w:leader="none" w:pos="1647" w:val="left"/>
        </w:tabs>
        <w:numPr>
          <w:ilvl w:val="2"/>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A Restricted Stock Award may be granted in consideration for (A) cash or check, bank draft or money order payable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(B) any other form of consideration (including future services) as the Board may determine and permissible under Applicable Law.</w:t>
      </w:r>
    </w:p>
    <w:p>
      <w:pPr>
        <w:spacing w:after="0" w:line="154" w:lineRule="exact"/>
        <w:rPr>
          <w:rFonts w:ascii="Times New Roman" w:cs="Times New Roman" w:eastAsia="Times New Roman" w:hAnsi="Times New Roman"/>
          <w:sz w:val="18"/>
          <w:szCs w:val="18"/>
          <w:b w:val="1"/>
          <w:bCs w:val="1"/>
          <w:color w:val="auto"/>
        </w:rPr>
      </w:pPr>
    </w:p>
    <w:p>
      <w:pPr>
        <w:ind w:left="-40" w:right="60" w:firstLine="1428"/>
        <w:spacing w:after="0" w:line="257" w:lineRule="auto"/>
        <w:tabs>
          <w:tab w:leader="none" w:pos="1647" w:val="left"/>
        </w:tabs>
        <w:numPr>
          <w:ilvl w:val="2"/>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Unless otherwise determined by the Board at the time of grant, an RSU Award will be granted in consideration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2" w:lineRule="exact"/>
        <w:rPr>
          <w:rFonts w:ascii="Times New Roman" w:cs="Times New Roman" w:eastAsia="Times New Roman" w:hAnsi="Times New Roman"/>
          <w:sz w:val="18"/>
          <w:szCs w:val="18"/>
          <w:b w:val="1"/>
          <w:bCs w:val="1"/>
          <w:color w:val="auto"/>
        </w:rPr>
      </w:pPr>
    </w:p>
    <w:p>
      <w:pPr>
        <w:ind w:left="-40" w:right="100" w:firstLine="987"/>
        <w:spacing w:after="0" w:line="268" w:lineRule="auto"/>
        <w:tabs>
          <w:tab w:leader="none" w:pos="1266"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40" w:right="40" w:firstLine="987"/>
        <w:spacing w:after="0" w:line="257" w:lineRule="auto"/>
        <w:tabs>
          <w:tab w:leader="none" w:pos="1256"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their Restricted Stock Award that have not vested as of the date of such termination as set forth in the Restricted Stock Award Agreement and (2) any portion of their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ind w:left="-40" w:right="120" w:firstLine="987"/>
        <w:spacing w:after="0" w:line="286" w:lineRule="auto"/>
        <w:tabs>
          <w:tab w:leader="none" w:pos="1206"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 Restricted Stock Award or RSU Award, as determined by the Board and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left="-40" w:right="40" w:firstLine="987"/>
        <w:spacing w:after="0" w:line="268" w:lineRule="auto"/>
        <w:tabs>
          <w:tab w:leader="none" w:pos="1256"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jc w:val="both"/>
        <w:ind w:left="-40" w:right="60" w:firstLine="436"/>
        <w:spacing w:after="0" w:line="268" w:lineRule="auto"/>
        <w:tabs>
          <w:tab w:leader="none" w:pos="66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6" w:right="499" w:bottom="1440" w:gutter="0" w:footer="0" w:header="0"/>
        </w:sectPr>
      </w:pPr>
    </w:p>
    <w:bookmarkStart w:id="366" w:name="page367"/>
    <w:bookmarkEnd w:id="366"/>
    <w:p>
      <w:pPr>
        <w:ind w:left="4" w:right="20" w:firstLine="436"/>
        <w:spacing w:after="0" w:line="257" w:lineRule="auto"/>
        <w:tabs>
          <w:tab w:leader="none" w:pos="689"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subject to compliance with Section 409A)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60" w:firstLine="436"/>
        <w:spacing w:after="0" w:line="256" w:lineRule="auto"/>
        <w:tabs>
          <w:tab w:leader="none" w:pos="699"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6.</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p>
    <w:p>
      <w:pPr>
        <w:spacing w:after="0" w:line="31"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color w:val="auto"/>
        </w:rPr>
        <w:t>Section 11, unless otherwise provided in the instrument evidencing the Award or any other written agreement between the Company or any Affiliate and the Participant or unless otherwise expressly provided by the Board (as reflected in written Board action) at the time of grant of an Award.</w:t>
      </w:r>
    </w:p>
    <w:p>
      <w:pPr>
        <w:spacing w:after="0" w:line="69" w:lineRule="exact"/>
        <w:rPr>
          <w:sz w:val="20"/>
          <w:szCs w:val="20"/>
          <w:color w:val="auto"/>
        </w:rPr>
      </w:pPr>
    </w:p>
    <w:p>
      <w:pPr>
        <w:ind w:left="4" w:right="60" w:firstLine="987"/>
        <w:spacing w:after="0" w:line="255" w:lineRule="auto"/>
        <w:tabs>
          <w:tab w:leader="none" w:pos="121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or acquiring corporation (or the surviving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or acquiring corporation (or its applicable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367" w:name="page368"/>
    <w:bookmarkEnd w:id="367"/>
    <w:p>
      <w:pPr>
        <w:ind w:firstLine="987"/>
        <w:spacing w:after="0" w:line="253" w:lineRule="auto"/>
        <w:tabs>
          <w:tab w:leader="none" w:pos="1256"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Awards Held by Current Participants. </w:t>
      </w:r>
      <w:r>
        <w:rPr>
          <w:rFonts w:ascii="Times New Roman" w:cs="Times New Roman" w:eastAsia="Times New Roman" w:hAnsi="Times New Roman"/>
          <w:sz w:val="18"/>
          <w:szCs w:val="18"/>
          <w:color w:val="auto"/>
        </w:rPr>
        <w:t>In the event of a Corporate Transaction in which the surviving or acquiring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company) does not assume or continue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that the Board determines (or, if the Board does not determine such a date, to the date that is five (5) days prior to the effective time of the Corporate Transaction). Awards so accelerated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(a) will accelerate upon the occurrence of a Corporate Transaction pursuant to this subsection (ii) and (b) have multiple vesting levels depending on the level of performance, unless otherwise provided in the Award Agreement or unless otherwise provided by the Board, the vesting of such Performance Awards will accelerate at 100% of the target level upon the occurrence of a Corporate Transaction in which the Awards are not assumed, continued or substituted for in accordance with Section 6(c)(i). With respect to the vesting of cash-settled Awards that will accelerate upon the occurrence of a Corporate Transaction pursuant to this subsection (ii), such cash payment will be made no later than 30 days following the occurrence of the Corporate Transaction or such later date as required by Section 409A of the Code.</w:t>
      </w:r>
    </w:p>
    <w:p>
      <w:pPr>
        <w:spacing w:after="0" w:line="183" w:lineRule="exact"/>
        <w:rPr>
          <w:rFonts w:ascii="Times New Roman" w:cs="Times New Roman" w:eastAsia="Times New Roman" w:hAnsi="Times New Roman"/>
          <w:sz w:val="18"/>
          <w:szCs w:val="18"/>
          <w:b w:val="1"/>
          <w:bCs w:val="1"/>
          <w:color w:val="auto"/>
        </w:rPr>
      </w:pPr>
    </w:p>
    <w:p>
      <w:pPr>
        <w:ind w:right="160" w:firstLine="987"/>
        <w:spacing w:after="0" w:line="257" w:lineRule="auto"/>
        <w:tabs>
          <w:tab w:leader="none" w:pos="1306"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296"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In the event there is no such excess, the Award may be terminated without consideration.</w:t>
      </w:r>
    </w:p>
    <w:p>
      <w:pPr>
        <w:spacing w:after="0" w:line="182" w:lineRule="exact"/>
        <w:rPr>
          <w:sz w:val="20"/>
          <w:szCs w:val="20"/>
          <w:color w:val="auto"/>
        </w:rPr>
      </w:pPr>
    </w:p>
    <w:p>
      <w:pPr>
        <w:ind w:right="40" w:firstLine="436"/>
        <w:spacing w:after="0" w:line="262" w:lineRule="auto"/>
        <w:tabs>
          <w:tab w:leader="none" w:pos="70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368" w:name="page369"/>
    <w:bookmarkEnd w:id="368"/>
    <w:p>
      <w:pPr>
        <w:ind w:left="4" w:right="40" w:firstLine="436"/>
        <w:spacing w:after="0" w:line="256" w:lineRule="auto"/>
        <w:tabs>
          <w:tab w:leader="none" w:pos="689"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3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86" w:lineRule="auto"/>
        <w:tabs>
          <w:tab w:leader="none" w:pos="699"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10"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7" w:lineRule="exact"/>
        <w:rPr>
          <w:rFonts w:ascii="Times New Roman" w:cs="Times New Roman" w:eastAsia="Times New Roman" w:hAnsi="Times New Roman"/>
          <w:sz w:val="18"/>
          <w:szCs w:val="18"/>
          <w:b w:val="1"/>
          <w:bCs w:val="1"/>
          <w:color w:val="auto"/>
        </w:rPr>
      </w:pPr>
    </w:p>
    <w:p>
      <w:pPr>
        <w:ind w:left="4" w:right="40" w:firstLine="987"/>
        <w:spacing w:after="0" w:line="266" w:lineRule="auto"/>
        <w:tabs>
          <w:tab w:leader="none" w:pos="1260"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420" w:firstLine="987"/>
        <w:spacing w:after="0" w:line="312" w:lineRule="auto"/>
        <w:tabs>
          <w:tab w:leader="none" w:pos="1300" w:val="left"/>
        </w:tabs>
        <w:numPr>
          <w:ilvl w:val="2"/>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39" w:lineRule="exact"/>
        <w:rPr>
          <w:rFonts w:ascii="Times New Roman" w:cs="Times New Roman" w:eastAsia="Times New Roman" w:hAnsi="Times New Roman"/>
          <w:sz w:val="17"/>
          <w:szCs w:val="17"/>
          <w:b w:val="1"/>
          <w:bCs w:val="1"/>
          <w:color w:val="auto"/>
        </w:rPr>
      </w:pPr>
    </w:p>
    <w:p>
      <w:pPr>
        <w:ind w:left="4" w:right="60" w:firstLine="987"/>
        <w:spacing w:after="0" w:line="261" w:lineRule="auto"/>
        <w:tabs>
          <w:tab w:leader="none" w:pos="1250"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300"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66" w:right="499" w:bottom="1440" w:gutter="0" w:footer="0" w:header="0"/>
        </w:sectPr>
      </w:pPr>
    </w:p>
    <w:bookmarkStart w:id="369" w:name="page370"/>
    <w:bookmarkEnd w:id="369"/>
    <w:p>
      <w:pPr>
        <w:ind w:left="4" w:right="40" w:firstLine="987"/>
        <w:spacing w:after="0" w:line="258" w:lineRule="auto"/>
        <w:tabs>
          <w:tab w:leader="none" w:pos="1350" w:val="left"/>
        </w:tabs>
        <w:numPr>
          <w:ilvl w:val="2"/>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264" w:hanging="264"/>
        <w:spacing w:after="0"/>
        <w:tabs>
          <w:tab w:leader="none" w:pos="26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206"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2"/>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81" w:lineRule="auto"/>
        <w:tabs>
          <w:tab w:leader="none" w:pos="1300" w:val="left"/>
        </w:tabs>
        <w:numPr>
          <w:ilvl w:val="2"/>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64" w:lineRule="exact"/>
        <w:rPr>
          <w:rFonts w:ascii="Times New Roman" w:cs="Times New Roman" w:eastAsia="Times New Roman" w:hAnsi="Times New Roman"/>
          <w:sz w:val="17"/>
          <w:szCs w:val="17"/>
          <w:b w:val="1"/>
          <w:bCs w:val="1"/>
          <w:color w:val="auto"/>
        </w:rPr>
      </w:pPr>
    </w:p>
    <w:p>
      <w:pPr>
        <w:ind w:left="4" w:firstLine="987"/>
        <w:spacing w:after="0" w:line="282" w:lineRule="auto"/>
        <w:tabs>
          <w:tab w:leader="none" w:pos="1250" w:val="left"/>
        </w:tabs>
        <w:numPr>
          <w:ilvl w:val="2"/>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left="4" w:right="60" w:firstLine="987"/>
        <w:spacing w:after="0" w:line="261" w:lineRule="auto"/>
        <w:tabs>
          <w:tab w:leader="none" w:pos="1300" w:val="left"/>
        </w:tabs>
        <w:numPr>
          <w:ilvl w:val="2"/>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4" w:right="20" w:firstLine="987"/>
        <w:spacing w:after="0" w:line="256" w:lineRule="auto"/>
        <w:tabs>
          <w:tab w:leader="none" w:pos="1350" w:val="left"/>
        </w:tabs>
        <w:numPr>
          <w:ilvl w:val="2"/>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stockholder approval and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83"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55" w:lineRule="auto"/>
        <w:tabs>
          <w:tab w:leader="none" w:pos="1210" w:val="left"/>
        </w:tabs>
        <w:numPr>
          <w:ilvl w:val="2"/>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68" w:right="499" w:bottom="1440" w:gutter="0" w:footer="0" w:header="0"/>
        </w:sectPr>
      </w:pPr>
    </w:p>
    <w:bookmarkStart w:id="370" w:name="page371"/>
    <w:bookmarkEnd w:id="370"/>
    <w:p>
      <w:pPr>
        <w:ind w:left="4" w:right="40" w:firstLine="987"/>
        <w:spacing w:after="0" w:line="262" w:lineRule="auto"/>
        <w:tabs>
          <w:tab w:leader="none" w:pos="1260" w:val="left"/>
        </w:tabs>
        <w:numPr>
          <w:ilvl w:val="2"/>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left="4" w:right="100" w:firstLine="436"/>
        <w:spacing w:after="0" w:line="286" w:lineRule="auto"/>
        <w:tabs>
          <w:tab w:leader="none" w:pos="709"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689"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To the extent permitted by Rule 5635(c)(4) of the Marketplace Rules of the NASDAQ Stock Market, Inc.,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3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699"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31" w:lineRule="exact"/>
        <w:rPr>
          <w:rFonts w:ascii="Times New Roman" w:cs="Times New Roman" w:eastAsia="Times New Roman" w:hAnsi="Times New Roman"/>
          <w:sz w:val="18"/>
          <w:szCs w:val="18"/>
          <w:b w:val="1"/>
          <w:bCs w:val="1"/>
          <w:color w:val="auto"/>
        </w:rPr>
      </w:pPr>
    </w:p>
    <w:p>
      <w:pPr>
        <w:ind w:left="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371" w:name="page372"/>
    <w:bookmarkEnd w:id="371"/>
    <w:p>
      <w:pPr>
        <w:ind w:left="4" w:firstLine="436"/>
        <w:spacing w:after="0" w:line="253" w:lineRule="auto"/>
        <w:tabs>
          <w:tab w:leader="none" w:pos="689"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their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709"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60" w:firstLine="436"/>
        <w:spacing w:after="0" w:line="286" w:lineRule="auto"/>
        <w:tabs>
          <w:tab w:leader="none" w:pos="699"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4" w:right="480" w:firstLine="436"/>
        <w:spacing w:after="0" w:line="286" w:lineRule="auto"/>
        <w:tabs>
          <w:tab w:leader="none" w:pos="709"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89"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ind w:left="4" w:right="60" w:firstLine="436"/>
        <w:spacing w:after="0" w:line="268" w:lineRule="auto"/>
        <w:tabs>
          <w:tab w:leader="none" w:pos="709"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66" w:right="499" w:bottom="1440" w:gutter="0" w:footer="0" w:header="0"/>
        </w:sectPr>
      </w:pPr>
    </w:p>
    <w:bookmarkStart w:id="372" w:name="page373"/>
    <w:bookmarkEnd w:id="372"/>
    <w:p>
      <w:pPr>
        <w:ind w:right="180" w:firstLine="436"/>
        <w:spacing w:after="0" w:line="255" w:lineRule="auto"/>
        <w:tabs>
          <w:tab w:leader="none" w:pos="68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the employment of an Employee with or without notice and with or without cause.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4" w:lineRule="exact"/>
        <w:rPr>
          <w:rFonts w:ascii="Times New Roman" w:cs="Times New Roman" w:eastAsia="Times New Roman" w:hAnsi="Times New Roman"/>
          <w:sz w:val="18"/>
          <w:szCs w:val="18"/>
          <w:b w:val="1"/>
          <w:bCs w:val="1"/>
          <w:color w:val="auto"/>
        </w:rPr>
      </w:pPr>
    </w:p>
    <w:p>
      <w:pPr>
        <w:ind w:right="80" w:firstLine="436"/>
        <w:spacing w:after="0" w:line="256" w:lineRule="auto"/>
        <w:tabs>
          <w:tab w:leader="none" w:pos="66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their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68" w:lineRule="auto"/>
        <w:tabs>
          <w:tab w:leader="none" w:pos="69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right="80" w:firstLine="436"/>
        <w:spacing w:after="0" w:line="257" w:lineRule="auto"/>
        <w:tabs>
          <w:tab w:leader="none" w:pos="70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5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373" w:name="page374"/>
    <w:bookmarkEnd w:id="373"/>
    <w:p>
      <w:pPr>
        <w:ind w:left="-40" w:firstLine="436"/>
        <w:spacing w:after="0" w:line="262" w:lineRule="auto"/>
        <w:tabs>
          <w:tab w:leader="none" w:pos="62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ind w:left="-40" w:firstLine="436"/>
        <w:spacing w:after="0" w:line="259" w:lineRule="auto"/>
        <w:tabs>
          <w:tab w:leader="none" w:pos="66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left="-40" w:right="20" w:firstLine="436"/>
        <w:spacing w:after="0" w:line="262" w:lineRule="auto"/>
        <w:tabs>
          <w:tab w:leader="none" w:pos="61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ind w:left="-40" w:right="60" w:firstLine="436"/>
        <w:spacing w:after="0" w:line="268" w:lineRule="auto"/>
        <w:tabs>
          <w:tab w:leader="none" w:pos="71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ind w:left="-40" w:right="20" w:firstLine="436"/>
        <w:spacing w:after="0" w:line="253" w:lineRule="auto"/>
        <w:tabs>
          <w:tab w:leader="none" w:pos="66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80" w:top="266" w:right="479" w:bottom="1440" w:gutter="0" w:footer="0" w:header="0"/>
        </w:sectPr>
      </w:pPr>
    </w:p>
    <w:bookmarkStart w:id="374" w:name="page375"/>
    <w:bookmarkEnd w:id="374"/>
    <w:p>
      <w:pPr>
        <w:ind w:left="4" w:right="80" w:firstLine="436"/>
        <w:spacing w:after="0" w:line="268" w:lineRule="auto"/>
        <w:tabs>
          <w:tab w:leader="none" w:pos="699"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31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36" w:lineRule="exact"/>
        <w:rPr>
          <w:sz w:val="20"/>
          <w:szCs w:val="20"/>
          <w:color w:val="auto"/>
        </w:rPr>
      </w:pPr>
    </w:p>
    <w:p>
      <w:pPr>
        <w:ind w:left="424" w:hanging="424"/>
        <w:spacing w:after="0"/>
        <w:tabs>
          <w:tab w:leader="none" w:pos="424"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99"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11 shall apply and shall supersede anything to the contrary set forth in the Award Agreement for a Non-Exempt Award.</w:t>
      </w:r>
    </w:p>
    <w:p>
      <w:pPr>
        <w:spacing w:after="0" w:line="154" w:lineRule="exact"/>
        <w:rPr>
          <w:rFonts w:ascii="Times New Roman" w:cs="Times New Roman" w:eastAsia="Times New Roman" w:hAnsi="Times New Roman"/>
          <w:sz w:val="18"/>
          <w:szCs w:val="18"/>
          <w:b w:val="1"/>
          <w:bCs w:val="1"/>
          <w:color w:val="auto"/>
        </w:rPr>
      </w:pPr>
    </w:p>
    <w:p>
      <w:pPr>
        <w:ind w:left="4" w:right="240" w:firstLine="436"/>
        <w:spacing w:after="0" w:line="286" w:lineRule="auto"/>
        <w:tabs>
          <w:tab w:leader="none" w:pos="709"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50" w:lineRule="exact"/>
        <w:rPr>
          <w:rFonts w:ascii="Times New Roman" w:cs="Times New Roman" w:eastAsia="Times New Roman" w:hAnsi="Times New Roman"/>
          <w:sz w:val="18"/>
          <w:szCs w:val="18"/>
          <w:b w:val="1"/>
          <w:bCs w:val="1"/>
          <w:color w:val="auto"/>
        </w:rPr>
      </w:pPr>
    </w:p>
    <w:p>
      <w:pPr>
        <w:ind w:left="4" w:right="40" w:firstLine="987"/>
        <w:spacing w:after="0" w:line="235" w:lineRule="auto"/>
        <w:tabs>
          <w:tab w:leader="none" w:pos="1210" w:val="left"/>
        </w:tabs>
        <w:numPr>
          <w:ilvl w:val="2"/>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1" w:lineRule="exact"/>
        <w:rPr>
          <w:rFonts w:ascii="Times New Roman" w:cs="Times New Roman" w:eastAsia="Times New Roman" w:hAnsi="Times New Roman"/>
          <w:sz w:val="18"/>
          <w:szCs w:val="18"/>
          <w:b w:val="1"/>
          <w:bCs w:val="1"/>
          <w:color w:val="auto"/>
        </w:rPr>
      </w:pPr>
    </w:p>
    <w:p>
      <w:pPr>
        <w:ind w:left="4" w:right="60" w:firstLine="987"/>
        <w:spacing w:after="0" w:line="232" w:lineRule="auto"/>
        <w:tabs>
          <w:tab w:leader="none" w:pos="1260" w:val="left"/>
        </w:tabs>
        <w:numPr>
          <w:ilvl w:val="2"/>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Times New Roman" w:cs="Times New Roman" w:eastAsia="Times New Roman" w:hAnsi="Times New Roman"/>
          <w:sz w:val="18"/>
          <w:szCs w:val="18"/>
          <w:b w:val="1"/>
          <w:bCs w:val="1"/>
          <w:color w:val="auto"/>
        </w:rPr>
      </w:pPr>
    </w:p>
    <w:p>
      <w:pPr>
        <w:ind w:left="4" w:right="7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66" w:right="499" w:bottom="1440" w:gutter="0" w:footer="0" w:header="0"/>
        </w:sectPr>
      </w:pPr>
    </w:p>
    <w:bookmarkStart w:id="375" w:name="page376"/>
    <w:bookmarkEnd w:id="375"/>
    <w:p>
      <w:pPr>
        <w:ind w:right="100" w:firstLine="987"/>
        <w:spacing w:after="0" w:line="255" w:lineRule="auto"/>
        <w:tabs>
          <w:tab w:leader="none" w:pos="1306"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right="260" w:firstLine="436"/>
        <w:spacing w:after="0" w:line="268" w:lineRule="auto"/>
        <w:tabs>
          <w:tab w:leader="none" w:pos="685"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w:t>
      </w:r>
      <w:r>
        <w:rPr>
          <w:rFonts w:ascii="Times New Roman" w:cs="Times New Roman" w:eastAsia="Times New Roman" w:hAnsi="Times New Roman"/>
          <w:sz w:val="18"/>
          <w:szCs w:val="18"/>
          <w:color w:val="auto"/>
        </w:rPr>
        <w:t>The provisions of this subsection (c) shall apply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supersede anything to the contrary set forth in the Plan with respect to the permitted treatment of any Non-Exempt Award in connection with a Corporate Transaction if the Participant was an Employee upon the applicable date of grant of the Non-Exempt Award.</w:t>
      </w:r>
    </w:p>
    <w:p>
      <w:pPr>
        <w:spacing w:after="0" w:line="170"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206" w:lineRule="exact"/>
        <w:rPr>
          <w:rFonts w:ascii="Times New Roman" w:cs="Times New Roman" w:eastAsia="Times New Roman" w:hAnsi="Times New Roman"/>
          <w:sz w:val="18"/>
          <w:szCs w:val="18"/>
          <w:b w:val="1"/>
          <w:bCs w:val="1"/>
          <w:color w:val="auto"/>
        </w:rPr>
      </w:pPr>
    </w:p>
    <w:p>
      <w:pPr>
        <w:ind w:firstLine="1428"/>
        <w:spacing w:after="0" w:line="258" w:lineRule="auto"/>
        <w:tabs>
          <w:tab w:leader="none" w:pos="1687" w:val="left"/>
        </w:tabs>
        <w:numPr>
          <w:ilvl w:val="2"/>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rFonts w:ascii="Times New Roman" w:cs="Times New Roman" w:eastAsia="Times New Roman" w:hAnsi="Times New Roman"/>
          <w:sz w:val="18"/>
          <w:szCs w:val="18"/>
          <w:b w:val="1"/>
          <w:bCs w:val="1"/>
          <w:color w:val="auto"/>
        </w:rPr>
      </w:pPr>
    </w:p>
    <w:p>
      <w:pPr>
        <w:ind w:right="140" w:firstLine="1428"/>
        <w:spacing w:after="0" w:line="256" w:lineRule="auto"/>
        <w:tabs>
          <w:tab w:leader="none" w:pos="1687" w:val="left"/>
        </w:tabs>
        <w:numPr>
          <w:ilvl w:val="2"/>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3" w:lineRule="exact"/>
        <w:rPr>
          <w:sz w:val="20"/>
          <w:szCs w:val="20"/>
          <w:color w:val="auto"/>
        </w:rPr>
      </w:pPr>
    </w:p>
    <w:p>
      <w:pPr>
        <w:ind w:right="700" w:firstLine="987"/>
        <w:spacing w:after="0" w:line="286" w:lineRule="auto"/>
        <w:tabs>
          <w:tab w:leader="none" w:pos="1256"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ind w:right="80" w:firstLine="1428"/>
        <w:spacing w:after="0" w:line="255" w:lineRule="auto"/>
        <w:tabs>
          <w:tab w:leader="none" w:pos="1687"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76" w:name="page377"/>
    <w:bookmarkEnd w:id="376"/>
    <w:p>
      <w:pPr>
        <w:ind w:right="20" w:firstLine="1428"/>
        <w:spacing w:after="0" w:line="254" w:lineRule="auto"/>
        <w:tabs>
          <w:tab w:leader="none" w:pos="1687" w:val="left"/>
        </w:tabs>
        <w:numPr>
          <w:ilvl w:val="2"/>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687" w:val="left"/>
        </w:tabs>
        <w:numPr>
          <w:ilvl w:val="2"/>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1" w:lineRule="exact"/>
        <w:rPr>
          <w:rFonts w:ascii="Times New Roman" w:cs="Times New Roman" w:eastAsia="Times New Roman" w:hAnsi="Times New Roman"/>
          <w:sz w:val="18"/>
          <w:szCs w:val="18"/>
          <w:b w:val="1"/>
          <w:bCs w:val="1"/>
          <w:color w:val="auto"/>
        </w:rPr>
      </w:pPr>
    </w:p>
    <w:p>
      <w:pPr>
        <w:ind w:right="280" w:firstLine="436"/>
        <w:spacing w:after="0" w:line="282" w:lineRule="auto"/>
        <w:tabs>
          <w:tab w:leader="none" w:pos="705"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11(d) shall apply and supersede anything to the contrary that may be set forth in the Plan or the Award Agreement with respect to the permitted treatment of such Non-Exempt Award:</w:t>
      </w:r>
    </w:p>
    <w:p>
      <w:pPr>
        <w:spacing w:after="0" w:line="161" w:lineRule="exact"/>
        <w:rPr>
          <w:rFonts w:ascii="Times New Roman" w:cs="Times New Roman" w:eastAsia="Times New Roman" w:hAnsi="Times New Roman"/>
          <w:sz w:val="18"/>
          <w:szCs w:val="18"/>
          <w:b w:val="1"/>
          <w:bCs w:val="1"/>
          <w:color w:val="auto"/>
        </w:rPr>
      </w:pPr>
    </w:p>
    <w:p>
      <w:pPr>
        <w:ind w:right="380" w:firstLine="987"/>
        <w:spacing w:after="0" w:line="266" w:lineRule="auto"/>
        <w:tabs>
          <w:tab w:leader="none" w:pos="1206"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5"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256"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72" w:lineRule="auto"/>
        <w:tabs>
          <w:tab w:leader="none" w:pos="1306" w:val="left"/>
        </w:tabs>
        <w:numPr>
          <w:ilvl w:val="1"/>
          <w:numId w:val="1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71" w:lineRule="exact"/>
        <w:rPr>
          <w:rFonts w:ascii="Times New Roman" w:cs="Times New Roman" w:eastAsia="Times New Roman" w:hAnsi="Times New Roman"/>
          <w:sz w:val="17"/>
          <w:szCs w:val="17"/>
          <w:b w:val="1"/>
          <w:bCs w:val="1"/>
          <w:color w:val="auto"/>
        </w:rPr>
      </w:pPr>
    </w:p>
    <w:p>
      <w:pPr>
        <w:ind w:right="60" w:firstLine="987"/>
        <w:spacing w:after="0" w:line="266" w:lineRule="auto"/>
        <w:tabs>
          <w:tab w:leader="none" w:pos="1296"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77" w:name="page378"/>
    <w:bookmarkEnd w:id="377"/>
    <w:p>
      <w:pPr>
        <w:ind w:left="424" w:hanging="424"/>
        <w:spacing w:after="0"/>
        <w:tabs>
          <w:tab w:leader="none" w:pos="42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324" w:lineRule="exact"/>
        <w:rPr>
          <w:sz w:val="20"/>
          <w:szCs w:val="20"/>
          <w:color w:val="auto"/>
        </w:rPr>
      </w:pPr>
    </w:p>
    <w:p>
      <w:pPr>
        <w:ind w:left="424" w:hanging="424"/>
        <w:spacing w:after="0"/>
        <w:tabs>
          <w:tab w:leader="none" w:pos="424"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may suspend or terminate the Plan at any time.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378" w:name="page379"/>
    <w:bookmarkEnd w:id="378"/>
    <w:p>
      <w:pPr>
        <w:ind w:left="424" w:hanging="424"/>
        <w:spacing w:after="0"/>
        <w:tabs>
          <w:tab w:leader="none" w:pos="42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704" w:hanging="264"/>
        <w:spacing w:after="0"/>
        <w:tabs>
          <w:tab w:leader="none" w:pos="70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w:t>
      </w:r>
    </w:p>
    <w:p>
      <w:pPr>
        <w:spacing w:after="0" w:line="225" w:lineRule="exact"/>
        <w:rPr>
          <w:rFonts w:ascii="Times New Roman" w:cs="Times New Roman" w:eastAsia="Times New Roman" w:hAnsi="Times New Roman"/>
          <w:sz w:val="18"/>
          <w:szCs w:val="18"/>
          <w:b w:val="1"/>
          <w:bCs w:val="1"/>
          <w:color w:val="auto"/>
        </w:rPr>
      </w:pPr>
    </w:p>
    <w:p>
      <w:pPr>
        <w:ind w:left="4" w:right="380" w:firstLine="436"/>
        <w:spacing w:after="0" w:line="268" w:lineRule="auto"/>
        <w:tabs>
          <w:tab w:leader="none" w:pos="68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70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left="4" w:right="160" w:firstLine="436"/>
        <w:spacing w:after="0" w:line="286" w:lineRule="auto"/>
        <w:tabs>
          <w:tab w:leader="none" w:pos="68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 Nonstatutory Stock Option, a Restricted Stock Award, an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68" w:lineRule="auto"/>
        <w:tabs>
          <w:tab w:leader="none" w:pos="66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ind w:left="4" w:right="60" w:firstLine="436"/>
        <w:spacing w:after="0" w:line="268" w:lineRule="auto"/>
        <w:tabs>
          <w:tab w:leader="none" w:pos="69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4" w:right="60" w:firstLine="436"/>
        <w:spacing w:after="0" w:line="275" w:lineRule="auto"/>
        <w:tabs>
          <w:tab w:leader="none" w:pos="709"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4" w:firstLine="436"/>
        <w:spacing w:after="0" w:line="259" w:lineRule="auto"/>
        <w:tabs>
          <w:tab w:leader="none" w:pos="65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379" w:name="page380"/>
    <w:bookmarkEnd w:id="37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4" w:lineRule="exact"/>
        <w:rPr>
          <w:sz w:val="20"/>
          <w:szCs w:val="20"/>
          <w:color w:val="auto"/>
        </w:rPr>
      </w:pPr>
    </w:p>
    <w:p>
      <w:pPr>
        <w:ind w:right="100" w:firstLine="436"/>
        <w:spacing w:after="0" w:line="268" w:lineRule="auto"/>
        <w:tabs>
          <w:tab w:leader="none" w:pos="66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66"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06"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83" w:lineRule="exact"/>
        <w:rPr>
          <w:rFonts w:ascii="Times New Roman" w:cs="Times New Roman" w:eastAsia="Times New Roman" w:hAnsi="Times New Roman"/>
          <w:sz w:val="18"/>
          <w:szCs w:val="18"/>
          <w:b w:val="1"/>
          <w:bCs w:val="1"/>
          <w:color w:val="auto"/>
        </w:rPr>
      </w:pPr>
    </w:p>
    <w:p>
      <w:pPr>
        <w:ind w:right="200" w:firstLine="987"/>
        <w:spacing w:after="0" w:line="256" w:lineRule="auto"/>
        <w:tabs>
          <w:tab w:leader="none" w:pos="1256"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79" w:lineRule="exact"/>
        <w:rPr>
          <w:rFonts w:ascii="Times New Roman" w:cs="Times New Roman" w:eastAsia="Times New Roman" w:hAnsi="Times New Roman"/>
          <w:sz w:val="18"/>
          <w:szCs w:val="18"/>
          <w:b w:val="1"/>
          <w:bCs w:val="1"/>
          <w:color w:val="auto"/>
        </w:rPr>
      </w:pPr>
    </w:p>
    <w:p>
      <w:pPr>
        <w:ind w:right="160" w:firstLine="987"/>
        <w:spacing w:after="0" w:line="258" w:lineRule="auto"/>
        <w:tabs>
          <w:tab w:leader="none" w:pos="1306"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80" w:name="page381"/>
    <w:bookmarkEnd w:id="380"/>
    <w:p>
      <w:pPr>
        <w:ind w:right="100" w:firstLine="987"/>
        <w:spacing w:after="0" w:line="262" w:lineRule="auto"/>
        <w:tabs>
          <w:tab w:leader="none" w:pos="1296"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700" w:hanging="264"/>
        <w:spacing w:after="0"/>
        <w:tabs>
          <w:tab w:leader="none" w:pos="7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655"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as of the Closing Date, the Class A Common Stock, par value $0.0001 per share, of the Company.</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Senti Biosciences, Inc., a Delaware corporation.</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right="40" w:firstLine="436"/>
        <w:spacing w:after="0" w:line="253" w:lineRule="auto"/>
        <w:tabs>
          <w:tab w:leader="none" w:pos="705"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is not interrupted or terminated. A change in the capacity in which the Participant renders service to the Company or an Affiliate as an Employee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6" w:right="499" w:bottom="1440" w:gutter="0" w:footer="0" w:header="0"/>
        </w:sectPr>
      </w:pPr>
    </w:p>
    <w:bookmarkStart w:id="381" w:name="page382"/>
    <w:bookmarkEnd w:id="381"/>
    <w:p>
      <w:pPr>
        <w:ind w:right="420" w:firstLine="436"/>
        <w:spacing w:after="0" w:line="286" w:lineRule="auto"/>
        <w:tabs>
          <w:tab w:leader="none" w:pos="705"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17"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17" w:lineRule="exact"/>
        <w:rPr>
          <w:rFonts w:ascii="Times New Roman" w:cs="Times New Roman" w:eastAsia="Times New Roman" w:hAnsi="Times New Roman"/>
          <w:sz w:val="18"/>
          <w:szCs w:val="18"/>
          <w:b w:val="1"/>
          <w:bCs w:val="1"/>
          <w:color w:val="auto"/>
        </w:rPr>
      </w:pPr>
    </w:p>
    <w:p>
      <w:pPr>
        <w:ind w:right="260" w:firstLine="987"/>
        <w:spacing w:after="0" w:line="266" w:lineRule="auto"/>
        <w:tabs>
          <w:tab w:leader="none" w:pos="1296"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680" w:hanging="244"/>
        <w:spacing w:after="0"/>
        <w:tabs>
          <w:tab w:leader="none" w:pos="68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right="400" w:firstLine="436"/>
        <w:spacing w:after="0" w:line="262" w:lineRule="auto"/>
        <w:tabs>
          <w:tab w:leader="none" w:pos="665"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right="180" w:firstLine="436"/>
        <w:spacing w:after="0" w:line="286" w:lineRule="auto"/>
        <w:tabs>
          <w:tab w:leader="none" w:pos="705"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 not previously an employee or director of the Company or an Affiliate, or (ii) following a bona fide period of non-employment, determined on a case-by-case basis.</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382" w:name="page383"/>
    <w:bookmarkEnd w:id="382"/>
    <w:p>
      <w:pPr>
        <w:ind w:left="680" w:hanging="304"/>
        <w:spacing w:after="0"/>
        <w:tabs>
          <w:tab w:leader="none" w:pos="68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60" w:right="20" w:firstLine="436"/>
        <w:spacing w:after="0" w:line="255" w:lineRule="auto"/>
        <w:tabs>
          <w:tab w:leader="none" w:pos="635"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Adoption Date, is the Owner, directly or indirectly, of securities of the Company representing more than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ind w:left="-60" w:right="200" w:firstLine="436"/>
        <w:spacing w:after="0" w:line="286" w:lineRule="auto"/>
        <w:tabs>
          <w:tab w:leader="none" w:pos="625"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left="-60" w:firstLine="987"/>
        <w:spacing w:after="0" w:line="266" w:lineRule="auto"/>
        <w:tabs>
          <w:tab w:leader="none" w:pos="1146"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67" w:lineRule="exact"/>
        <w:rPr>
          <w:rFonts w:ascii="Times New Roman" w:cs="Times New Roman" w:eastAsia="Times New Roman" w:hAnsi="Times New Roman"/>
          <w:sz w:val="18"/>
          <w:szCs w:val="18"/>
          <w:b w:val="1"/>
          <w:bCs w:val="1"/>
          <w:color w:val="auto"/>
        </w:rPr>
      </w:pPr>
    </w:p>
    <w:p>
      <w:pPr>
        <w:ind w:left="-60" w:right="280" w:firstLine="987"/>
        <w:spacing w:after="0" w:line="282" w:lineRule="auto"/>
        <w:tabs>
          <w:tab w:leader="none" w:pos="1196"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53" w:lineRule="exact"/>
        <w:rPr>
          <w:rFonts w:ascii="Times New Roman" w:cs="Times New Roman" w:eastAsia="Times New Roman" w:hAnsi="Times New Roman"/>
          <w:sz w:val="18"/>
          <w:szCs w:val="18"/>
          <w:b w:val="1"/>
          <w:bCs w:val="1"/>
          <w:color w:val="auto"/>
        </w:rPr>
      </w:pPr>
    </w:p>
    <w:p>
      <w:pPr>
        <w:ind w:left="-60" w:right="580" w:firstLine="987"/>
        <w:spacing w:after="0" w:line="282" w:lineRule="auto"/>
        <w:tabs>
          <w:tab w:leader="none" w:pos="1246"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8" w:lineRule="exact"/>
        <w:rPr>
          <w:sz w:val="20"/>
          <w:szCs w:val="20"/>
          <w:color w:val="auto"/>
        </w:rPr>
      </w:pPr>
    </w:p>
    <w:p>
      <w:pPr>
        <w:ind w:left="-60" w:right="140" w:firstLine="436"/>
        <w:spacing w:after="0" w:line="257" w:lineRule="auto"/>
        <w:tabs>
          <w:tab w:leader="none" w:pos="725"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left="-60" w:right="180" w:firstLine="436"/>
        <w:spacing w:after="0" w:line="268" w:lineRule="auto"/>
        <w:tabs>
          <w:tab w:leader="none" w:pos="745"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500" w:top="266" w:right="499" w:bottom="1440" w:gutter="0" w:footer="0" w:header="0"/>
        </w:sectPr>
      </w:pPr>
    </w:p>
    <w:bookmarkStart w:id="383" w:name="page384"/>
    <w:bookmarkEnd w:id="383"/>
    <w:p>
      <w:pPr>
        <w:ind w:left="-80" w:right="60" w:firstLine="436"/>
        <w:spacing w:after="0" w:line="255" w:lineRule="auto"/>
        <w:tabs>
          <w:tab w:leader="none" w:pos="68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4" w:lineRule="exact"/>
        <w:rPr>
          <w:rFonts w:ascii="Times New Roman" w:cs="Times New Roman" w:eastAsia="Times New Roman" w:hAnsi="Times New Roman"/>
          <w:sz w:val="18"/>
          <w:szCs w:val="18"/>
          <w:b w:val="1"/>
          <w:bCs w:val="1"/>
          <w:color w:val="auto"/>
        </w:rPr>
      </w:pPr>
    </w:p>
    <w:p>
      <w:pPr>
        <w:ind w:left="-80" w:right="20" w:firstLine="436"/>
        <w:spacing w:after="0" w:line="268" w:lineRule="auto"/>
        <w:tabs>
          <w:tab w:leader="none" w:pos="72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70" w:lineRule="exact"/>
        <w:rPr>
          <w:rFonts w:ascii="Times New Roman" w:cs="Times New Roman" w:eastAsia="Times New Roman" w:hAnsi="Times New Roman"/>
          <w:sz w:val="18"/>
          <w:szCs w:val="18"/>
          <w:b w:val="1"/>
          <w:bCs w:val="1"/>
          <w:color w:val="auto"/>
        </w:rPr>
      </w:pPr>
    </w:p>
    <w:p>
      <w:pPr>
        <w:jc w:val="both"/>
        <w:ind w:left="-80" w:firstLine="436"/>
        <w:spacing w:after="0" w:line="259" w:lineRule="auto"/>
        <w:tabs>
          <w:tab w:leader="none" w:pos="68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640" w:hanging="284"/>
        <w:spacing w:after="0"/>
        <w:tabs>
          <w:tab w:leader="none" w:pos="6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700" w:hanging="344"/>
        <w:spacing w:after="0"/>
        <w:tabs>
          <w:tab w:leader="none" w:pos="70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720" w:hanging="364"/>
        <w:spacing w:after="0"/>
        <w:tabs>
          <w:tab w:leader="none" w:pos="7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Nonstatutory Stock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left="-80" w:right="140" w:firstLine="436"/>
        <w:spacing w:after="0" w:line="262" w:lineRule="auto"/>
        <w:tabs>
          <w:tab w:leader="none" w:pos="62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80" w:right="720" w:firstLine="436"/>
        <w:spacing w:after="0" w:line="286" w:lineRule="auto"/>
        <w:tabs>
          <w:tab w:leader="none" w:pos="64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80" w:right="340" w:firstLine="436"/>
        <w:spacing w:after="0" w:line="286" w:lineRule="auto"/>
        <w:tabs>
          <w:tab w:leader="none" w:pos="72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left="-80" w:right="480" w:firstLine="436"/>
        <w:spacing w:after="0" w:line="286" w:lineRule="auto"/>
        <w:tabs>
          <w:tab w:leader="none" w:pos="62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60"/>
          </w:cols>
          <w:pgMar w:left="520" w:top="266" w:right="519" w:bottom="1440" w:gutter="0" w:footer="0" w:header="0"/>
        </w:sectPr>
      </w:pPr>
    </w:p>
    <w:bookmarkStart w:id="384" w:name="page385"/>
    <w:bookmarkEnd w:id="384"/>
    <w:p>
      <w:pPr>
        <w:ind w:left="-20" w:firstLine="436"/>
        <w:spacing w:after="0" w:line="268" w:lineRule="auto"/>
        <w:tabs>
          <w:tab w:leader="none" w:pos="88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20" w:right="540" w:firstLine="436"/>
        <w:spacing w:after="0" w:line="286" w:lineRule="auto"/>
        <w:tabs>
          <w:tab w:leader="none" w:pos="78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20" w:right="120" w:firstLine="436"/>
        <w:spacing w:after="0" w:line="278" w:lineRule="auto"/>
        <w:tabs>
          <w:tab w:leader="none" w:pos="765"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3" w:lineRule="exact"/>
        <w:rPr>
          <w:rFonts w:ascii="Times New Roman" w:cs="Times New Roman" w:eastAsia="Times New Roman" w:hAnsi="Times New Roman"/>
          <w:sz w:val="17"/>
          <w:szCs w:val="17"/>
          <w:b w:val="1"/>
          <w:bCs w:val="1"/>
          <w:color w:val="auto"/>
        </w:rPr>
      </w:pPr>
    </w:p>
    <w:p>
      <w:pPr>
        <w:ind w:left="-20" w:firstLine="436"/>
        <w:spacing w:after="0" w:line="252" w:lineRule="auto"/>
        <w:tabs>
          <w:tab w:leader="none" w:pos="78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94" w:lineRule="exact"/>
        <w:rPr>
          <w:rFonts w:ascii="Times New Roman" w:cs="Times New Roman" w:eastAsia="Times New Roman" w:hAnsi="Times New Roman"/>
          <w:sz w:val="18"/>
          <w:szCs w:val="18"/>
          <w:b w:val="1"/>
          <w:bCs w:val="1"/>
          <w:color w:val="auto"/>
        </w:rPr>
      </w:pPr>
    </w:p>
    <w:p>
      <w:pPr>
        <w:ind w:left="-20" w:right="60" w:firstLine="436"/>
        <w:spacing w:after="0" w:line="255" w:lineRule="auto"/>
        <w:tabs>
          <w:tab w:leader="none" w:pos="78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66" w:right="459" w:bottom="1440" w:gutter="0" w:footer="0" w:header="0"/>
        </w:sectPr>
      </w:pPr>
    </w:p>
    <w:bookmarkStart w:id="385" w:name="page386"/>
    <w:bookmarkEnd w:id="38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3" w:lineRule="exact"/>
        <w:rPr>
          <w:sz w:val="20"/>
          <w:szCs w:val="20"/>
          <w:color w:val="auto"/>
        </w:rPr>
      </w:pPr>
    </w:p>
    <w:p>
      <w:pPr>
        <w:ind w:right="120" w:firstLine="436"/>
        <w:spacing w:after="0" w:line="268" w:lineRule="auto"/>
        <w:tabs>
          <w:tab w:leader="none" w:pos="76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740" w:hanging="304"/>
        <w:spacing w:after="0"/>
        <w:tabs>
          <w:tab w:leader="none" w:pos="7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Senti Biosciences, Inc. 2022 Inducement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right="260" w:firstLine="436"/>
        <w:spacing w:after="0" w:line="286" w:lineRule="auto"/>
        <w:tabs>
          <w:tab w:leader="none" w:pos="72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80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86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82" w:lineRule="auto"/>
        <w:tabs>
          <w:tab w:leader="none" w:pos="785"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86" w:name="page387"/>
    <w:bookmarkEnd w:id="386"/>
    <w:p>
      <w:pPr>
        <w:ind w:left="-80" w:right="140" w:firstLine="436"/>
        <w:spacing w:after="0" w:line="286" w:lineRule="auto"/>
        <w:tabs>
          <w:tab w:leader="none" w:pos="705"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left="-80" w:firstLine="436"/>
        <w:spacing w:after="0" w:line="262" w:lineRule="auto"/>
        <w:tabs>
          <w:tab w:leader="none" w:pos="685"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this Plan.</w:t>
      </w:r>
    </w:p>
    <w:p>
      <w:pPr>
        <w:spacing w:after="0" w:line="176" w:lineRule="exact"/>
        <w:rPr>
          <w:sz w:val="20"/>
          <w:szCs w:val="20"/>
          <w:color w:val="auto"/>
        </w:rPr>
      </w:pPr>
    </w:p>
    <w:p>
      <w:pPr>
        <w:ind w:left="800" w:hanging="444"/>
        <w:spacing w:after="0"/>
        <w:tabs>
          <w:tab w:leader="none" w:pos="8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820" w:hanging="464"/>
        <w:spacing w:after="0"/>
        <w:tabs>
          <w:tab w:leader="none" w:pos="8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760" w:hanging="404"/>
        <w:spacing w:after="0"/>
        <w:tabs>
          <w:tab w:leader="none" w:pos="7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ind w:left="-80" w:right="320" w:firstLine="436"/>
        <w:spacing w:after="0" w:line="268" w:lineRule="auto"/>
        <w:tabs>
          <w:tab w:leader="none" w:pos="825"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760" w:hanging="404"/>
        <w:spacing w:after="0"/>
        <w:tabs>
          <w:tab w:leader="none" w:pos="7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700" w:hanging="344"/>
        <w:spacing w:after="0"/>
        <w:tabs>
          <w:tab w:leader="none" w:pos="7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left="-80" w:firstLine="436"/>
        <w:spacing w:after="0" w:line="286" w:lineRule="auto"/>
        <w:tabs>
          <w:tab w:leader="none" w:pos="795"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left="-80" w:right="20" w:firstLine="436"/>
        <w:spacing w:after="0" w:line="262" w:lineRule="auto"/>
        <w:tabs>
          <w:tab w:leader="none" w:pos="825"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80" w:right="160" w:firstLine="436"/>
        <w:spacing w:after="0" w:line="259" w:lineRule="auto"/>
        <w:tabs>
          <w:tab w:leader="none" w:pos="675"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80" w:right="80" w:firstLine="436"/>
        <w:spacing w:after="0" w:line="286" w:lineRule="auto"/>
        <w:tabs>
          <w:tab w:leader="none" w:pos="705"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40"/>
          </w:cols>
          <w:pgMar w:left="520" w:top="266" w:right="539" w:bottom="1440" w:gutter="0" w:footer="0" w:header="0"/>
        </w:sectPr>
      </w:pPr>
    </w:p>
    <w:bookmarkStart w:id="387" w:name="page388"/>
    <w:bookmarkEnd w:id="387"/>
    <w:p>
      <w:pPr>
        <w:ind w:left="-160" w:right="220" w:firstLine="436"/>
        <w:spacing w:after="0" w:line="286" w:lineRule="auto"/>
        <w:tabs>
          <w:tab w:leader="none" w:pos="745"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160" w:firstLine="436"/>
        <w:spacing w:after="0" w:line="286" w:lineRule="auto"/>
        <w:tabs>
          <w:tab w:leader="none" w:pos="595"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00"/>
          </w:cols>
          <w:pgMar w:left="600" w:top="266" w:right="599"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ENTI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INDUCEMENT PLAN)</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Senti Biosciences,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2022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5">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6">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5715</wp:posOffset>
            </wp:positionV>
            <wp:extent cx="461200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8">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0">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1">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125"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[25 percent of the Shares shall vest and become exercisable on the first anniversary of the Vesting Commencement Date; provided that the Participant maintains Continuous Service with the Company as an employee at such time. Thereafter, the remaining 75 percent of the Shares shall vest and become exercisable in 36 equal monthly installments following the first anniversary of the Vesting Commencement Date, provided the Participant maintains Continuous Service with the Company as an employee on each vesting date. Notwithstanding anything in the Agreement to the contrary, in the case of a Corporate Transaction, this Stock Option and the Shares shall be treated as provided in Section 6(c) of the Plan.]</w:t>
      </w:r>
    </w:p>
    <w:p>
      <w:pPr>
        <w:spacing w:after="0" w:line="77"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Optionholder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your signature below or by electronic acceptance or authentication in a form authorized by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you understand and agree that:</w:t>
      </w:r>
    </w:p>
    <w:p>
      <w:pPr>
        <w:spacing w:after="0" w:line="200" w:lineRule="exact"/>
        <w:rPr>
          <w:sz w:val="20"/>
          <w:szCs w:val="20"/>
          <w:color w:val="auto"/>
        </w:rPr>
      </w:pPr>
    </w:p>
    <w:p>
      <w:pPr>
        <w:sectPr>
          <w:pgSz w:w="11900" w:h="16838" w:orient="portrait"/>
          <w:cols w:equalWidth="0" w:num="2">
            <w:col w:w="2640" w:space="560"/>
            <w:col w:w="7800"/>
          </w:cols>
          <w:pgMar w:left="440" w:top="266" w:right="459" w:bottom="1440" w:gutter="0" w:footer="0" w:header="0"/>
          <w:type w:val="continuous"/>
        </w:sectPr>
      </w:pPr>
    </w:p>
    <w:p>
      <w:pPr>
        <w:spacing w:after="0" w:line="30" w:lineRule="exact"/>
        <w:rPr>
          <w:sz w:val="20"/>
          <w:szCs w:val="20"/>
          <w:color w:val="auto"/>
        </w:rPr>
      </w:pPr>
    </w:p>
    <w:p>
      <w:pPr>
        <w:ind w:left="960" w:right="160" w:hanging="424"/>
        <w:spacing w:after="0" w:line="262" w:lineRule="auto"/>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Stock Option Agreement,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1" w:lineRule="exact"/>
        <w:rPr>
          <w:rFonts w:ascii="Times New Roman" w:cs="Times New Roman" w:eastAsia="Times New Roman" w:hAnsi="Times New Roman"/>
          <w:sz w:val="18"/>
          <w:szCs w:val="18"/>
          <w:color w:val="auto"/>
        </w:rPr>
      </w:pPr>
    </w:p>
    <w:p>
      <w:pPr>
        <w:jc w:val="both"/>
        <w:ind w:left="960" w:right="140" w:hanging="424"/>
        <w:spacing w:after="0" w:line="266" w:lineRule="auto"/>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this Grant Notice, the Plan, the Stock Option Agreement, and the Prospectus. In the event of any conflict between the provisions in this Grant Notice, the Option Agreement, or the Prospectus and the terms of the Plan, the terms of the Plan shall control.</w:t>
      </w:r>
    </w:p>
    <w:p>
      <w:pPr>
        <w:sectPr>
          <w:pgSz w:w="11900" w:h="16838" w:orient="portrait"/>
          <w:cols w:equalWidth="0" w:num="1">
            <w:col w:w="11000"/>
          </w:cols>
          <w:pgMar w:left="440" w:top="266" w:right="459" w:bottom="1440" w:gutter="0" w:footer="0" w:header="0"/>
          <w:type w:val="continuous"/>
        </w:sectPr>
      </w:pPr>
    </w:p>
    <w:bookmarkStart w:id="389" w:name="page390"/>
    <w:bookmarkEnd w:id="389"/>
    <w:p>
      <w:pPr>
        <w:ind w:left="424" w:hanging="424"/>
        <w:spacing w:after="0" w:line="261"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5" w:lineRule="exact"/>
        <w:rPr>
          <w:rFonts w:ascii="Times New Roman" w:cs="Times New Roman" w:eastAsia="Times New Roman" w:hAnsi="Times New Roman"/>
          <w:sz w:val="18"/>
          <w:szCs w:val="18"/>
          <w:color w:val="auto"/>
        </w:rPr>
      </w:pPr>
    </w:p>
    <w:p>
      <w:pPr>
        <w:jc w:val="both"/>
        <w:ind w:left="424" w:right="180" w:hanging="424"/>
        <w:spacing w:after="0" w:line="266"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ectPr>
          <w:pgSz w:w="11900" w:h="16838" w:orient="portrait"/>
          <w:cols w:equalWidth="0" w:num="1">
            <w:col w:w="10384"/>
          </w:cols>
          <w:pgMar w:left="976" w:top="270" w:right="5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SENTI BIOSCIENCES, INC.</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OPTIONHOLDER:</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5"/>
        </w:trPr>
        <w:tc>
          <w:tcPr>
            <w:tcW w:w="560" w:type="dxa"/>
            <w:vAlign w:val="bottom"/>
          </w:tcPr>
          <w:p>
            <w:pPr>
              <w:spacing w:after="0"/>
              <w:rPr>
                <w:sz w:val="17"/>
                <w:szCs w:val="17"/>
                <w:color w:val="auto"/>
              </w:rPr>
            </w:pPr>
          </w:p>
        </w:tc>
        <w:tc>
          <w:tcPr>
            <w:tcW w:w="5080" w:type="dxa"/>
            <w:vAlign w:val="bottom"/>
            <w:tcBorders>
              <w:top w:val="single" w:sz="8" w:color="auto"/>
            </w:tcBorders>
          </w:tcPr>
          <w:p>
            <w:pPr>
              <w:ind w:left="192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ind w:left="176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1" w:name="page392"/>
    <w:bookmarkEnd w:id="3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ENTI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2022 INDUCEMENT PLAN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5" w:lineRule="exact"/>
        <w:rPr>
          <w:sz w:val="20"/>
          <w:szCs w:val="20"/>
          <w:color w:val="auto"/>
        </w:rPr>
      </w:pPr>
    </w:p>
    <w:p>
      <w:pPr>
        <w:ind w:right="220" w:firstLine="440"/>
        <w:spacing w:after="0" w:line="263"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Senti Biosciences,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2022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This Option has been granted as an inducement pursuant to Rule 5635(c)(4) of the Marketplace Rules of NASDAQ Stock Market, Inc. The Option is not intended to be an “incentive stock option” under Section 422 of the Internal Revenue Code of 1986, as amended. The terms of your Option as specified in the Grant Notice and this Stock Option Agreement constitute your Option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221" w:lineRule="exact"/>
        <w:rPr>
          <w:sz w:val="20"/>
          <w:szCs w:val="20"/>
          <w:color w:val="auto"/>
        </w:rPr>
      </w:pPr>
    </w:p>
    <w:p>
      <w:pPr>
        <w:ind w:right="140" w:firstLine="436"/>
        <w:spacing w:after="0" w:line="268" w:lineRule="auto"/>
        <w:tabs>
          <w:tab w:leader="none" w:pos="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Option is subject to all the provisions of the Plan. Your Option is further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70"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p>
    <w:p>
      <w:pPr>
        <w:spacing w:after="0" w:line="229" w:lineRule="exact"/>
        <w:rPr>
          <w:rFonts w:ascii="Times New Roman" w:cs="Times New Roman" w:eastAsia="Times New Roman" w:hAnsi="Times New Roman"/>
          <w:sz w:val="18"/>
          <w:szCs w:val="18"/>
          <w:b w:val="1"/>
          <w:bCs w:val="1"/>
          <w:color w:val="auto"/>
        </w:rPr>
      </w:pPr>
    </w:p>
    <w:p>
      <w:pPr>
        <w:ind w:right="220" w:firstLine="987"/>
        <w:spacing w:after="0" w:line="261" w:lineRule="auto"/>
        <w:tabs>
          <w:tab w:leader="none" w:pos="1246"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the Plan, which may restrict or prohibit your ability to exercise your Option during certain periods.</w:t>
      </w:r>
    </w:p>
    <w:p>
      <w:pPr>
        <w:spacing w:after="0" w:line="179"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225"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2"/>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25"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697" w:val="left"/>
        </w:tabs>
        <w:numPr>
          <w:ilvl w:val="2"/>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the Plan if at the time of exercise the Common Stock is publicly traded;</w:t>
      </w:r>
    </w:p>
    <w:p>
      <w:pPr>
        <w:spacing w:after="0" w:line="161" w:lineRule="exact"/>
        <w:rPr>
          <w:rFonts w:ascii="Times New Roman" w:cs="Times New Roman" w:eastAsia="Times New Roman" w:hAnsi="Times New Roman"/>
          <w:sz w:val="18"/>
          <w:szCs w:val="18"/>
          <w:b w:val="1"/>
          <w:bCs w:val="1"/>
          <w:color w:val="auto"/>
        </w:rPr>
      </w:pPr>
    </w:p>
    <w:p>
      <w:pPr>
        <w:ind w:right="360" w:firstLine="1428"/>
        <w:spacing w:after="0" w:line="282" w:lineRule="auto"/>
        <w:tabs>
          <w:tab w:leader="none" w:pos="1747" w:val="left"/>
        </w:tabs>
        <w:numPr>
          <w:ilvl w:val="2"/>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the Plan; or</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2"/>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a “net exercise” arrangement as further described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w:t>
      </w:r>
    </w:p>
    <w:p>
      <w:pPr>
        <w:spacing w:after="0" w:line="202"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You may not exercise your Option before the commencement of its term or after its term expires. The term of your Option commences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Grant and expires upon the earliest of the following:</w:t>
      </w:r>
    </w:p>
    <w:p>
      <w:pPr>
        <w:spacing w:after="0" w:line="158"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392" w:name="page393"/>
    <w:bookmarkEnd w:id="392"/>
    <w:p>
      <w:pPr>
        <w:ind w:left="1264" w:hanging="273"/>
        <w:spacing w:after="0"/>
        <w:tabs>
          <w:tab w:leader="none" w:pos="126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three months after the termination of your Continuous Service for any reason other than Cause, Disability or death;</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your death occurs during your Continuous Service;</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or</w:t>
      </w:r>
    </w:p>
    <w:p>
      <w:pPr>
        <w:spacing w:after="0" w:line="206"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w:t>
      </w:r>
    </w:p>
    <w:p>
      <w:pPr>
        <w:spacing w:after="0" w:line="225"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your death occurs during the period provided in Section 3(b) or 3(c) above, the term of your Option shall not expire until the earlier of (i) 18 months after your death, (ii) upon any termination of the Option in connection with a Corporate Transaction, or (iii) the Expiration Date indicated in your Grant Notice. Additionally, the Post-Termination Exercise Period of your Option may be extended as provided in the Plan.</w:t>
      </w:r>
    </w:p>
    <w:p>
      <w:pPr>
        <w:spacing w:after="0" w:line="176" w:lineRule="exact"/>
        <w:rPr>
          <w:sz w:val="20"/>
          <w:szCs w:val="20"/>
          <w:color w:val="auto"/>
        </w:rPr>
      </w:pPr>
    </w:p>
    <w:p>
      <w:pPr>
        <w:ind w:left="624" w:hanging="184"/>
        <w:spacing w:after="0"/>
        <w:tabs>
          <w:tab w:leader="none" w:pos="624"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20" w:firstLine="987"/>
        <w:spacing w:after="0" w:line="254" w:lineRule="auto"/>
        <w:tabs>
          <w:tab w:leader="none" w:pos="1250" w:val="left"/>
        </w:tabs>
        <w:numPr>
          <w:ilvl w:val="2"/>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Regardless of any action taken by the Company or, if different, the Affiliate to which you provide Continuous Service (the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Recipien</w:t>
      </w:r>
      <w:r>
        <w:rPr>
          <w:rFonts w:ascii="Times New Roman" w:cs="Times New Roman" w:eastAsia="Times New Roman" w:hAnsi="Times New Roman"/>
          <w:sz w:val="18"/>
          <w:szCs w:val="18"/>
          <w:color w:val="auto"/>
        </w:rPr>
        <w:t>t”) with respect to any income tax, social insurance, payroll tax, fringe benefits tax, payment on account, or other tax-related items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grant, vesting or exercise of the Option or sale of the underlying Common Stock or other tax-related items related to your participation in the Plan and legally applicable to you (the “</w:t>
      </w:r>
      <w:r>
        <w:rPr>
          <w:rFonts w:ascii="Times New Roman" w:cs="Times New Roman" w:eastAsia="Times New Roman" w:hAnsi="Times New Roman"/>
          <w:sz w:val="18"/>
          <w:szCs w:val="18"/>
          <w:b w:val="1"/>
          <w:bCs w:val="1"/>
          <w:i w:val="1"/>
          <w:iCs w:val="1"/>
          <w:color w:val="auto"/>
        </w:rPr>
        <w:t>Tax Liability</w:t>
      </w:r>
      <w:r>
        <w:rPr>
          <w:rFonts w:ascii="Times New Roman" w:cs="Times New Roman" w:eastAsia="Times New Roman" w:hAnsi="Times New Roman"/>
          <w:sz w:val="18"/>
          <w:szCs w:val="18"/>
          <w:color w:val="auto"/>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Option, including, but not limited to, the grant, vesting or exercise of the Option, the issuance of Common Stock pursuant to such exercise, the subsequent sale of shares of Common Stock, and the payment of any dividends on the shares; and (ii) do not commit to and are under no obligation to structure the terms of the grant or any aspect of the Option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spacing w:after="0" w:line="186" w:lineRule="exact"/>
        <w:rPr>
          <w:rFonts w:ascii="Times New Roman" w:cs="Times New Roman" w:eastAsia="Times New Roman" w:hAnsi="Times New Roman"/>
          <w:sz w:val="18"/>
          <w:szCs w:val="18"/>
          <w:b w:val="1"/>
          <w:bCs w:val="1"/>
          <w:color w:val="auto"/>
        </w:rPr>
      </w:pPr>
    </w:p>
    <w:p>
      <w:pPr>
        <w:ind w:left="4" w:right="180" w:firstLine="987"/>
        <w:spacing w:after="0" w:line="255" w:lineRule="auto"/>
        <w:tabs>
          <w:tab w:leader="none" w:pos="1260" w:val="left"/>
        </w:tabs>
        <w:numPr>
          <w:ilvl w:val="2"/>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one or a combination of the following methods: (i) causing you to pay any portion of the Tax Liability in cash or cash equivalent in a form acceptable to the Company;</w:t>
      </w:r>
    </w:p>
    <w:p>
      <w:pPr>
        <w:spacing w:after="0" w:line="2" w:lineRule="exact"/>
        <w:rPr>
          <w:rFonts w:ascii="Times New Roman" w:cs="Times New Roman" w:eastAsia="Times New Roman" w:hAnsi="Times New Roman"/>
          <w:sz w:val="18"/>
          <w:szCs w:val="18"/>
          <w:b w:val="1"/>
          <w:bCs w:val="1"/>
          <w:color w:val="auto"/>
        </w:rPr>
      </w:pPr>
    </w:p>
    <w:p>
      <w:pPr>
        <w:ind w:left="4" w:hanging="4"/>
        <w:spacing w:after="0" w:line="252" w:lineRule="auto"/>
        <w:tabs>
          <w:tab w:leader="none" w:pos="26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payable to you by the Company or the Service Recipient; (iii) withholding from the proceeds of the sale of shares of Common Stock issued upon exercise of the Option (including by means of a “cashless exercise” pursuant to a program developed under Regulation T as promulgated by the Federal Reserve Board to the extent permitted by the Company, or by means of the Company acting as your agent to sell sufficient shares of Common Stock for the proceeds to settle such withholding requirements, on your behalf pursuant to this authorization without further consent); (iv) withholding shares of Common Stock otherwise issuable to you upon the exercise of the Option, provided that to the extent necessary to qualify for an exemption from application of Section 16(b) of the Exchange Act, if</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393" w:name="page394"/>
    <w:bookmarkEnd w:id="393"/>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such share withholding procedure will be subject to the express prior approval of the Board or the Company’s Compensation Committee;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or the Service Recipient, you agree to indemnify and hold the Company and/or the Service Recipient (as applicable) harmless from any failure by the Company or the applicable Service Recipient to withhold the proper amount.</w:t>
      </w:r>
    </w:p>
    <w:p>
      <w:pPr>
        <w:spacing w:after="0" w:line="187" w:lineRule="exact"/>
        <w:rPr>
          <w:sz w:val="20"/>
          <w:szCs w:val="20"/>
          <w:color w:val="auto"/>
        </w:rPr>
      </w:pPr>
    </w:p>
    <w:p>
      <w:pPr>
        <w:ind w:left="4" w:firstLine="987"/>
        <w:spacing w:after="0" w:line="254" w:lineRule="auto"/>
        <w:tabs>
          <w:tab w:leader="none" w:pos="1240" w:val="left"/>
        </w:tabs>
        <w:numPr>
          <w:ilvl w:val="2"/>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exercised portion of the Option, notwithstanding that a number of the shares of Common Stock is held back solely for the purpose of paying such Tax Liability.</w:t>
      </w:r>
    </w:p>
    <w:p>
      <w:pPr>
        <w:spacing w:after="0" w:line="191"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260" w:val="left"/>
        </w:tabs>
        <w:numPr>
          <w:ilvl w:val="2"/>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that you may not be able to exercise your Option even though the Option is vested, and that the Company shall have no obligation to issue shares of Common Stock, in each case, unless and until you have fully satisfied any applicable Tax Liability, as determined by the Company. Unless any withholding obligation for the Tax Liability is satisfied, the Company shall have no obligation to deliver to you any Common Stock in respect of the Option.</w:t>
      </w:r>
    </w:p>
    <w:p>
      <w:pPr>
        <w:spacing w:after="0" w:line="175" w:lineRule="exact"/>
        <w:rPr>
          <w:rFonts w:ascii="Times New Roman" w:cs="Times New Roman" w:eastAsia="Times New Roman" w:hAnsi="Times New Roman"/>
          <w:sz w:val="18"/>
          <w:szCs w:val="18"/>
          <w:b w:val="1"/>
          <w:bCs w:val="1"/>
          <w:color w:val="auto"/>
        </w:rPr>
      </w:pPr>
    </w:p>
    <w:p>
      <w:pPr>
        <w:ind w:left="4" w:right="140" w:firstLine="436"/>
        <w:spacing w:after="0" w:line="286" w:lineRule="auto"/>
        <w:tabs>
          <w:tab w:leader="none" w:pos="624"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otherwise provided in the Plan, your Option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jc w:val="both"/>
        <w:ind w:left="4" w:right="320" w:firstLine="436"/>
        <w:spacing w:after="0" w:line="268" w:lineRule="auto"/>
        <w:tabs>
          <w:tab w:leader="none" w:pos="624"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left="4" w:right="140" w:firstLine="436"/>
        <w:spacing w:after="0" w:line="263" w:lineRule="auto"/>
        <w:tabs>
          <w:tab w:leader="none" w:pos="624"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FOR TAXES</w:t>
      </w:r>
      <w:r>
        <w:rPr>
          <w:rFonts w:ascii="Times New Roman" w:cs="Times New Roman" w:eastAsia="Times New Roman" w:hAnsi="Times New Roman"/>
          <w:sz w:val="18"/>
          <w:szCs w:val="18"/>
          <w:color w:val="auto"/>
        </w:rPr>
        <w:t>. As a condition to accepting the Option,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Option or other Company compensation and</w:t>
      </w:r>
    </w:p>
    <w:p>
      <w:pPr>
        <w:ind w:left="4" w:right="40" w:hanging="4"/>
        <w:spacing w:after="0" w:line="252" w:lineRule="auto"/>
        <w:tabs>
          <w:tab w:leader="none" w:pos="25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394" w:name="page395"/>
    <w:bookmarkEnd w:id="394"/>
    <w:p>
      <w:pPr>
        <w:ind w:firstLine="436"/>
        <w:spacing w:after="0" w:line="256" w:lineRule="auto"/>
        <w:tabs>
          <w:tab w:leader="none" w:pos="6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RECOUPMENT</w:t>
      </w:r>
      <w:r>
        <w:rPr>
          <w:rFonts w:ascii="Times New Roman" w:cs="Times New Roman" w:eastAsia="Times New Roman" w:hAnsi="Times New Roman"/>
          <w:sz w:val="18"/>
          <w:szCs w:val="18"/>
          <w:color w:val="auto"/>
        </w:rPr>
        <w:t>. You hereby acknowledge that the grant of your Option is additional consideration for any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during or after employment) that you have to the Company not to compete, not to solicit its customers, clients or employees, not to disclose or misuse confidential information or similar obligations. Accordingly, if the Company reasonably determines that you breached such obligations, in addition to any other available remedy, the Company may, to the extent permitted by Applicable Law, recoup any income realized by you with respect to the exercise of your Option within two years of such breach. In addition, to the extent permitted by Applicable Law, this right to recoupment by the Company applies in the event that your employment is terminated for Cause or if the Company reasonably determines that circumstances existed that it could have terminated your employment for Cause.</w:t>
      </w:r>
    </w:p>
    <w:p>
      <w:pPr>
        <w:spacing w:after="0" w:line="182" w:lineRule="exact"/>
        <w:rPr>
          <w:rFonts w:ascii="Times New Roman" w:cs="Times New Roman" w:eastAsia="Times New Roman" w:hAnsi="Times New Roman"/>
          <w:sz w:val="18"/>
          <w:szCs w:val="18"/>
          <w:b w:val="1"/>
          <w:bCs w:val="1"/>
          <w:color w:val="auto"/>
        </w:rPr>
      </w:pPr>
    </w:p>
    <w:p>
      <w:pPr>
        <w:ind w:right="80" w:firstLine="436"/>
        <w:spacing w:after="0" w:line="262" w:lineRule="auto"/>
        <w:tabs>
          <w:tab w:leader="none" w:pos="6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71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INDEBTEDNESS TO THE COMPANY</w:t>
      </w:r>
      <w:r>
        <w:rPr>
          <w:rFonts w:ascii="Times New Roman" w:cs="Times New Roman" w:eastAsia="Times New Roman" w:hAnsi="Times New Roman"/>
          <w:sz w:val="18"/>
          <w:szCs w:val="18"/>
          <w:color w:val="auto"/>
        </w:rPr>
        <w:t>. In the event that you have any loans, draws, advances or any other indebtedness owing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at the time of exercise of all or a portion of the Option, the Company may deduct and not deliver that number of shares of Common Stock with a Fair Market Value subject to the Option equal to such indebtedness to satisfy all or a portion of such indebtedness, to the extent permitted by law and in a manner consistent with Section 409A of the Code, if applicable.</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317" w:lineRule="auto"/>
        <w:tabs>
          <w:tab w:leader="none" w:pos="700"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DOCUMENTS</w:t>
      </w:r>
      <w:r>
        <w:rPr>
          <w:rFonts w:ascii="Times New Roman" w:cs="Times New Roman" w:eastAsia="Times New Roman" w:hAnsi="Times New Roman"/>
          <w:sz w:val="17"/>
          <w:szCs w:val="17"/>
          <w:color w:val="auto"/>
        </w:rPr>
        <w:t>. 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131" w:lineRule="exact"/>
        <w:rPr>
          <w:rFonts w:ascii="Times New Roman" w:cs="Times New Roman" w:eastAsia="Times New Roman" w:hAnsi="Times New Roman"/>
          <w:sz w:val="17"/>
          <w:szCs w:val="17"/>
          <w:b w:val="1"/>
          <w:bCs w:val="1"/>
          <w:color w:val="auto"/>
        </w:rPr>
      </w:pPr>
    </w:p>
    <w:p>
      <w:pPr>
        <w:ind w:right="40" w:firstLine="436"/>
        <w:spacing w:after="0" w:line="286" w:lineRule="auto"/>
        <w:tabs>
          <w:tab w:leader="none" w:pos="71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QUESTIONS</w:t>
      </w:r>
      <w:r>
        <w:rPr>
          <w:rFonts w:ascii="Times New Roman" w:cs="Times New Roman" w:eastAsia="Times New Roman" w:hAnsi="Times New Roman"/>
          <w:sz w:val="18"/>
          <w:szCs w:val="18"/>
          <w:color w:val="auto"/>
        </w:rPr>
        <w:t>. 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95" w:name="page396"/>
    <w:bookmarkEnd w:id="3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ENTI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(2022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Senti Biosciences,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as an inducement pursuant to Rule 5635(c)(4) of the Marketplace Rules of NASDAQ Stock Market, Inc. and in consideration of your future services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as set forth herein and in the Company’s 2022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incorporated herein in their entirety. Capitalized terms not explicitly defined herein but defined in the Plan or the Agreement shall have the meanings set forth in the Plan or the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17145</wp:posOffset>
            </wp:positionV>
            <wp:extent cx="4963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17145</wp:posOffset>
            </wp:positionV>
            <wp:extent cx="4963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0">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17145</wp:posOffset>
            </wp:positionV>
            <wp:extent cx="4963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1">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17145</wp:posOffset>
            </wp:positionV>
            <wp:extent cx="49631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2">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[25 percent of the Restricted Stock Units shall vest on the first anniversary of the Vesting Commencement Date; provided that the Participant maintains Continuous Service with the Company as an employee at such time. Thereafter, the remaining 75 percent of the Restricted Stock Units shall vest in 12 equal quarterly installments following the first anniversary of the Vesting Commencement Date, provided the Participant maintains Continuous Service with the Company as an employee on each vesting date. Notwithstanding anything in the Agreement to the contrary, in the case of a Corporate Transaction, this RSU Award and the Restricted Stock Units shall be treated as provided in Section 6(c) of the Plan]</w:t>
      </w:r>
    </w:p>
    <w:p>
      <w:pPr>
        <w:spacing w:after="0" w:line="81"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7"/>
          <w:szCs w:val="17"/>
          <w:color w:val="auto"/>
        </w:rPr>
        <w:t>Notwithstanding the foregoing, vesting shall terminate upon the Participant’s termination of employment.</w:t>
      </w:r>
    </w:p>
    <w:p>
      <w:pPr>
        <w:sectPr>
          <w:pgSz w:w="11900" w:h="16838" w:orient="portrait"/>
          <w:cols w:equalWidth="0" w:num="1">
            <w:col w:w="10980"/>
          </w:cols>
          <w:pgMar w:left="440" w:top="266" w:right="47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Schedule: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One share of Common Stock will be issued for each Restricted Stock Unit which vests at the time set forth in Section 5 of the Agreement.</w:t>
      </w:r>
    </w:p>
    <w:p>
      <w:pPr>
        <w:spacing w:after="0" w:line="50"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Participant Acknowledgements:</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By your signature below or by electronic acceptance or authentication in a form authorized by the Company, you understand and agree that:</w:t>
      </w:r>
    </w:p>
    <w:p>
      <w:pPr>
        <w:spacing w:after="0" w:line="63" w:lineRule="exact"/>
        <w:rPr>
          <w:sz w:val="20"/>
          <w:szCs w:val="20"/>
          <w:color w:val="auto"/>
        </w:rPr>
      </w:pPr>
    </w:p>
    <w:p>
      <w:pPr>
        <w:sectPr>
          <w:pgSz w:w="11900" w:h="16838" w:orient="portrait"/>
          <w:cols w:equalWidth="0" w:num="2">
            <w:col w:w="2460" w:space="300"/>
            <w:col w:w="8220"/>
          </w:cols>
          <w:pgMar w:left="440" w:top="266" w:right="479" w:bottom="1440" w:gutter="0" w:footer="0" w:header="0"/>
          <w:type w:val="continuous"/>
        </w:sectPr>
      </w:pPr>
    </w:p>
    <w:p>
      <w:pPr>
        <w:ind w:left="960" w:hanging="424"/>
        <w:spacing w:after="0" w:line="262" w:lineRule="auto"/>
        <w:tabs>
          <w:tab w:leader="none" w:pos="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960" w:right="60" w:hanging="424"/>
        <w:spacing w:after="0" w:line="312" w:lineRule="auto"/>
        <w:tabs>
          <w:tab w:leader="none" w:pos="9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ectPr>
          <w:pgSz w:w="11900" w:h="16838" w:orient="portrait"/>
          <w:cols w:equalWidth="0" w:num="1">
            <w:col w:w="10980"/>
          </w:cols>
          <w:pgMar w:left="440" w:top="266" w:right="479" w:bottom="1440" w:gutter="0" w:footer="0" w:header="0"/>
          <w:type w:val="continuous"/>
        </w:sectPr>
      </w:pPr>
    </w:p>
    <w:bookmarkStart w:id="396" w:name="page397"/>
    <w:bookmarkEnd w:id="396"/>
    <w:p>
      <w:pPr>
        <w:jc w:val="both"/>
        <w:ind w:left="424" w:hanging="424"/>
        <w:spacing w:after="0" w:line="281" w:lineRule="auto"/>
        <w:tabs>
          <w:tab w:leader="none" w:pos="424"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0444"/>
          </w:cols>
          <w:pgMar w:left="976" w:top="270" w:right="47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SENTI BIOSCIENCES, INC.</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5"/>
        </w:trPr>
        <w:tc>
          <w:tcPr>
            <w:tcW w:w="560" w:type="dxa"/>
            <w:vAlign w:val="bottom"/>
          </w:tcPr>
          <w:p>
            <w:pPr>
              <w:spacing w:after="0"/>
              <w:rPr>
                <w:sz w:val="17"/>
                <w:szCs w:val="17"/>
                <w:color w:val="auto"/>
              </w:rPr>
            </w:pPr>
          </w:p>
        </w:tc>
        <w:tc>
          <w:tcPr>
            <w:tcW w:w="5080" w:type="dxa"/>
            <w:vAlign w:val="bottom"/>
            <w:tcBorders>
              <w:top w:val="single" w:sz="8" w:color="auto"/>
            </w:tcBorders>
          </w:tcPr>
          <w:p>
            <w:pPr>
              <w:ind w:left="192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ind w:left="176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8" w:name="page399"/>
    <w:bookmarkEnd w:id="398"/>
    <w:p>
      <w:pPr>
        <w:ind w:left="4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ENTI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2022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As reflected by your Restricted Stock Unit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Senti Biosciences,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its 2022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This RSU Award has been granted as an inducement pursuant to Rule 5635(c)(4) of the Marketplace Rules of NASDAQ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Inc. Defined terms not explicitly defined in this Agreement but defined in the Grant Notice or the Plan shall have the same definitions as in the Grant Notice or Plan, as applicable.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221" w:lineRule="exact"/>
        <w:rPr>
          <w:sz w:val="20"/>
          <w:szCs w:val="20"/>
          <w:color w:val="auto"/>
        </w:rPr>
      </w:pPr>
    </w:p>
    <w:p>
      <w:pPr>
        <w:ind w:right="160" w:firstLine="436"/>
        <w:spacing w:after="0" w:line="268" w:lineRule="auto"/>
        <w:tabs>
          <w:tab w:leader="none" w:pos="62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color w:val="auto"/>
        </w:rPr>
        <w:t>. Your RSU Award is subject to all the provisions of the Plan. Your RSU Award is further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2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color w:val="auto"/>
        </w:rPr>
        <w:t>. 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ind w:right="360" w:firstLine="436"/>
        <w:spacing w:after="0" w:line="291" w:lineRule="auto"/>
        <w:tabs>
          <w:tab w:leader="none" w:pos="620"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17"/>
          <w:szCs w:val="17"/>
          <w:color w:val="auto"/>
        </w:rPr>
        <w:t>. You shall receive no benefit or adjustment to your RSU Award with respect to any cash dividend, stock dividend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152" w:lineRule="exact"/>
        <w:rPr>
          <w:rFonts w:ascii="Times New Roman" w:cs="Times New Roman" w:eastAsia="Times New Roman" w:hAnsi="Times New Roman"/>
          <w:sz w:val="17"/>
          <w:szCs w:val="17"/>
          <w:b w:val="1"/>
          <w:bCs w:val="1"/>
          <w:color w:val="auto"/>
        </w:rPr>
      </w:pPr>
    </w:p>
    <w:p>
      <w:pPr>
        <w:ind w:left="620" w:hanging="184"/>
        <w:spacing w:after="0"/>
        <w:tabs>
          <w:tab w:leader="none" w:pos="62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46"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Regardless of any action taken by the Company or, if different, the Affiliate to which you provide Continuous Service (the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with respect to any income tax, social insurance, payroll tax, fringe benefits tax, payment on account or other tax-related items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grant or vesting of the RSU Award or sale of the underlying Common Stock or other tax-related items related to your participation in the Plan and legally applicable to you (the “</w:t>
      </w:r>
      <w:r>
        <w:rPr>
          <w:rFonts w:ascii="Times New Roman" w:cs="Times New Roman" w:eastAsia="Times New Roman" w:hAnsi="Times New Roman"/>
          <w:sz w:val="18"/>
          <w:szCs w:val="18"/>
          <w:b w:val="1"/>
          <w:bCs w:val="1"/>
          <w:i w:val="1"/>
          <w:iCs w:val="1"/>
          <w:color w:val="auto"/>
        </w:rPr>
        <w:t>Tax Liability</w:t>
      </w:r>
      <w:r>
        <w:rPr>
          <w:rFonts w:ascii="Times New Roman" w:cs="Times New Roman" w:eastAsia="Times New Roman" w:hAnsi="Times New Roman"/>
          <w:sz w:val="18"/>
          <w:szCs w:val="18"/>
          <w:color w:val="auto"/>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99" w:name="page400"/>
    <w:bookmarkEnd w:id="399"/>
    <w:p>
      <w:pPr>
        <w:ind w:left="4" w:firstLine="987"/>
        <w:spacing w:after="0" w:line="255" w:lineRule="auto"/>
        <w:tabs>
          <w:tab w:leader="none" w:pos="1260"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w:t>
      </w:r>
    </w:p>
    <w:p>
      <w:pPr>
        <w:spacing w:after="0" w:line="2" w:lineRule="exact"/>
        <w:rPr>
          <w:rFonts w:ascii="Times New Roman" w:cs="Times New Roman" w:eastAsia="Times New Roman" w:hAnsi="Times New Roman"/>
          <w:sz w:val="18"/>
          <w:szCs w:val="18"/>
          <w:b w:val="1"/>
          <w:bCs w:val="1"/>
          <w:color w:val="auto"/>
        </w:rPr>
      </w:pPr>
    </w:p>
    <w:p>
      <w:pPr>
        <w:ind w:left="4" w:right="40" w:hanging="4"/>
        <w:spacing w:after="0" w:line="251" w:lineRule="auto"/>
        <w:tabs>
          <w:tab w:leader="none" w:pos="26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payable to you by the Company or the Service Recipient; (iii) withholding shares of Common Stock from the shares of Common Stock issued or otherwise issuable to you in connection with the Award; provided,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w:t>
      </w:r>
    </w:p>
    <w:p>
      <w:pPr>
        <w:spacing w:after="0" w:line="19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spacing w:after="0" w:line="191"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60" w:val="left"/>
        </w:tabs>
        <w:numPr>
          <w:ilvl w:val="1"/>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400" w:name="page401"/>
    <w:bookmarkEnd w:id="400"/>
    <w:p>
      <w:pPr>
        <w:ind w:left="624" w:hanging="184"/>
        <w:spacing w:after="0"/>
        <w:tabs>
          <w:tab w:leader="none" w:pos="62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44" w:hanging="253"/>
        <w:spacing w:after="0"/>
        <w:tabs>
          <w:tab w:leader="none" w:pos="1244"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U.S. Treasury Regulations</w:t>
      </w:r>
    </w:p>
    <w:p>
      <w:pPr>
        <w:spacing w:after="0" w:line="27"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80" w:firstLine="987"/>
        <w:spacing w:after="0" w:line="282" w:lineRule="auto"/>
        <w:tabs>
          <w:tab w:leader="none" w:pos="1260" w:val="left"/>
        </w:tabs>
        <w:numPr>
          <w:ilvl w:val="2"/>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 day. In addition, if a Tax Liability withholding obligation applies, if:</w:t>
      </w:r>
    </w:p>
    <w:p>
      <w:pPr>
        <w:spacing w:after="0" w:line="161" w:lineRule="exact"/>
        <w:rPr>
          <w:rFonts w:ascii="Times New Roman" w:cs="Times New Roman" w:eastAsia="Times New Roman" w:hAnsi="Times New Roman"/>
          <w:sz w:val="18"/>
          <w:szCs w:val="18"/>
          <w:b w:val="1"/>
          <w:bCs w:val="1"/>
          <w:color w:val="auto"/>
        </w:rPr>
      </w:pPr>
    </w:p>
    <w:p>
      <w:pPr>
        <w:ind w:left="4" w:firstLine="1428"/>
        <w:spacing w:after="0" w:line="258" w:lineRule="auto"/>
        <w:tabs>
          <w:tab w:leader="none" w:pos="1651" w:val="left"/>
        </w:tabs>
        <w:numPr>
          <w:ilvl w:val="3"/>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b w:val="1"/>
          <w:bCs w:val="1"/>
          <w:color w:val="auto"/>
        </w:rPr>
      </w:pPr>
    </w:p>
    <w:p>
      <w:pPr>
        <w:ind w:left="4" w:firstLine="1428"/>
        <w:spacing w:after="0" w:line="253" w:lineRule="auto"/>
        <w:tabs>
          <w:tab w:leader="none" w:pos="1701" w:val="left"/>
        </w:tabs>
        <w:numPr>
          <w:ilvl w:val="3"/>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decides, prior to the Original Issuance Date, (A) not to satisfy the Tax Liability withholding obligation by withholding shares of Common Stock from the shares otherwise due, on the Original Issuance Date, to you under this Award, (B) not to permit you to enter into a “same day sale” commitment with a broker-dealer (including but not limited to a commitment under a 10b5-1 Arrangement) or (C) not to permit you to pay your Tax Liability in cash,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w:t>
      </w:r>
      <w:r>
        <w:rPr>
          <w:rFonts w:ascii="Times New Roman" w:cs="Times New Roman" w:eastAsia="Times New Roman" w:hAnsi="Times New Roman"/>
          <w:sz w:val="18"/>
          <w:szCs w:val="18"/>
          <w:color w:val="auto"/>
        </w:rPr>
        <w:t xml:space="preserve"> if 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w:t>
      </w:r>
    </w:p>
    <w:p>
      <w:pPr>
        <w:spacing w:after="0" w:line="190" w:lineRule="exact"/>
        <w:rPr>
          <w:rFonts w:ascii="Times New Roman" w:cs="Times New Roman" w:eastAsia="Times New Roman" w:hAnsi="Times New Roman"/>
          <w:sz w:val="18"/>
          <w:szCs w:val="18"/>
          <w:b w:val="1"/>
          <w:bCs w:val="1"/>
          <w:color w:val="auto"/>
        </w:rPr>
      </w:pPr>
    </w:p>
    <w:p>
      <w:pPr>
        <w:ind w:left="4" w:right="20" w:firstLine="436"/>
        <w:spacing w:after="0" w:line="286" w:lineRule="auto"/>
        <w:tabs>
          <w:tab w:leader="none" w:pos="624"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color w:val="auto"/>
        </w:rPr>
        <w:t>. 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4" w:lineRule="exact"/>
        <w:rPr>
          <w:rFonts w:ascii="Times New Roman" w:cs="Times New Roman" w:eastAsia="Times New Roman" w:hAnsi="Times New Roman"/>
          <w:sz w:val="18"/>
          <w:szCs w:val="18"/>
          <w:b w:val="1"/>
          <w:bCs w:val="1"/>
          <w:color w:val="auto"/>
        </w:rPr>
      </w:pPr>
    </w:p>
    <w:p>
      <w:pPr>
        <w:jc w:val="both"/>
        <w:ind w:left="4" w:right="300" w:firstLine="436"/>
        <w:spacing w:after="0" w:line="268" w:lineRule="auto"/>
        <w:tabs>
          <w:tab w:leader="none" w:pos="624"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color w:val="auto"/>
        </w:rPr>
        <w:t>. 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left="4" w:right="20" w:firstLine="436"/>
        <w:spacing w:after="0" w:line="263" w:lineRule="auto"/>
        <w:tabs>
          <w:tab w:leader="none" w:pos="624"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RSU Award or other Company compensation and</w:t>
      </w:r>
    </w:p>
    <w:p>
      <w:pPr>
        <w:ind w:left="4" w:right="120" w:hanging="4"/>
        <w:spacing w:after="0" w:line="260" w:lineRule="auto"/>
        <w:tabs>
          <w:tab w:leader="none" w:pos="25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66" w:right="519" w:bottom="1440" w:gutter="0" w:footer="0" w:header="0"/>
        </w:sectPr>
      </w:pPr>
    </w:p>
    <w:bookmarkStart w:id="401" w:name="page402"/>
    <w:bookmarkEnd w:id="401"/>
    <w:p>
      <w:pPr>
        <w:ind w:left="-40" w:firstLine="436"/>
        <w:spacing w:after="0" w:line="262" w:lineRule="auto"/>
        <w:tabs>
          <w:tab w:leader="none" w:pos="58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40" w:right="40" w:firstLine="436"/>
        <w:spacing w:after="0" w:line="317" w:lineRule="auto"/>
        <w:tabs>
          <w:tab w:leader="none" w:pos="670" w:val="left"/>
        </w:tabs>
        <w:numPr>
          <w:ilvl w:val="0"/>
          <w:numId w:val="2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color w:val="auto"/>
        </w:rPr>
        <w:t>. 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131" w:lineRule="exact"/>
        <w:rPr>
          <w:rFonts w:ascii="Times New Roman" w:cs="Times New Roman" w:eastAsia="Times New Roman" w:hAnsi="Times New Roman"/>
          <w:sz w:val="17"/>
          <w:szCs w:val="17"/>
          <w:b w:val="1"/>
          <w:bCs w:val="1"/>
          <w:color w:val="auto"/>
        </w:rPr>
      </w:pPr>
    </w:p>
    <w:p>
      <w:pPr>
        <w:ind w:left="-40" w:right="60" w:firstLine="436"/>
        <w:spacing w:after="0" w:line="286" w:lineRule="auto"/>
        <w:tabs>
          <w:tab w:leader="none" w:pos="6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RSU Award, including a summary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federal income tax consequences please see the Prospectus.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Senti Biosciences, Inc. (formerly Dynamics Special Purpose Corp.) on Form S-1 of our report dated March 7, 2022 (which includes an explanatory paragraph as to the Company’s ability to continue as a going concern), with respect to our audit of the consolidated financial statements of Dynamics Special Purpose Corp. as of December 31, 2021 and for the period from March 1, 2021 (inception) through December 31, 2021, which report appears in the Prospectus, which is part of this Registration Statement. We were dismissed as auditors on June 8,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ectPr>
          <w:pgSz w:w="11900" w:h="16838" w:orient="portrait"/>
          <w:cols w:equalWidth="0" w:num="1">
            <w:col w:w="11020"/>
          </w:cols>
          <w:pgMar w:left="440" w:top="121" w:right="4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April 1, 2022, with respect to the consolidated financial statements of Senti Biosciences, Inc. and its subsidiaries, included herein and to the reference to our firm under the heading “Experts” in the prospectus.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ectPr>
          <w:pgSz w:w="11900" w:h="16838" w:orient="portrait"/>
          <w:cols w:equalWidth="0" w:num="1">
            <w:col w:w="11020"/>
          </w:cols>
          <w:pgMar w:left="440" w:top="121" w:right="43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2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Calculation</w:t>
            </w: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ind w:right="8"/>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152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Forward Rule</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color w:val="auto"/>
                <w:w w:val="97"/>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6"/>
        </w:trPr>
        <w:tc>
          <w:tcPr>
            <w:tcW w:w="1520" w:type="dxa"/>
            <w:vAlign w:val="bottom"/>
            <w:tcBorders>
              <w:left w:val="single" w:sz="8" w:color="auto"/>
              <w:right w:val="single" w:sz="8" w:color="auto"/>
            </w:tcBorders>
          </w:tcPr>
          <w:p>
            <w:pPr>
              <w:ind w:left="260"/>
              <w:spacing w:after="0" w:line="206" w:lineRule="exact"/>
              <w:rPr>
                <w:sz w:val="20"/>
                <w:szCs w:val="20"/>
                <w:color w:val="auto"/>
              </w:rPr>
            </w:pPr>
            <w:r>
              <w:rPr>
                <w:rFonts w:ascii="Times New Roman" w:cs="Times New Roman" w:eastAsia="Times New Roman" w:hAnsi="Times New Roman"/>
                <w:sz w:val="18"/>
                <w:szCs w:val="18"/>
                <w:color w:val="auto"/>
              </w:rPr>
              <w:t>Fees to Be Paid</w:t>
            </w:r>
          </w:p>
        </w:tc>
        <w:tc>
          <w:tcPr>
            <w:tcW w:w="66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60"/>
              <w:spacing w:after="0" w:line="206" w:lineRule="exact"/>
              <w:rPr>
                <w:sz w:val="20"/>
                <w:szCs w:val="20"/>
                <w:color w:val="auto"/>
              </w:rPr>
            </w:pPr>
            <w:r>
              <w:rPr>
                <w:rFonts w:ascii="Times New Roman" w:cs="Times New Roman" w:eastAsia="Times New Roman" w:hAnsi="Times New Roman"/>
                <w:sz w:val="18"/>
                <w:szCs w:val="18"/>
                <w:color w:val="auto"/>
              </w:rPr>
              <w:t>Common</w:t>
            </w: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Stock, par</w:t>
            </w:r>
          </w:p>
        </w:tc>
        <w:tc>
          <w:tcPr>
            <w:tcW w:w="10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value $0.0001</w:t>
            </w:r>
          </w:p>
        </w:tc>
        <w:tc>
          <w:tcPr>
            <w:tcW w:w="10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52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 share (1)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8,727,049(1)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$1.95(2)</w:t>
            </w:r>
          </w:p>
        </w:tc>
        <w:tc>
          <w:tcPr>
            <w:tcW w:w="128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$17,017,746(2)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7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39"/>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8"/>
                <w:szCs w:val="18"/>
                <w:color w:val="auto"/>
              </w:rPr>
              <w:t>$17,017,746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$1,578</w:t>
            </w: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Net Fee Due</w:t>
            </w: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$1,578</w:t>
            </w: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80" w:hanging="4"/>
        <w:spacing w:after="0" w:line="253" w:lineRule="auto"/>
        <w:tabs>
          <w:tab w:leader="none" w:pos="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shares of common stock, par value $0.0001 per share (the “Common Stock”) of Senti Biosciences, Inc. (the “Company”) previously issued by the Company to Chardan Capital Markets LLC (“Chardan”) and 8,627,049 shares of Common Stock that are available to be issued and sold by the Company to Chardan from time to time at the Company’s election pursuant to a ChEF Purchase Agreement, dated as of August 31, 2022, between the Company and Chardan, subject to satisfaction of the conditions set forth therein. Pursuant to Rule 416(a) promulgated under the U.S. Securities Act of 1933, as amended (the “Securities Act”), there are also being registered an indeterminable number of additional securities as may be issued to prevent dilution resulting from stock splits, stock dividends, or similar transactions.</w:t>
      </w:r>
    </w:p>
    <w:p>
      <w:pPr>
        <w:spacing w:after="0" w:line="5" w:lineRule="exact"/>
        <w:rPr>
          <w:rFonts w:ascii="Times New Roman" w:cs="Times New Roman" w:eastAsia="Times New Roman" w:hAnsi="Times New Roman"/>
          <w:sz w:val="18"/>
          <w:szCs w:val="18"/>
          <w:color w:val="auto"/>
        </w:rPr>
      </w:pPr>
    </w:p>
    <w:p>
      <w:pPr>
        <w:ind w:left="4" w:right="20" w:hanging="4"/>
        <w:spacing w:after="0" w:line="260" w:lineRule="auto"/>
        <w:tabs>
          <w:tab w:leader="none" w:pos="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457(c), solely for the purpose of computing the amount of the registration fee, on the basis of the average of the high and low prices of the registrant’s common stock quoted on The Nasdaq Global Market on September 6,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1)"/>
      <w:numFmt w:val="decimal"/>
      <w:start w:val="3"/>
    </w:lvl>
  </w:abstractNum>
  <w:abstractNum w:abstractNumId="7">
    <w:nsid w:val="53584BCB"/>
    <w:multiLevelType w:val="hybridMultilevel"/>
    <w:lvl w:ilvl="0">
      <w:lvlJc w:val="left"/>
      <w:lvlText w:val="(%1)"/>
      <w:numFmt w:val="lowerRoman"/>
      <w:start w:val="3"/>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1)"/>
      <w:numFmt w:val="lowerRoman"/>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
      <w:numFmt w:val="bullet"/>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
      <w:numFmt w:val="bullet"/>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
      <w:numFmt w:val="bullet"/>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1)"/>
      <w:numFmt w:val="decimal"/>
      <w:start w:val="2"/>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1)"/>
      <w:numFmt w:val="decimal"/>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lvl w:ilvl="1">
      <w:lvlJc w:val="left"/>
      <w:lvlText w:val="%2."/>
      <w:numFmt w:val="decimal"/>
      <w:start w:val="1"/>
    </w:lvl>
  </w:abstractNum>
  <w:abstractNum w:abstractNumId="57">
    <w:nsid w:val="2E48F044"/>
    <w:multiLevelType w:val="hybridMultilevel"/>
    <w:lvl w:ilvl="0">
      <w:lvlJc w:val="left"/>
      <w:lvlText w:val="%1."/>
      <w:numFmt w:val="decimal"/>
      <w:start w:val="2"/>
    </w:lvl>
  </w:abstractNum>
  <w:abstractNum w:abstractNumId="58">
    <w:nsid w:val="49D0FEAC"/>
    <w:multiLevelType w:val="hybridMultilevel"/>
    <w:lvl w:ilvl="0">
      <w:lvlJc w:val="left"/>
      <w:lvlText w:val="%1."/>
      <w:numFmt w:val="decimal"/>
      <w:start w:val="1"/>
    </w:lvl>
  </w:abstractNum>
  <w:abstractNum w:abstractNumId="59">
    <w:nsid w:val="4BEE5A5B"/>
    <w:multiLevelType w:val="hybridMultilevel"/>
    <w:lvl w:ilvl="0">
      <w:lvlJc w:val="left"/>
      <w:lvlText w:val="%1."/>
      <w:numFmt w:val="decimal"/>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1)"/>
      <w:numFmt w:val="lowerRoman"/>
      <w:start w:val="3"/>
    </w:lvl>
  </w:abstractNum>
  <w:abstractNum w:abstractNumId="64">
    <w:nsid w:val="2A31B62D"/>
    <w:multiLevelType w:val="hybridMultilevel"/>
    <w:lvl w:ilvl="0">
      <w:lvlJc w:val="left"/>
      <w:lvlText w:val="•"/>
      <w:numFmt w:val="bullet"/>
      <w:start w:val="1"/>
    </w:lvl>
  </w:abstractNum>
  <w:abstractNum w:abstractNumId="65">
    <w:nsid w:val="1849C29B"/>
    <w:multiLevelType w:val="hybridMultilevel"/>
    <w:lvl w:ilvl="0">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
      <w:numFmt w:val="bullet"/>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
      <w:numFmt w:val="bullet"/>
      <w:start w:val="1"/>
    </w:lvl>
  </w:abstractNum>
  <w:abstractNum w:abstractNumId="70">
    <w:nsid w:val="1816F8C4"/>
    <w:multiLevelType w:val="hybridMultilevel"/>
    <w:lvl w:ilvl="0">
      <w:lvlJc w:val="left"/>
      <w:lvlText w:val="•"/>
      <w:numFmt w:val="bullet"/>
      <w:start w:val="1"/>
    </w:lvl>
  </w:abstractNum>
  <w:abstractNum w:abstractNumId="71">
    <w:nsid w:val="37DF2233"/>
    <w:multiLevelType w:val="hybridMultilevel"/>
    <w:lvl w:ilvl="0">
      <w:lvlJc w:val="left"/>
      <w:lvlText w:val="•"/>
      <w:numFmt w:val="bullet"/>
      <w:start w:val="1"/>
    </w:lvl>
  </w:abstractNum>
  <w:abstractNum w:abstractNumId="72">
    <w:nsid w:val="7AB49DAF"/>
    <w:multiLevelType w:val="hybridMultilevel"/>
    <w:lvl w:ilvl="0">
      <w:lvlJc w:val="left"/>
      <w:lvlText w:val="•"/>
      <w:numFmt w:val="bullet"/>
      <w:start w:val="1"/>
    </w:lvl>
  </w:abstractNum>
  <w:abstractNum w:abstractNumId="73">
    <w:nsid w:val="759F82CD"/>
    <w:multiLevelType w:val="hybridMultilevel"/>
    <w:lvl w:ilvl="0">
      <w:lvlJc w:val="left"/>
      <w:lvlText w:val="•"/>
      <w:numFmt w:val="bullet"/>
      <w:start w:val="1"/>
    </w:lvl>
  </w:abstractNum>
  <w:abstractNum w:abstractNumId="74">
    <w:nsid w:val="61E74EA3"/>
    <w:multiLevelType w:val="hybridMultilevel"/>
    <w:lvl w:ilvl="0">
      <w:lvlJc w:val="left"/>
      <w:lvlText w:val="(%1)"/>
      <w:numFmt w:val="lowerLetter"/>
      <w:start w:val="1"/>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
      <w:numFmt w:val="bullet"/>
      <w:start w:val="1"/>
    </w:lvl>
  </w:abstractNum>
  <w:abstractNum w:abstractNumId="77">
    <w:nsid w:val="57C7D42D"/>
    <w:multiLevelType w:val="hybridMultilevel"/>
    <w:lvl w:ilvl="0">
      <w:lvlJc w:val="left"/>
      <w:lvlText w:val="•"/>
      <w:numFmt w:val="bullet"/>
      <w:start w:val="1"/>
    </w:lvl>
  </w:abstractNum>
  <w:abstractNum w:abstractNumId="78">
    <w:nsid w:val="312167AD"/>
    <w:multiLevelType w:val="hybridMultilevel"/>
    <w:lvl w:ilvl="0">
      <w:lvlJc w:val="left"/>
      <w:lvlText w:val="•"/>
      <w:numFmt w:val="bullet"/>
      <w:start w:val="1"/>
    </w:lvl>
  </w:abstractNum>
  <w:abstractNum w:abstractNumId="79">
    <w:nsid w:val="631B64D4"/>
    <w:multiLevelType w:val="hybridMultilevel"/>
    <w:lvl w:ilvl="0">
      <w:lvlJc w:val="left"/>
      <w:lvlText w:val="(%1)"/>
      <w:numFmt w:val="decimal"/>
      <w:start w:val="1"/>
    </w:lvl>
  </w:abstractNum>
  <w:abstractNum w:abstractNumId="80">
    <w:nsid w:val="78B5E776"/>
    <w:multiLevelType w:val="hybridMultilevel"/>
    <w:lvl w:ilvl="0">
      <w:lvlJc w:val="left"/>
      <w:lvlText w:val="(%1)"/>
      <w:numFmt w:val="decimal"/>
      <w:start w:val="1"/>
    </w:lvl>
  </w:abstractNum>
  <w:abstractNum w:abstractNumId="81">
    <w:nsid w:val="75486E47"/>
    <w:multiLevelType w:val="hybridMultilevel"/>
    <w:lvl w:ilvl="0">
      <w:lvlJc w:val="left"/>
      <w:lvlText w:val="(%1)"/>
      <w:numFmt w:val="decimal"/>
      <w:start w:val="6"/>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1)"/>
      <w:numFmt w:val="decimal"/>
      <w:start w:val="7"/>
    </w:lvl>
  </w:abstractNum>
  <w:abstractNum w:abstractNumId="85">
    <w:nsid w:val="46263DEC"/>
    <w:multiLevelType w:val="hybridMultilevel"/>
    <w:lvl w:ilvl="0">
      <w:lvlJc w:val="left"/>
      <w:lvlText w:val="(%1)"/>
      <w:numFmt w:val="decimal"/>
      <w:start w:val="2"/>
    </w:lvl>
  </w:abstractNum>
  <w:abstractNum w:abstractNumId="86">
    <w:nsid w:val="260D8C4A"/>
    <w:multiLevelType w:val="hybridMultilevel"/>
    <w:lvl w:ilvl="0">
      <w:lvlJc w:val="left"/>
      <w:lvlText w:val="(%1)"/>
      <w:numFmt w:val="lowerRoman"/>
      <w:start w:val="2"/>
    </w:lvl>
  </w:abstractNum>
  <w:abstractNum w:abstractNumId="87">
    <w:nsid w:val="73D4D3C4"/>
    <w:multiLevelType w:val="hybridMultilevel"/>
    <w:lvl w:ilvl="0">
      <w:lvlJc w:val="left"/>
      <w:lvlText w:val="(%1)"/>
      <w:numFmt w:val="decimal"/>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
      <w:numFmt w:val="bullet"/>
      <w:start w:val="1"/>
    </w:lvl>
  </w:abstractNum>
  <w:abstractNum w:abstractNumId="90">
    <w:nsid w:val="3FC32E20"/>
    <w:multiLevelType w:val="hybridMultilevel"/>
    <w:lvl w:ilvl="0">
      <w:lvlJc w:val="left"/>
      <w:lvlText w:val="(%1)"/>
      <w:numFmt w:val="decimal"/>
      <w:start w:val="1"/>
    </w:lvl>
  </w:abstractNum>
  <w:abstractNum w:abstractNumId="91">
    <w:nsid w:val="49C0E823"/>
    <w:multiLevelType w:val="hybridMultilevel"/>
    <w:lvl w:ilvl="0">
      <w:lvlJc w:val="left"/>
      <w:lvlText w:val="(%1)"/>
      <w:numFmt w:val="decimal"/>
      <w:start w:val="3"/>
    </w:lvl>
  </w:abstractNum>
  <w:abstractNum w:abstractNumId="92">
    <w:nsid w:val="14D53685"/>
    <w:multiLevelType w:val="hybridMultilevel"/>
    <w:lvl w:ilvl="0">
      <w:lvlJc w:val="left"/>
      <w:lvlText w:val="(%1)"/>
      <w:numFmt w:val="decimal"/>
      <w:start w:val="9"/>
    </w:lvl>
  </w:abstractNum>
  <w:abstractNum w:abstractNumId="93">
    <w:nsid w:val="230F856C"/>
    <w:multiLevelType w:val="hybridMultilevel"/>
    <w:lvl w:ilvl="0">
      <w:lvlJc w:val="left"/>
      <w:lvlText w:val="(%1)"/>
      <w:numFmt w:val="decimal"/>
      <w:start w:val="9"/>
    </w:lvl>
  </w:abstractNum>
  <w:abstractNum w:abstractNumId="94">
    <w:nsid w:val="6EAA85FB"/>
    <w:multiLevelType w:val="hybridMultilevel"/>
    <w:lvl w:ilvl="0">
      <w:lvlJc w:val="left"/>
      <w:lvlText w:val="(%1)"/>
      <w:numFmt w:val="decimal"/>
      <w:start w:val="15"/>
    </w:lvl>
  </w:abstractNum>
  <w:abstractNum w:abstractNumId="95">
    <w:nsid w:val="3F06ECB2"/>
    <w:multiLevelType w:val="hybridMultilevel"/>
    <w:lvl w:ilvl="0">
      <w:lvlJc w:val="left"/>
      <w:lvlText w:val="*"/>
      <w:numFmt w:val="bullet"/>
      <w:start w:val="1"/>
    </w:lvl>
  </w:abstractNum>
  <w:abstractNum w:abstractNumId="96">
    <w:nsid w:val="3B594807"/>
    <w:multiLevelType w:val="hybridMultilevel"/>
    <w:lvl w:ilvl="0">
      <w:lvlJc w:val="left"/>
      <w:lvlText w:val="(%1)"/>
      <w:numFmt w:val="decimal"/>
      <w:start w:val="1"/>
    </w:lvl>
  </w:abstractNum>
  <w:abstractNum w:abstractNumId="97">
    <w:nsid w:val="6CAA2304"/>
    <w:multiLevelType w:val="hybridMultilevel"/>
    <w:lvl w:ilvl="0">
      <w:lvlJc w:val="left"/>
      <w:lvlText w:val="(%1)"/>
      <w:numFmt w:val="decimal"/>
      <w:start w:val="2"/>
    </w:lvl>
  </w:abstractNum>
  <w:abstractNum w:abstractNumId="98">
    <w:nsid w:val="3F7C2FF4"/>
    <w:multiLevelType w:val="hybridMultilevel"/>
    <w:lvl w:ilvl="0">
      <w:lvlJc w:val="left"/>
      <w:lvlText w:val="(%1)"/>
      <w:numFmt w:val="decimal"/>
      <w:start w:val="1"/>
    </w:lvl>
  </w:abstractNum>
  <w:abstractNum w:abstractNumId="99">
    <w:nsid w:val="25413BEC"/>
    <w:multiLevelType w:val="hybridMultilevel"/>
    <w:lvl w:ilvl="0">
      <w:lvlJc w:val="left"/>
      <w:lvlText w:val="(%1)"/>
      <w:numFmt w:val="decimal"/>
      <w:start w:val="1"/>
    </w:lvl>
  </w:abstractNum>
  <w:abstractNum w:abstractNumId="100">
    <w:nsid w:val="17180B0B"/>
    <w:multiLevelType w:val="hybridMultilevel"/>
    <w:lvl w:ilvl="0">
      <w:lvlJc w:val="left"/>
      <w:lvlText w:val="(%1)"/>
      <w:numFmt w:val="decimal"/>
      <w:start w:val="1"/>
    </w:lvl>
  </w:abstractNum>
  <w:abstractNum w:abstractNumId="101">
    <w:nsid w:val="579328B9"/>
    <w:multiLevelType w:val="hybridMultilevel"/>
    <w:lvl w:ilvl="0">
      <w:lvlJc w:val="left"/>
      <w:lvlText w:val="(%1)"/>
      <w:numFmt w:val="decimal"/>
      <w:start w:val="1"/>
    </w:lvl>
  </w:abstractNum>
  <w:abstractNum w:abstractNumId="102">
    <w:nsid w:val="5D205E20"/>
    <w:multiLevelType w:val="hybridMultilevel"/>
    <w:lvl w:ilvl="0">
      <w:lvlJc w:val="left"/>
      <w:lvlText w:val="•"/>
      <w:numFmt w:val="bullet"/>
      <w:start w:val="1"/>
    </w:lvl>
  </w:abstractNum>
  <w:abstractNum w:abstractNumId="103">
    <w:nsid w:val="11CCA8BA"/>
    <w:multiLevelType w:val="hybridMultilevel"/>
    <w:lvl w:ilvl="0">
      <w:lvlJc w:val="left"/>
      <w:lvlText w:val="•"/>
      <w:numFmt w:val="bullet"/>
      <w:start w:val="1"/>
    </w:lvl>
  </w:abstractNum>
  <w:abstractNum w:abstractNumId="104">
    <w:nsid w:val="4D32AB86"/>
    <w:multiLevelType w:val="hybridMultilevel"/>
    <w:lvl w:ilvl="0">
      <w:lvlJc w:val="left"/>
      <w:lvlText w:val="•"/>
      <w:numFmt w:val="bullet"/>
      <w:start w:val="1"/>
    </w:lvl>
  </w:abstractNum>
  <w:abstractNum w:abstractNumId="105">
    <w:nsid w:val="3F07ACC3"/>
    <w:multiLevelType w:val="hybridMultilevel"/>
    <w:lvl w:ilvl="0">
      <w:lvlJc w:val="left"/>
      <w:lvlText w:val="•"/>
      <w:numFmt w:val="bullet"/>
      <w:start w:val="1"/>
    </w:lvl>
  </w:abstractNum>
  <w:abstractNum w:abstractNumId="106">
    <w:nsid w:val="6B47F63E"/>
    <w:multiLevelType w:val="hybridMultilevel"/>
    <w:lvl w:ilvl="0">
      <w:lvlJc w:val="left"/>
      <w:lvlText w:val="•"/>
      <w:numFmt w:val="bullet"/>
      <w:start w:val="1"/>
    </w:lvl>
  </w:abstractNum>
  <w:abstractNum w:abstractNumId="107">
    <w:nsid w:val="5CB44A05"/>
    <w:multiLevelType w:val="hybridMultilevel"/>
    <w:lvl w:ilvl="0">
      <w:lvlJc w:val="left"/>
      <w:lvlText w:val="•"/>
      <w:numFmt w:val="bullet"/>
      <w:start w:val="1"/>
    </w:lvl>
  </w:abstractNum>
  <w:abstractNum w:abstractNumId="108">
    <w:nsid w:val="16CF80F1"/>
    <w:multiLevelType w:val="hybridMultilevel"/>
    <w:lvl w:ilvl="0">
      <w:lvlJc w:val="left"/>
      <w:lvlText w:val="•"/>
      <w:numFmt w:val="bullet"/>
      <w:start w:val="1"/>
    </w:lvl>
  </w:abstractNum>
  <w:abstractNum w:abstractNumId="109">
    <w:nsid w:val="1C695DEC"/>
    <w:multiLevelType w:val="hybridMultilevel"/>
    <w:lvl w:ilvl="0">
      <w:lvlJc w:val="left"/>
      <w:lvlText w:val="•"/>
      <w:numFmt w:val="bullet"/>
      <w:start w:val="1"/>
    </w:lvl>
  </w:abstractNum>
  <w:abstractNum w:abstractNumId="110">
    <w:nsid w:val="3FCFAED9"/>
    <w:multiLevelType w:val="hybridMultilevel"/>
    <w:lvl w:ilvl="0">
      <w:lvlJc w:val="left"/>
      <w:lvlText w:val="•"/>
      <w:numFmt w:val="bullet"/>
      <w:start w:val="1"/>
    </w:lvl>
  </w:abstractNum>
  <w:abstractNum w:abstractNumId="111">
    <w:nsid w:val="F856867"/>
    <w:multiLevelType w:val="hybridMultilevel"/>
    <w:lvl w:ilvl="0">
      <w:lvlJc w:val="left"/>
      <w:lvlText w:val="•"/>
      <w:numFmt w:val="bullet"/>
      <w:start w:val="1"/>
    </w:lvl>
  </w:abstractNum>
  <w:abstractNum w:abstractNumId="112">
    <w:nsid w:val="11B1CC33"/>
    <w:multiLevelType w:val="hybridMultilevel"/>
    <w:lvl w:ilvl="0">
      <w:lvlJc w:val="left"/>
      <w:lvlText w:val="•"/>
      <w:numFmt w:val="bullet"/>
      <w:start w:val="1"/>
    </w:lvl>
  </w:abstractNum>
  <w:abstractNum w:abstractNumId="113">
    <w:nsid w:val="2E22FBB7"/>
    <w:multiLevelType w:val="hybridMultilevel"/>
    <w:lvl w:ilvl="0">
      <w:lvlJc w:val="left"/>
      <w:lvlText w:val="(%1)"/>
      <w:numFmt w:val="upperLetter"/>
      <w:start w:val="2"/>
    </w:lvl>
  </w:abstractNum>
  <w:abstractNum w:abstractNumId="114">
    <w:nsid w:val="29934699"/>
    <w:multiLevelType w:val="hybridMultilevel"/>
    <w:lvl w:ilvl="0">
      <w:lvlJc w:val="left"/>
      <w:lvlText w:val="(%1)"/>
      <w:numFmt w:val="decimal"/>
      <w:start w:val="1"/>
    </w:lvl>
  </w:abstractNum>
  <w:abstractNum w:abstractNumId="115">
    <w:nsid w:val="77485850"/>
    <w:multiLevelType w:val="hybridMultilevel"/>
    <w:lvl w:ilvl="0">
      <w:lvlJc w:val="left"/>
      <w:lvlText w:val="(%1)"/>
      <w:numFmt w:val="decimal"/>
      <w:start w:val="1"/>
    </w:lvl>
  </w:abstractNum>
  <w:abstractNum w:abstractNumId="116">
    <w:nsid w:val="744939A3"/>
    <w:multiLevelType w:val="hybridMultilevel"/>
    <w:lvl w:ilvl="0">
      <w:lvlJc w:val="left"/>
      <w:lvlText w:val="(%1)"/>
      <w:numFmt w:val="upperLetter"/>
      <w:start w:val="2"/>
    </w:lvl>
  </w:abstractNum>
  <w:abstractNum w:abstractNumId="117">
    <w:nsid w:val="4FA0D2E3"/>
    <w:multiLevelType w:val="hybridMultilevel"/>
    <w:lvl w:ilvl="0">
      <w:lvlJc w:val="left"/>
      <w:lvlText w:val="•"/>
      <w:numFmt w:val="bullet"/>
      <w:start w:val="1"/>
    </w:lvl>
  </w:abstractNum>
  <w:abstractNum w:abstractNumId="118">
    <w:nsid w:val="6B1D2C14"/>
    <w:multiLevelType w:val="hybridMultilevel"/>
    <w:lvl w:ilvl="0">
      <w:lvlJc w:val="left"/>
      <w:lvlText w:val="(%1)"/>
      <w:numFmt w:val="lowerRoman"/>
      <w:start w:val="4"/>
    </w:lvl>
  </w:abstractNum>
  <w:abstractNum w:abstractNumId="119">
    <w:nsid w:val="68B867D3"/>
    <w:multiLevelType w:val="hybridMultilevel"/>
    <w:lvl w:ilvl="0">
      <w:lvlJc w:val="left"/>
      <w:lvlText w:val="(%1)"/>
      <w:numFmt w:val="lowerRoman"/>
      <w:start w:val="1"/>
    </w:lvl>
  </w:abstractNum>
  <w:abstractNum w:abstractNumId="120">
    <w:nsid w:val="3F7F5DD9"/>
    <w:multiLevelType w:val="hybridMultilevel"/>
    <w:lvl w:ilvl="0">
      <w:lvlJc w:val="left"/>
      <w:lvlText w:val="\emdash "/>
      <w:numFmt w:val="bullet"/>
      <w:start w:val="1"/>
    </w:lvl>
  </w:abstractNum>
  <w:abstractNum w:abstractNumId="121">
    <w:nsid w:val="2AE05A34"/>
    <w:multiLevelType w:val="hybridMultilevel"/>
    <w:lvl w:ilvl="0">
      <w:lvlJc w:val="left"/>
      <w:lvlText w:val="(%1)"/>
      <w:numFmt w:val="decimal"/>
      <w:start w:val="1"/>
    </w:lvl>
  </w:abstractNum>
  <w:abstractNum w:abstractNumId="122">
    <w:nsid w:val="32794FF7"/>
    <w:multiLevelType w:val="hybridMultilevel"/>
    <w:lvl w:ilvl="0">
      <w:lvlJc w:val="left"/>
      <w:lvlText w:val="%1."/>
      <w:numFmt w:val="decimal"/>
      <w:start w:val="2"/>
    </w:lvl>
  </w:abstractNum>
  <w:abstractNum w:abstractNumId="123">
    <w:nsid w:val="5454945E"/>
    <w:multiLevelType w:val="hybridMultilevel"/>
    <w:lvl w:ilvl="0">
      <w:lvlJc w:val="left"/>
      <w:lvlText w:val="•"/>
      <w:numFmt w:val="bullet"/>
      <w:start w:val="1"/>
    </w:lvl>
  </w:abstractNum>
  <w:abstractNum w:abstractNumId="124">
    <w:nsid w:val="4DEFDFA0"/>
    <w:multiLevelType w:val="hybridMultilevel"/>
    <w:lvl w:ilvl="0">
      <w:lvlJc w:val="left"/>
      <w:lvlText w:val="(%1)"/>
      <w:numFmt w:val="decimal"/>
      <w:start w:val="1"/>
    </w:lvl>
  </w:abstractNum>
  <w:abstractNum w:abstractNumId="125">
    <w:nsid w:val="2123D5F2"/>
    <w:multiLevelType w:val="hybridMultilevel"/>
    <w:lvl w:ilvl="0">
      <w:lvlJc w:val="left"/>
      <w:lvlText w:val="(%1)"/>
      <w:numFmt w:val="decimal"/>
      <w:start w:val="1"/>
    </w:lvl>
  </w:abstractNum>
  <w:abstractNum w:abstractNumId="126">
    <w:nsid w:val="135B8110"/>
    <w:multiLevelType w:val="hybridMultilevel"/>
    <w:lvl w:ilvl="0">
      <w:lvlJc w:val="left"/>
      <w:lvlText w:val="(%1)"/>
      <w:numFmt w:val="decimal"/>
      <w:start w:val="1"/>
    </w:lvl>
  </w:abstractNum>
  <w:abstractNum w:abstractNumId="127">
    <w:nsid w:val="94927A8"/>
    <w:multiLevelType w:val="hybridMultilevel"/>
    <w:lvl w:ilvl="0">
      <w:lvlJc w:val="left"/>
      <w:lvlText w:val="%1."/>
      <w:numFmt w:val="decimal"/>
      <w:start w:val="5"/>
    </w:lvl>
  </w:abstractNum>
  <w:abstractNum w:abstractNumId="128">
    <w:nsid w:val="DCDF8F6"/>
    <w:multiLevelType w:val="hybridMultilevel"/>
    <w:lvl w:ilvl="0">
      <w:lvlJc w:val="left"/>
      <w:lvlText w:val="•"/>
      <w:numFmt w:val="bullet"/>
      <w:start w:val="1"/>
    </w:lvl>
  </w:abstractNum>
  <w:abstractNum w:abstractNumId="129">
    <w:nsid w:val="52D7B105"/>
    <w:multiLevelType w:val="hybridMultilevel"/>
    <w:lvl w:ilvl="0">
      <w:lvlJc w:val="left"/>
      <w:lvlText w:val="%1."/>
      <w:numFmt w:val="decimal"/>
      <w:start w:val="8"/>
    </w:lvl>
  </w:abstractNum>
  <w:abstractNum w:abstractNumId="130">
    <w:nsid w:val="2E8A6394"/>
    <w:multiLevelType w:val="hybridMultilevel"/>
    <w:lvl w:ilvl="0">
      <w:lvlJc w:val="left"/>
      <w:lvlText w:val="%1."/>
      <w:numFmt w:val="decimal"/>
      <w:start w:val="14"/>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lowerLetter"/>
      <w:start w:val="3"/>
    </w:lvl>
  </w:abstractNum>
  <w:abstractNum w:abstractNumId="133">
    <w:nsid w:val="BAAC1B4"/>
    <w:multiLevelType w:val="hybridMultilevel"/>
    <w:lvl w:ilvl="0">
      <w:lvlJc w:val="left"/>
      <w:lvlText w:val="(%1)"/>
      <w:numFmt w:val="lowerLetter"/>
      <w:start w:val="9"/>
    </w:lvl>
  </w:abstractNum>
  <w:abstractNum w:abstractNumId="134">
    <w:nsid w:val="36B2ACBC"/>
    <w:multiLevelType w:val="hybridMultilevel"/>
    <w:lvl w:ilvl="0">
      <w:lvlJc w:val="left"/>
      <w:lvlText w:val="%1"/>
      <w:numFmt w:val="decimal"/>
      <w:start w:val="104"/>
    </w:lvl>
  </w:abstractNum>
  <w:abstractNum w:abstractNumId="135">
    <w:nsid w:val="779D8544"/>
    <w:multiLevelType w:val="hybridMultilevel"/>
    <w:lvl w:ilvl="0">
      <w:lvlJc w:val="left"/>
      <w:lvlText w:val="†"/>
      <w:numFmt w:val="bullet"/>
      <w:start w:val="1"/>
    </w:lvl>
  </w:abstractNum>
  <w:abstractNum w:abstractNumId="136">
    <w:nsid w:val="4AB26E78"/>
    <w:multiLevelType w:val="hybridMultilevel"/>
    <w:lvl w:ilvl="0">
      <w:lvlJc w:val="left"/>
      <w:lvlText w:val="%1."/>
      <w:numFmt w:val="decimal"/>
      <w:start w:val="1"/>
    </w:lvl>
    <w:lvl w:ilvl="1">
      <w:lvlJc w:val="left"/>
      <w:lvlText w:val="(%2)"/>
      <w:numFmt w:val="lowerRoman"/>
      <w:start w:val="1"/>
    </w:lvl>
  </w:abstractNum>
  <w:abstractNum w:abstractNumId="137">
    <w:nsid w:val="21FAA2FA"/>
    <w:multiLevelType w:val="hybridMultilevel"/>
    <w:lvl w:ilvl="0">
      <w:lvlJc w:val="left"/>
      <w:lvlText w:val="%1."/>
      <w:numFmt w:val="decimal"/>
      <w:start w:val="3"/>
    </w:lvl>
    <w:lvl w:ilvl="1">
      <w:lvlJc w:val="left"/>
      <w:lvlText w:val="(%2)"/>
      <w:numFmt w:val="lowerRoman"/>
      <w:start w:val="1"/>
    </w:lvl>
  </w:abstractNum>
  <w:abstractNum w:abstractNumId="138">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9">
    <w:nsid w:val="6181EF69"/>
    <w:multiLevelType w:val="hybridMultilevel"/>
    <w:lvl w:ilvl="0">
      <w:lvlJc w:val="left"/>
      <w:lvlText w:val="%1."/>
      <w:numFmt w:val="decimal"/>
      <w:start w:val="3"/>
    </w:lvl>
    <w:lvl w:ilvl="1">
      <w:lvlJc w:val="left"/>
      <w:lvlText w:val="(%2)"/>
      <w:numFmt w:val="lowerLetter"/>
      <w:start w:val="1"/>
    </w:lvl>
  </w:abstractNum>
  <w:abstractNum w:abstractNumId="140">
    <w:nsid w:val="3E6400E6"/>
    <w:multiLevelType w:val="hybridMultilevel"/>
    <w:lvl w:ilvl="0">
      <w:lvlJc w:val="left"/>
      <w:lvlText w:val="(%1)"/>
      <w:numFmt w:val="lowerLetter"/>
      <w:start w:val="1"/>
    </w:lvl>
    <w:lvl w:ilvl="1">
      <w:lvlJc w:val="left"/>
      <w:lvlText w:val="(%2)"/>
      <w:numFmt w:val="lowerRoman"/>
      <w:start w:val="1"/>
    </w:lvl>
  </w:abstractNum>
  <w:abstractNum w:abstractNumId="141">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2">
    <w:nsid w:val="710757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5"/>
    </w:lvl>
  </w:abstractNum>
  <w:abstractNum w:abstractNumId="143">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4">
    <w:nsid w:val="424479DA"/>
    <w:multiLevelType w:val="hybridMultilevel"/>
    <w:lvl w:ilvl="0">
      <w:lvlJc w:val="left"/>
      <w:lvlText w:val="(%1)"/>
      <w:numFmt w:val="lowerLetter"/>
      <w:start w:val="6"/>
    </w:lvl>
    <w:lvl w:ilvl="1">
      <w:lvlJc w:val="left"/>
      <w:lvlText w:val="(%2)"/>
      <w:numFmt w:val="lowerRoman"/>
      <w:start w:val="1"/>
    </w:lvl>
  </w:abstractNum>
  <w:abstractNum w:abstractNumId="145">
    <w:nsid w:val="1A9A9E69"/>
    <w:multiLevelType w:val="hybridMultilevel"/>
    <w:lvl w:ilvl="0">
      <w:lvlJc w:val="left"/>
      <w:lvlText w:val="(%1)"/>
      <w:numFmt w:val="lowerRoman"/>
      <w:start w:val="1"/>
    </w:lvl>
  </w:abstractNum>
  <w:abstractNum w:abstractNumId="146">
    <w:nsid w:val="475E256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47">
    <w:nsid w:val="368DB3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48">
    <w:nsid w:val="6A3B714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49">
    <w:nsid w:val="327B517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50">
    <w:nsid w:val="1F461B51"/>
    <w:multiLevelType w:val="hybridMultilevel"/>
    <w:lvl w:ilvl="0">
      <w:lvlJc w:val="left"/>
      <w:lvlText w:val="%1"/>
      <w:numFmt w:val="decimal"/>
      <w:start w:val="1"/>
    </w:lvl>
    <w:lvl w:ilvl="1">
      <w:lvlJc w:val="left"/>
      <w:lvlText w:val="(%2)"/>
      <w:numFmt w:val="lowerLetter"/>
      <w:start w:val="3"/>
    </w:lvl>
  </w:abstractNum>
  <w:abstractNum w:abstractNumId="151">
    <w:nsid w:val="29BACF25"/>
    <w:multiLevelType w:val="hybridMultilevel"/>
    <w:lvl w:ilvl="0">
      <w:lvlJc w:val="left"/>
      <w:lvlText w:val="%1."/>
      <w:numFmt w:val="decimal"/>
      <w:start w:val="6"/>
    </w:lvl>
    <w:lvl w:ilvl="1">
      <w:lvlJc w:val="left"/>
      <w:lvlText w:val="(%2)"/>
      <w:numFmt w:val="lowerLetter"/>
      <w:start w:val="1"/>
    </w:lvl>
  </w:abstractNum>
  <w:abstractNum w:abstractNumId="152">
    <w:nsid w:val="5D5BABB3"/>
    <w:multiLevelType w:val="hybridMultilevel"/>
    <w:lvl w:ilvl="0">
      <w:lvlJc w:val="left"/>
      <w:lvlText w:val="(%1)"/>
      <w:numFmt w:val="lowerRoman"/>
      <w:start w:val="1"/>
    </w:lvl>
  </w:abstractNum>
  <w:abstractNum w:abstractNumId="153">
    <w:nsid w:val="51BF6B48"/>
    <w:multiLevelType w:val="hybridMultilevel"/>
    <w:lvl w:ilvl="0">
      <w:lvlJc w:val="left"/>
      <w:lvlText w:val="(%1)"/>
      <w:numFmt w:val="lowerRoman"/>
      <w:start w:val="2"/>
    </w:lvl>
  </w:abstractNum>
  <w:abstractNum w:abstractNumId="154">
    <w:nsid w:val="7E0F6384"/>
    <w:multiLevelType w:val="hybridMultilevel"/>
    <w:lvl w:ilvl="0">
      <w:lvlJc w:val="left"/>
      <w:lvlText w:val="(%1)"/>
      <w:numFmt w:val="lowerLetter"/>
      <w:start w:val="4"/>
    </w:lvl>
  </w:abstractNum>
  <w:abstractNum w:abstractNumId="155">
    <w:nsid w:val="2B4B8B5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6">
    <w:nsid w:val="72E341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7">
    <w:nsid w:val="116AE4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58">
    <w:nsid w:val="3494B2FB"/>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8"/>
    </w:lvl>
  </w:abstractNum>
  <w:abstractNum w:abstractNumId="159">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0">
    <w:nsid w:val="644295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1">
    <w:nsid w:val="631F169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2">
    <w:nsid w:val="25973E3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63">
    <w:nsid w:val="EAD6F57"/>
    <w:multiLevelType w:val="hybridMultilevel"/>
    <w:lvl w:ilvl="0">
      <w:lvlJc w:val="left"/>
      <w:lvlText w:val="%1"/>
      <w:numFmt w:val="decimal"/>
      <w:start w:val="1"/>
    </w:lvl>
    <w:lvl w:ilvl="1">
      <w:lvlJc w:val="left"/>
      <w:lvlText w:val="(%2)"/>
      <w:numFmt w:val="lowerLetter"/>
      <w:start w:val="3"/>
    </w:lvl>
  </w:abstractNum>
  <w:abstractNum w:abstractNumId="164">
    <w:nsid w:val="6EC9D844"/>
    <w:multiLevelType w:val="hybridMultilevel"/>
    <w:lvl w:ilvl="0">
      <w:lvlJc w:val="left"/>
      <w:lvlText w:val="%1."/>
      <w:numFmt w:val="decimal"/>
      <w:start w:val="9"/>
    </w:lvl>
    <w:lvl w:ilvl="1">
      <w:lvlJc w:val="left"/>
      <w:lvlText w:val="(%2)"/>
      <w:numFmt w:val="lowerLetter"/>
      <w:start w:val="1"/>
    </w:lvl>
  </w:abstractNum>
  <w:abstractNum w:abstractNumId="165">
    <w:nsid w:val="5C49EAEE"/>
    <w:multiLevelType w:val="hybridMultilevel"/>
    <w:lvl w:ilvl="0">
      <w:lvlJc w:val="left"/>
      <w:lvlText w:val="(%1)"/>
      <w:numFmt w:val="lowerLetter"/>
      <w:start w:val="5"/>
    </w:lvl>
  </w:abstractNum>
  <w:abstractNum w:abstractNumId="166">
    <w:nsid w:val="64AF49B"/>
    <w:multiLevelType w:val="hybridMultilevel"/>
    <w:lvl w:ilvl="0">
      <w:lvlJc w:val="left"/>
      <w:lvlText w:val="(%1)"/>
      <w:numFmt w:val="lowerLetter"/>
      <w:start w:val="10"/>
    </w:lvl>
  </w:abstractNum>
  <w:abstractNum w:abstractNumId="167">
    <w:nsid w:val="397C46BC"/>
    <w:multiLevelType w:val="hybridMultilevel"/>
    <w:lvl w:ilvl="0">
      <w:lvlJc w:val="left"/>
      <w:lvlText w:val="%1"/>
      <w:numFmt w:val="decimal"/>
      <w:start w:val="1"/>
    </w:lvl>
    <w:lvl w:ilvl="1">
      <w:lvlJc w:val="left"/>
      <w:lvlText w:val="(%2)"/>
      <w:numFmt w:val="lowerLetter"/>
      <w:start w:val="15"/>
    </w:lvl>
  </w:abstractNum>
  <w:abstractNum w:abstractNumId="168">
    <w:nsid w:val="7E448DE9"/>
    <w:multiLevelType w:val="hybridMultilevel"/>
    <w:lvl w:ilvl="0">
      <w:lvlJc w:val="left"/>
      <w:lvlText w:val="%1."/>
      <w:numFmt w:val="decimal"/>
      <w:start w:val="10"/>
    </w:lvl>
    <w:lvl w:ilvl="1">
      <w:lvlJc w:val="left"/>
      <w:lvlText w:val="%2"/>
      <w:numFmt w:val="lowerLetter"/>
      <w:start w:val="1"/>
    </w:lvl>
  </w:abstractNum>
  <w:abstractNum w:abstractNumId="169">
    <w:nsid w:val="5A9CC3E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70">
    <w:nsid w:val="1AFE3625"/>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71">
    <w:nsid w:val="3CA88ECF"/>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72">
    <w:nsid w:val="6EBE4208"/>
    <w:multiLevelType w:val="hybridMultilevel"/>
    <w:lvl w:ilvl="0">
      <w:lvlJc w:val="left"/>
      <w:lvlText w:val="(%1)"/>
      <w:numFmt w:val="lowerRoman"/>
      <w:start w:val="2"/>
    </w:lvl>
    <w:lvl w:ilvl="1">
      <w:lvlJc w:val="left"/>
      <w:lvlText w:val="(%2)"/>
      <w:numFmt w:val="decimal"/>
      <w:start w:val="1"/>
    </w:lvl>
  </w:abstractNum>
  <w:abstractNum w:abstractNumId="173">
    <w:nsid w:val="C058DF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74">
    <w:nsid w:val="CBE5BE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75">
    <w:nsid w:val="3102BBE2"/>
    <w:multiLevelType w:val="hybridMultilevel"/>
    <w:lvl w:ilvl="0">
      <w:lvlJc w:val="left"/>
      <w:lvlText w:val="%1."/>
      <w:numFmt w:val="decimal"/>
      <w:start w:val="12"/>
    </w:lvl>
  </w:abstractNum>
  <w:abstractNum w:abstractNumId="176">
    <w:nsid w:val="26A02C5E"/>
    <w:multiLevelType w:val="hybridMultilevel"/>
    <w:lvl w:ilvl="0">
      <w:lvlJc w:val="left"/>
      <w:lvlText w:val="%1."/>
      <w:numFmt w:val="decimal"/>
      <w:start w:val="13"/>
    </w:lvl>
  </w:abstractNum>
  <w:abstractNum w:abstractNumId="177">
    <w:nsid w:val="541C8153"/>
    <w:multiLevelType w:val="hybridMultilevel"/>
    <w:lvl w:ilvl="0">
      <w:lvlJc w:val="left"/>
      <w:lvlText w:val="%1."/>
      <w:numFmt w:val="decimal"/>
      <w:start w:val="14"/>
    </w:lvl>
  </w:abstractNum>
  <w:abstractNum w:abstractNumId="178">
    <w:nsid w:val="67906F60"/>
    <w:multiLevelType w:val="hybridMultilevel"/>
    <w:lvl w:ilvl="0">
      <w:lvlJc w:val="left"/>
      <w:lvlText w:val="(%1)"/>
      <w:numFmt w:val="lowerLetter"/>
      <w:start w:val="1"/>
    </w:lvl>
  </w:abstractNum>
  <w:abstractNum w:abstractNumId="179">
    <w:nsid w:val="10DB9DAA"/>
    <w:multiLevelType w:val="hybridMultilevel"/>
    <w:lvl w:ilvl="0">
      <w:lvlJc w:val="left"/>
      <w:lvlText w:val="(%1)"/>
      <w:numFmt w:val="lowerLetter"/>
      <w:start w:val="10"/>
    </w:lvl>
    <w:lvl w:ilvl="1">
      <w:lvlJc w:val="left"/>
      <w:lvlText w:val="(%2)"/>
      <w:numFmt w:val="lowerRoman"/>
      <w:start w:val="1"/>
    </w:lvl>
  </w:abstractNum>
  <w:abstractNum w:abstractNumId="180">
    <w:nsid w:val="697D2D2"/>
    <w:multiLevelType w:val="hybridMultilevel"/>
    <w:lvl w:ilvl="0">
      <w:lvlJc w:val="left"/>
      <w:lvlText w:val="(%1)"/>
      <w:numFmt w:val="lowerRoman"/>
      <w:start w:val="4"/>
    </w:lvl>
  </w:abstractNum>
  <w:abstractNum w:abstractNumId="181">
    <w:nsid w:val="6D68AB2"/>
    <w:multiLevelType w:val="hybridMultilevel"/>
    <w:lvl w:ilvl="0">
      <w:lvlJc w:val="left"/>
      <w:lvlText w:val="(%1)"/>
      <w:numFmt w:val="lowerLetter"/>
      <w:start w:val="11"/>
    </w:lvl>
  </w:abstractNum>
  <w:abstractNum w:abstractNumId="182">
    <w:nsid w:val="3A966CD0"/>
    <w:multiLevelType w:val="hybridMultilevel"/>
    <w:lvl w:ilvl="0">
      <w:lvlJc w:val="left"/>
      <w:lvlText w:val="(%1)"/>
      <w:numFmt w:val="lowerLetter"/>
      <w:start w:val="17"/>
    </w:lvl>
    <w:lvl w:ilvl="1">
      <w:lvlJc w:val="left"/>
      <w:lvlText w:val="(%2)"/>
      <w:numFmt w:val="lowerRoman"/>
      <w:start w:val="1"/>
    </w:lvl>
  </w:abstractNum>
  <w:abstractNum w:abstractNumId="183">
    <w:nsid w:val="63F37E85"/>
    <w:multiLevelType w:val="hybridMultilevel"/>
    <w:lvl w:ilvl="0">
      <w:lvlJc w:val="left"/>
      <w:lvlText w:val="(%1)"/>
      <w:numFmt w:val="lowerLetter"/>
      <w:start w:val="18"/>
    </w:lvl>
  </w:abstractNum>
  <w:abstractNum w:abstractNumId="184">
    <w:nsid w:val="5895F5FA"/>
    <w:multiLevelType w:val="hybridMultilevel"/>
    <w:lvl w:ilvl="0">
      <w:lvlJc w:val="left"/>
      <w:lvlText w:val="(%1)"/>
      <w:numFmt w:val="lowerLetter"/>
      <w:start w:val="23"/>
    </w:lvl>
    <w:lvl w:ilvl="1">
      <w:lvlJc w:val="left"/>
      <w:lvlText w:val="(%2)"/>
      <w:numFmt w:val="lowerRoman"/>
      <w:start w:val="1"/>
    </w:lvl>
  </w:abstractNum>
  <w:abstractNum w:abstractNumId="185">
    <w:nsid w:val="38A5D054"/>
    <w:multiLevelType w:val="hybridMultilevel"/>
    <w:lvl w:ilvl="0">
      <w:lvlJc w:val="left"/>
      <w:lvlText w:val="(%1)"/>
      <w:numFmt w:val="lowerLetter"/>
      <w:start w:val="27"/>
    </w:lvl>
  </w:abstractNum>
  <w:abstractNum w:abstractNumId="186">
    <w:nsid w:val="F3F09D8"/>
    <w:multiLevelType w:val="hybridMultilevel"/>
    <w:lvl w:ilvl="0">
      <w:lvlJc w:val="left"/>
      <w:lvlText w:val="(%1)"/>
      <w:numFmt w:val="lowerLetter"/>
      <w:start w:val="29"/>
    </w:lvl>
  </w:abstractNum>
  <w:abstractNum w:abstractNumId="187">
    <w:nsid w:val="4B793735"/>
    <w:multiLevelType w:val="hybridMultilevel"/>
    <w:lvl w:ilvl="0">
      <w:lvlJc w:val="left"/>
      <w:lvlText w:val="(%1)"/>
      <w:numFmt w:val="lowerLetter"/>
      <w:start w:val="39"/>
    </w:lvl>
  </w:abstractNum>
  <w:abstractNum w:abstractNumId="188">
    <w:nsid w:val="4A10B4E8"/>
    <w:multiLevelType w:val="hybridMultilevel"/>
    <w:lvl w:ilvl="0">
      <w:lvlJc w:val="left"/>
      <w:lvlText w:val="(%1)"/>
      <w:numFmt w:val="lowerLetter"/>
      <w:start w:val="44"/>
    </w:lvl>
  </w:abstractNum>
  <w:abstractNum w:abstractNumId="189">
    <w:nsid w:val="43D3BCD4"/>
    <w:multiLevelType w:val="hybridMultilevel"/>
    <w:lvl w:ilvl="0">
      <w:lvlJc w:val="left"/>
      <w:lvlText w:val="(%1)"/>
      <w:numFmt w:val="lowerLetter"/>
      <w:start w:val="51"/>
    </w:lvl>
  </w:abstractNum>
  <w:abstractNum w:abstractNumId="190">
    <w:nsid w:val="4C2A7166"/>
    <w:multiLevelType w:val="hybridMultilevel"/>
    <w:lvl w:ilvl="0">
      <w:lvlJc w:val="left"/>
      <w:lvlText w:val="(%1)"/>
      <w:numFmt w:val="lowerLetter"/>
      <w:start w:val="53"/>
    </w:lvl>
  </w:abstractNum>
  <w:abstractNum w:abstractNumId="191">
    <w:nsid w:val="2E534A82"/>
    <w:multiLevelType w:val="hybridMultilevel"/>
    <w:lvl w:ilvl="0">
      <w:lvlJc w:val="left"/>
      <w:lvlText w:val="(%1)"/>
      <w:numFmt w:val="lowerLetter"/>
      <w:start w:val="63"/>
    </w:lvl>
  </w:abstractNum>
  <w:abstractNum w:abstractNumId="192">
    <w:nsid w:val="26F2D364"/>
    <w:multiLevelType w:val="hybridMultilevel"/>
    <w:lvl w:ilvl="0">
      <w:lvlJc w:val="left"/>
      <w:lvlText w:val="•"/>
      <w:numFmt w:val="bullet"/>
      <w:start w:val="1"/>
    </w:lvl>
  </w:abstractNum>
  <w:abstractNum w:abstractNumId="193">
    <w:nsid w:val="71C1AF98"/>
    <w:multiLevelType w:val="hybridMultilevel"/>
    <w:lvl w:ilvl="0">
      <w:lvlJc w:val="left"/>
      <w:lvlText w:val="•"/>
      <w:numFmt w:val="bullet"/>
      <w:start w:val="1"/>
    </w:lvl>
  </w:abstractNum>
  <w:abstractNum w:abstractNumId="194">
    <w:nsid w:val="3D00B9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5">
    <w:nsid w:val="15BCABA8"/>
    <w:multiLevelType w:val="hybridMultilevel"/>
    <w:lvl w:ilvl="0">
      <w:lvlJc w:val="left"/>
      <w:lvlText w:val="(%1)"/>
      <w:numFmt w:val="lowerLetter"/>
      <w:start w:val="2"/>
    </w:lvl>
  </w:abstractNum>
  <w:abstractNum w:abstractNumId="196">
    <w:nsid w:val="4E0B9A8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97">
    <w:nsid w:val="434BAE7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8">
    <w:nsid w:val="4F38F26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99">
    <w:nsid w:val="4C50287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00">
    <w:nsid w:val="1DE8725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01">
    <w:nsid w:val="6A37288A"/>
    <w:multiLevelType w:val="hybridMultilevel"/>
    <w:lvl w:ilvl="0">
      <w:lvlJc w:val="left"/>
      <w:lvlText w:val="%1."/>
      <w:numFmt w:val="decimal"/>
      <w:start w:val="8"/>
    </w:lvl>
  </w:abstractNum>
  <w:abstractNum w:abstractNumId="202">
    <w:nsid w:val="8F8B73F"/>
    <w:multiLevelType w:val="hybridMultilevel"/>
    <w:lvl w:ilvl="0">
      <w:lvlJc w:val="left"/>
      <w:lvlText w:val="•"/>
      <w:numFmt w:val="bullet"/>
      <w:start w:val="1"/>
    </w:lvl>
  </w:abstractNum>
  <w:abstractNum w:abstractNumId="203">
    <w:nsid w:val="CA6B462"/>
    <w:multiLevelType w:val="hybridMultilevel"/>
    <w:lvl w:ilvl="0">
      <w:lvlJc w:val="left"/>
      <w:lvlText w:val="•"/>
      <w:numFmt w:val="bullet"/>
      <w:start w:val="1"/>
    </w:lvl>
  </w:abstractNum>
  <w:abstractNum w:abstractNumId="204">
    <w:nsid w:val="763CB680"/>
    <w:multiLevelType w:val="hybridMultilevel"/>
    <w:lvl w:ilvl="0">
      <w:lvlJc w:val="left"/>
      <w:lvlText w:val="%1."/>
      <w:numFmt w:val="decimal"/>
      <w:start w:val="1"/>
    </w:lvl>
    <w:lvl w:ilvl="1">
      <w:lvlJc w:val="left"/>
      <w:lvlText w:val="(%2)"/>
      <w:numFmt w:val="lowerLetter"/>
      <w:start w:val="1"/>
    </w:lvl>
  </w:abstractNum>
  <w:abstractNum w:abstractNumId="205">
    <w:nsid w:val="15B71329"/>
    <w:multiLevelType w:val="hybridMultilevel"/>
    <w:lvl w:ilvl="0">
      <w:lvlJc w:val="left"/>
      <w:lvlText w:val="%1"/>
      <w:numFmt w:val="lowerLetter"/>
      <w:start w:val="1"/>
    </w:lvl>
    <w:lvl w:ilvl="1">
      <w:lvlJc w:val="left"/>
      <w:lvlText w:val="(%2)"/>
      <w:numFmt w:val="lowerLetter"/>
      <w:start w:val="2"/>
    </w:lvl>
  </w:abstractNum>
  <w:abstractNum w:abstractNumId="206">
    <w:nsid w:val="3DA97044"/>
    <w:multiLevelType w:val="hybridMultilevel"/>
    <w:lvl w:ilvl="0">
      <w:lvlJc w:val="left"/>
      <w:lvlText w:val="(%1)"/>
      <w:numFmt w:val="lowerLetter"/>
      <w:start w:val="35"/>
    </w:lvl>
    <w:lvl w:ilvl="1">
      <w:lvlJc w:val="left"/>
      <w:lvlText w:val="(%2)"/>
      <w:numFmt w:val="lowerLetter"/>
      <w:start w:val="3"/>
    </w:lvl>
  </w:abstractNum>
  <w:abstractNum w:abstractNumId="207">
    <w:nsid w:val="1CDCE2DE"/>
    <w:multiLevelType w:val="hybridMultilevel"/>
    <w:lvl w:ilvl="0">
      <w:lvlJc w:val="left"/>
      <w:lvlText w:val="%1."/>
      <w:numFmt w:val="decimal"/>
      <w:start w:val="5"/>
    </w:lvl>
  </w:abstractNum>
  <w:abstractNum w:abstractNumId="208">
    <w:nsid w:val="69D3947C"/>
    <w:multiLevelType w:val="hybridMultilevel"/>
    <w:lvl w:ilvl="0">
      <w:lvlJc w:val="left"/>
      <w:lvlText w:val="(%1)"/>
      <w:numFmt w:val="lowerLetter"/>
      <w:start w:val="1"/>
    </w:lvl>
  </w:abstractNum>
  <w:abstractNum w:abstractNumId="209">
    <w:nsid w:val="2539DFA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10">
    <w:nsid w:val="2DB8808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11">
    <w:nsid w:val="706B674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12">
    <w:nsid w:val="2C106A57"/>
    <w:multiLevelType w:val="hybridMultilevel"/>
    <w:lvl w:ilvl="0">
      <w:lvlJc w:val="left"/>
      <w:lvlText w:val="%1."/>
      <w:numFmt w:val="decimal"/>
      <w:start w:val="9"/>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91" Type="http://schemas.openxmlformats.org/officeDocument/2006/relationships/image" Target="media/image476.png"/><Relationship Id="rId506"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jpe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1" Type="http://schemas.openxmlformats.org/officeDocument/2006/relationships/image" Target="media/image501.png"/><Relationship Id="rId542" Type="http://schemas.openxmlformats.org/officeDocument/2006/relationships/image" Target="media/image502.png"/><Relationship Id="rId543" Type="http://schemas.openxmlformats.org/officeDocument/2006/relationships/image" Target="media/image503.png"/><Relationship Id="rId544" Type="http://schemas.openxmlformats.org/officeDocument/2006/relationships/image" Target="media/image504.pn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550" Type="http://schemas.openxmlformats.org/officeDocument/2006/relationships/image" Target="media/image510.png"/><Relationship Id="rId551" Type="http://schemas.openxmlformats.org/officeDocument/2006/relationships/image" Target="media/image511.png"/><Relationship Id="rId552" Type="http://schemas.openxmlformats.org/officeDocument/2006/relationships/image" Target="media/image512.png"/><Relationship Id="rId553" Type="http://schemas.openxmlformats.org/officeDocument/2006/relationships/image" Target="media/image513.png"/><Relationship Id="rId554" Type="http://schemas.openxmlformats.org/officeDocument/2006/relationships/image" Target="media/image514.png"/><Relationship Id="rId555" Type="http://schemas.openxmlformats.org/officeDocument/2006/relationships/image" Target="media/image515.png"/><Relationship Id="rId556" Type="http://schemas.openxmlformats.org/officeDocument/2006/relationships/image" Target="media/image516.png"/><Relationship Id="rId557" Type="http://schemas.openxmlformats.org/officeDocument/2006/relationships/image" Target="media/image517.png"/><Relationship Id="rId558" Type="http://schemas.openxmlformats.org/officeDocument/2006/relationships/image" Target="media/image518.png"/><Relationship Id="rId559" Type="http://schemas.openxmlformats.org/officeDocument/2006/relationships/image" Target="media/image519.png"/><Relationship Id="rId560" Type="http://schemas.openxmlformats.org/officeDocument/2006/relationships/image" Target="media/image520.png"/><Relationship Id="rId561" Type="http://schemas.openxmlformats.org/officeDocument/2006/relationships/image" Target="media/image521.png"/><Relationship Id="rId562" Type="http://schemas.openxmlformats.org/officeDocument/2006/relationships/image" Target="media/image522.png"/><Relationship Id="rId563" Type="http://schemas.openxmlformats.org/officeDocument/2006/relationships/image" Target="media/image523.png"/><Relationship Id="rId564" Type="http://schemas.openxmlformats.org/officeDocument/2006/relationships/image" Target="media/image524.png"/><Relationship Id="rId565" Type="http://schemas.openxmlformats.org/officeDocument/2006/relationships/image" Target="media/image525.png"/><Relationship Id="rId566" Type="http://schemas.openxmlformats.org/officeDocument/2006/relationships/image" Target="media/image526.png"/><Relationship Id="rId567" Type="http://schemas.openxmlformats.org/officeDocument/2006/relationships/image" Target="media/image527.png"/><Relationship Id="rId568" Type="http://schemas.openxmlformats.org/officeDocument/2006/relationships/image" Target="media/image528.png"/><Relationship Id="rId569" Type="http://schemas.openxmlformats.org/officeDocument/2006/relationships/image" Target="media/image529.png"/><Relationship Id="rId570" Type="http://schemas.openxmlformats.org/officeDocument/2006/relationships/image" Target="media/image530.png"/><Relationship Id="rId571" Type="http://schemas.openxmlformats.org/officeDocument/2006/relationships/image" Target="media/image531.png"/><Relationship Id="rId572" Type="http://schemas.openxmlformats.org/officeDocument/2006/relationships/image" Target="media/image532.png"/><Relationship Id="rId573" Type="http://schemas.openxmlformats.org/officeDocument/2006/relationships/image" Target="media/image533.png"/><Relationship Id="rId574" Type="http://schemas.openxmlformats.org/officeDocument/2006/relationships/image" Target="media/image534.png"/><Relationship Id="rId575" Type="http://schemas.openxmlformats.org/officeDocument/2006/relationships/image" Target="media/image535.png"/><Relationship Id="rId576" Type="http://schemas.openxmlformats.org/officeDocument/2006/relationships/image" Target="media/image536.png"/><Relationship Id="rId577" Type="http://schemas.openxmlformats.org/officeDocument/2006/relationships/image" Target="media/image537.png"/><Relationship Id="rId578" Type="http://schemas.openxmlformats.org/officeDocument/2006/relationships/image" Target="media/image538.png"/><Relationship Id="rId483" Type="http://schemas.openxmlformats.org/officeDocument/2006/relationships/hyperlink" Target="http://www.sec.gov/Archives/edgar/data/1854270/000119312522146450/d189920ds4a.htm#rom189920_361" TargetMode="External"/><Relationship Id="rId484" Type="http://schemas.openxmlformats.org/officeDocument/2006/relationships/hyperlink" Target="http://www.sec.gov/Archives/edgar/data/1854270/000119312522146450/d189920ds4a.htm#rom189920_361b" TargetMode="External"/><Relationship Id="rId485" Type="http://schemas.openxmlformats.org/officeDocument/2006/relationships/hyperlink" Target="http://www.sec.gov/Archives/edgar/data/1854270/000119312522158089/d282881dex21.htm" TargetMode="External"/><Relationship Id="rId486" Type="http://schemas.openxmlformats.org/officeDocument/2006/relationships/hyperlink" Target="http://www.sec.gov/Archives/edgar/data/1854270/000119312522174498/d360749dex31.htm" TargetMode="External"/><Relationship Id="rId487" Type="http://schemas.openxmlformats.org/officeDocument/2006/relationships/hyperlink" Target="http://www.sec.gov/Archives/edgar/data/1854270/000119312522174498/d360749dex32.htm" TargetMode="External"/><Relationship Id="rId488" Type="http://schemas.openxmlformats.org/officeDocument/2006/relationships/hyperlink" Target="http://www.sec.gov/Archives/edgar/data/1854270/000119312522174498/d360749dex41.htm" TargetMode="External"/><Relationship Id="rId489" Type="http://schemas.openxmlformats.org/officeDocument/2006/relationships/hyperlink" Target="http://www.sec.gov/Archives/edgar/data/1854270/000119312522158089/d282881dex101.htm" TargetMode="External"/><Relationship Id="rId490" Type="http://schemas.openxmlformats.org/officeDocument/2006/relationships/hyperlink" Target="http://www.sec.gov/Archives/edgar/data/1854270/000119312522041549/d189920dex102.htm" TargetMode="External"/><Relationship Id="rId492" Type="http://schemas.openxmlformats.org/officeDocument/2006/relationships/hyperlink" Target="http://www.sec.gov/Archives/edgar/data/1854270/000185427022000019/a6302210qex103.htm" TargetMode="External"/><Relationship Id="rId493" Type="http://schemas.openxmlformats.org/officeDocument/2006/relationships/hyperlink" Target="http://www.sec.gov/Archives/edgar/data/1854270/000185427022000019/a6302210qex104.htm" TargetMode="External"/><Relationship Id="rId494" Type="http://schemas.openxmlformats.org/officeDocument/2006/relationships/hyperlink" Target="http://www.sec.gov/Archives/edgar/data/1854270/000119312522146450/d189920dex105.htm" TargetMode="External"/><Relationship Id="rId495" Type="http://schemas.openxmlformats.org/officeDocument/2006/relationships/hyperlink" Target="http://www.sec.gov/Archives/edgar/data/1854270/000119312522041549/d189920dex106.htm" TargetMode="External"/><Relationship Id="rId496" Type="http://schemas.openxmlformats.org/officeDocument/2006/relationships/hyperlink" Target="http://www.sec.gov/Archives/edgar/data/1854270/000119312522041549/d189920dex107.htm" TargetMode="External"/><Relationship Id="rId497" Type="http://schemas.openxmlformats.org/officeDocument/2006/relationships/hyperlink" Target="http://www.sec.gov/Archives/edgar/data/1854270/000119312522041549/d189920dex108.htm" TargetMode="External"/><Relationship Id="rId498" Type="http://schemas.openxmlformats.org/officeDocument/2006/relationships/hyperlink" Target="http://www.sec.gov/Archives/edgar/data/1854270/000119312522041549/d189920dex109.htm" TargetMode="External"/><Relationship Id="rId499" Type="http://schemas.openxmlformats.org/officeDocument/2006/relationships/hyperlink" Target="http://www.sec.gov/Archives/edgar/data/1854270/000119312522041549/d189920dex1010.htm" TargetMode="External"/><Relationship Id="rId500" Type="http://schemas.openxmlformats.org/officeDocument/2006/relationships/hyperlink" Target="http://www.sec.gov/Archives/edgar/data/1854270/000119312522041549/d189920dex1011.htm" TargetMode="External"/><Relationship Id="rId501" Type="http://schemas.openxmlformats.org/officeDocument/2006/relationships/hyperlink" Target="http://www.sec.gov/Archives/edgar/data/1854270/000119312522041549/d189920dex1012.htm" TargetMode="External"/><Relationship Id="rId502" Type="http://schemas.openxmlformats.org/officeDocument/2006/relationships/hyperlink" Target="http://www.sec.gov/Archives/edgar/data/1854270/000119312522041549/d189920dex1013.htm" TargetMode="External"/><Relationship Id="rId503" Type="http://schemas.openxmlformats.org/officeDocument/2006/relationships/hyperlink" Target="http://www.sec.gov/Archives/edgar/data/1854270/000119312522041549/d189920dex1014.htm" TargetMode="External"/><Relationship Id="rId504" Type="http://schemas.openxmlformats.org/officeDocument/2006/relationships/hyperlink" Target="http://www.sec.gov/Archives/edgar/data/1854270/000119312522041549/d189920dex1015.htm" TargetMode="External"/><Relationship Id="rId505" Type="http://schemas.openxmlformats.org/officeDocument/2006/relationships/hyperlink" Target="http://www.sec.gov/Archives/edgar/data/1854270/000119312522041549/d189920dex1016.htm" TargetMode="External"/><Relationship Id="rId507" Type="http://schemas.openxmlformats.org/officeDocument/2006/relationships/hyperlink" Target="http://www.sec.gov/Archives/edgar/data/1854270/000119312522041549/d189920dex1017.htm" TargetMode="External"/><Relationship Id="rId508" Type="http://schemas.openxmlformats.org/officeDocument/2006/relationships/hyperlink" Target="http://www.sec.gov/Archives/edgar/data/1854270/000119312522041549/d189920dex1018.htm" TargetMode="External"/><Relationship Id="rId509" Type="http://schemas.openxmlformats.org/officeDocument/2006/relationships/hyperlink" Target="http://www.sec.gov/Archives/edgar/data/1854270/000119312522174498/d360749dex104.htm" TargetMode="External"/><Relationship Id="rId510" Type="http://schemas.openxmlformats.org/officeDocument/2006/relationships/hyperlink" Target="http://www.sec.gov/Archives/edgar/data/1854270/000119312521361732/d263678dex101.htm" TargetMode="External"/><Relationship Id="rId511" Type="http://schemas.openxmlformats.org/officeDocument/2006/relationships/hyperlink" Target="http://www.sec.gov/ix?doc=/Archives/edgar/data/1854270/000119312522041549/d189920ds4.htm#rom189920_362" TargetMode="External"/><Relationship Id="rId512" Type="http://schemas.openxmlformats.org/officeDocument/2006/relationships/hyperlink" Target="http://www.sec.gov/ix?doc=/Archives/edgar/data/1854270/000119312522041549/d189920ds4.htm#rom189920_363" TargetMode="External"/><Relationship Id="rId513" Type="http://schemas.openxmlformats.org/officeDocument/2006/relationships/hyperlink" Target="http://www.sec.gov/Archives/edgar/data/1854270/000119312522041549/d189920dex1024.htm" TargetMode="External"/><Relationship Id="rId514" Type="http://schemas.openxmlformats.org/officeDocument/2006/relationships/hyperlink" Target="http://www.sec.gov/Archives/edgar/data/1854270/000185427022000028/a202208318kex101.htm" TargetMode="External"/><Relationship Id="rId515" Type="http://schemas.openxmlformats.org/officeDocument/2006/relationships/hyperlink" Target="http://www.sec.gov/Archives/edgar/data/1854270/000185427022000028/a202208318kex102.htm" TargetMode="External"/><Relationship Id="rId516" Type="http://schemas.openxmlformats.org/officeDocument/2006/relationships/hyperlink" Target="http://www.sec.gov/Archives/edgar/data/1854270/000119312522174498/d360749dex161.htm" TargetMode="External"/><Relationship Id="rId517" Type="http://schemas.openxmlformats.org/officeDocument/2006/relationships/hyperlink" Target="http://www.sec.gov/Archives/edgar/data/1854270/000119312522174498/d36074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2022-09-12T16:26:53Z</dcterms:created>
  <dcterms:modified xsi:type="dcterms:W3CDTF">2022-09-12T16:26:53Z</dcterms:modified>
</cp:coreProperties>
</file>