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14,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22" w:type="dxa"/>
        <w:jc w:val="center"/>
        <w:tblInd w:w="0" w:type="dxa"/>
        <w:tblLayout w:type="fixed"/>
        <w:tblCellMar>
          <w:top w:w="28" w:type="dxa"/>
          <w:left w:w="28" w:type="dxa"/>
          <w:bottom w:w="28" w:type="dxa"/>
          <w:right w:w="28" w:type="dxa"/>
        </w:tblCellMar>
      </w:tblPr>
      <w:tblGrid>
        <w:gridCol w:w="1388"/>
        <w:gridCol w:w="1217"/>
        <w:gridCol w:w="1234"/>
        <w:gridCol w:w="109"/>
        <w:gridCol w:w="109"/>
        <w:gridCol w:w="109"/>
        <w:gridCol w:w="274"/>
        <w:gridCol w:w="274"/>
        <w:gridCol w:w="276"/>
        <w:gridCol w:w="109"/>
        <w:gridCol w:w="109"/>
        <w:gridCol w:w="109"/>
        <w:gridCol w:w="733"/>
        <w:gridCol w:w="733"/>
        <w:gridCol w:w="1039"/>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2026, Senti Holdings, Inc. (“Senti Holdings”), a wholly owned subsidiary of Senti Biosciences Holdings, Inc. (the “Company”), issued and sold to Celadon Partners SPV 24 (“Celadon”) $4.0 million in aggregate principal amount of its Senior Secured Convertible Notes (the “Notes”) pursuant to the previously announced Securities Purchase Agreement, dated April 27, 2026, by and among the Company, Senti Holdings, Senti Biosciences, Inc. and Celadon.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Notes have the terms described under “Item 1.01 Entry into a Material Definitive Agreement—The Notes” in the Company’s Current Report on Form 8-K filed by the Company on May 1, 2026, as supplemented by the Company’s Current Report on Form 8-K filed by the Company on May 26, 2026, each of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contained above in Item 1.01 of this Current Report on Form 8-K is hereby incorporated by reference into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any Notes beyond the Exchange Cap (as defined in the Notes) and the potential transaction pursuant to which, if consummated, an entity affiliated with Celadon would merge with and into Senti Holdings and Senti Holdings would issue a contingent value right to the Company’s stockholders, which may pay out up to an aggregate of $60.0 million in cash subject to the achievement of certain regulatory and sales milestones with respect to the Company’s product candidate, SENTI-202 (the “Subject Transactions”), the Company has filed a preliminary proxy statement on Schedule 14A with the Securities and Exchange Commission (the “SEC”) on July 21, 2026. Promptly after filing its definitive proxy statement with the SEC, the Company will mail the proxy materials to each stockholder entitled to vote at the annual or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(as and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amendment to the Company’s Annual Report on Form 10-K for the year ended December 31, 2025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704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388"/>
        <w:gridCol w:w="388"/>
        <w:gridCol w:w="388"/>
        <w:gridCol w:w="388"/>
        <w:gridCol w:w="388"/>
        <w:gridCol w:w="388"/>
        <w:gridCol w:w="696"/>
        <w:gridCol w:w="696"/>
        <w:gridCol w:w="9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980</Words>
  <Characters>5516</Characters>
  <CharactersWithSpaces>6427</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