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86"/>
        <w:gridCol w:w="252"/>
        <w:gridCol w:w="252"/>
        <w:gridCol w:w="384"/>
        <w:gridCol w:w="384"/>
        <w:gridCol w:w="384"/>
        <w:gridCol w:w="384"/>
        <w:gridCol w:w="384"/>
        <w:gridCol w:w="384"/>
        <w:gridCol w:w="593"/>
        <w:gridCol w:w="593"/>
        <w:gridCol w:w="593"/>
        <w:gridCol w:w="572"/>
        <w:gridCol w:w="565"/>
        <w:gridCol w:w="565"/>
        <w:gridCol w:w="384"/>
        <w:gridCol w:w="384"/>
        <w:gridCol w:w="384"/>
        <w:gridCol w:w="384"/>
        <w:gridCol w:w="384"/>
        <w:gridCol w:w="384"/>
        <w:gridCol w:w="384"/>
        <w:gridCol w:w="384"/>
        <w:gridCol w:w="558"/>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UNITED STATES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WASHINGTON, D.C. 20549</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c>
          <w:tcPr>
            <w:tcW w:w="941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from ___to___</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 File Number 001-40440</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Senti Biosciences Holdings, Inc.</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12"/>
            <w:tcBorders/>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5332" w:type="dxa"/>
            <w:gridSpan w:val="12"/>
            <w:tcBorders/>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4873" w:type="dxa"/>
            <w:gridSpan w:val="12"/>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5332"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 Corporate Drive, First Floor</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South San Francisco, CA 94080</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(650) 239-2030</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bl>
    <w:tbl>
      <w:tblPr>
        <w:tblW w:w="9097" w:type="dxa"/>
        <w:jc w:val="center"/>
        <w:tblInd w:w="0" w:type="dxa"/>
        <w:tblLayout w:type="fixed"/>
        <w:tblCellMar>
          <w:top w:w="28" w:type="dxa"/>
          <w:left w:w="28" w:type="dxa"/>
          <w:bottom w:w="28" w:type="dxa"/>
          <w:right w:w="28" w:type="dxa"/>
        </w:tblCellMar>
      </w:tblPr>
      <w:tblGrid>
        <w:gridCol w:w="1329"/>
        <w:gridCol w:w="1165"/>
        <w:gridCol w:w="1181"/>
        <w:gridCol w:w="109"/>
        <w:gridCol w:w="109"/>
        <w:gridCol w:w="109"/>
        <w:gridCol w:w="484"/>
        <w:gridCol w:w="484"/>
        <w:gridCol w:w="486"/>
        <w:gridCol w:w="109"/>
        <w:gridCol w:w="109"/>
        <w:gridCol w:w="109"/>
        <w:gridCol w:w="970"/>
        <w:gridCol w:w="970"/>
        <w:gridCol w:w="1374"/>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July 31, 2026 there were 31,144,754 shares of the registrant’s common stock, par value $0.0001 per share,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57"/>
        <w:gridCol w:w="491"/>
        <w:gridCol w:w="491"/>
        <w:gridCol w:w="2744"/>
        <w:gridCol w:w="2689"/>
        <w:gridCol w:w="2659"/>
        <w:gridCol w:w="167"/>
        <w:gridCol w:w="167"/>
        <w:gridCol w:w="240"/>
      </w:tblGrid>
      <w:tr>
        <w:trPr/>
        <w:tc>
          <w:tcPr>
            <w:tcW w:w="5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0">
              <w:r>
                <w:rPr>
                  <w:rStyle w:val="InternetLink"/>
                  <w:rFonts w:ascii="Times New Roman;serif" w:hAnsi="Times New Roman;serif"/>
                  <w:b/>
                  <w:color w:val="0000FF"/>
                  <w:sz w:val="20"/>
                  <w:u w:val="single"/>
                </w:rPr>
                <w:t>PART I - FINANCIAL STATEMENTS</w:t>
              </w:r>
            </w:hyperlink>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3">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13">
              <w:r>
                <w:rPr>
                  <w:rStyle w:val="InternetLink"/>
                  <w:rFonts w:ascii="Times New Roman;serif" w:hAnsi="Times New Roman;serif"/>
                  <w:b w:val="false"/>
                  <w:color w:val="0000FF"/>
                  <w:sz w:val="20"/>
                  <w:u w:val="single"/>
                </w:rPr>
                <w:t>1</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6">
              <w:r>
                <w:rPr>
                  <w:rStyle w:val="InternetLink"/>
                  <w:rFonts w:ascii="Times New Roman;serif" w:hAnsi="Times New Roman;serif"/>
                  <w:b w:val="false"/>
                  <w:color w:val="0000FF"/>
                  <w:sz w:val="20"/>
                  <w:u w:val="single"/>
                </w:rPr>
                <w:t>Condensed Consolidated Balance Sheets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16">
              <w:r>
                <w:rPr>
                  <w:rStyle w:val="InternetLink"/>
                  <w:rFonts w:ascii="Times New Roman;serif" w:hAnsi="Times New Roman;serif"/>
                  <w:b w:val="false"/>
                  <w:color w:val="0000FF"/>
                  <w:sz w:val="20"/>
                  <w:u w:val="single"/>
                </w:rPr>
                <w:t>1</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9">
              <w:r>
                <w:rPr>
                  <w:rStyle w:val="InternetLink"/>
                  <w:rFonts w:ascii="Times New Roman;serif" w:hAnsi="Times New Roman;serif"/>
                  <w:b w:val="false"/>
                  <w:color w:val="0000FF"/>
                  <w:sz w:val="20"/>
                  <w:u w:val="single"/>
                </w:rPr>
                <w:t>Condensed Consolidated Statements of Operations and Comprehensive Loss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19">
              <w:r>
                <w:rPr>
                  <w:rStyle w:val="InternetLink"/>
                  <w:rFonts w:ascii="Times New Roman;serif" w:hAnsi="Times New Roman;serif"/>
                  <w:b w:val="false"/>
                  <w:color w:val="0000FF"/>
                  <w:sz w:val="20"/>
                  <w:u w:val="single"/>
                </w:rPr>
                <w:t>2</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2">
              <w:r>
                <w:rPr>
                  <w:rStyle w:val="InternetLink"/>
                  <w:rFonts w:ascii="Times New Roman;serif" w:hAnsi="Times New Roman;serif"/>
                  <w:b w:val="false"/>
                  <w:color w:val="0000FF"/>
                  <w:sz w:val="20"/>
                  <w:u w:val="single"/>
                </w:rPr>
                <w:t>Condensed Consolidated Statements of Stockholders’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2">
              <w:r>
                <w:rPr>
                  <w:rStyle w:val="InternetLink"/>
                  <w:rFonts w:ascii="Times New Roman;serif" w:hAnsi="Times New Roman;serif"/>
                  <w:b w:val="false"/>
                  <w:color w:val="0000FF"/>
                  <w:sz w:val="20"/>
                  <w:u w:val="single"/>
                </w:rPr>
                <w:t>3</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5">
              <w:r>
                <w:rPr>
                  <w:rStyle w:val="InternetLink"/>
                  <w:rFonts w:ascii="Times New Roman;serif" w:hAnsi="Times New Roman;serif"/>
                  <w:b w:val="false"/>
                  <w:color w:val="0000FF"/>
                  <w:sz w:val="20"/>
                  <w:u w:val="single"/>
                </w:rPr>
                <w:t>Condensed Consolidated Statements of Cash Flows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5">
              <w:r>
                <w:rPr>
                  <w:rStyle w:val="InternetLink"/>
                  <w:rFonts w:ascii="Times New Roman;serif" w:hAnsi="Times New Roman;serif"/>
                  <w:b w:val="false"/>
                  <w:color w:val="0000FF"/>
                  <w:sz w:val="20"/>
                  <w:u w:val="single"/>
                </w:rPr>
                <w:t>4</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8">
              <w:r>
                <w:rPr>
                  <w:rStyle w:val="InternetLink"/>
                  <w:rFonts w:ascii="Times New Roman;serif" w:hAnsi="Times New Roman;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8">
              <w:r>
                <w:rPr>
                  <w:rStyle w:val="InternetLink"/>
                  <w:rFonts w:ascii="Times New Roman;serif" w:hAnsi="Times New Roman;serif"/>
                  <w:b w:val="false"/>
                  <w:color w:val="0000FF"/>
                  <w:sz w:val="20"/>
                  <w:u w:val="single"/>
                </w:rPr>
                <w:t>6</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88">
              <w:r>
                <w:rPr>
                  <w:rStyle w:val="InternetLink"/>
                  <w:rFonts w:ascii="Times New Roman;serif" w:hAnsi="Times New Roman;serif"/>
                  <w:b w:val="false"/>
                  <w:color w:val="0000FF"/>
                  <w:sz w:val="20"/>
                  <w:u w:val="single"/>
                </w:rPr>
                <w:t>29</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54">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154">
              <w:r>
                <w:rPr>
                  <w:rStyle w:val="InternetLink"/>
                  <w:rFonts w:ascii="Times New Roman;serif" w:hAnsi="Times New Roman;serif"/>
                  <w:b w:val="false"/>
                  <w:color w:val="0000FF"/>
                  <w:sz w:val="20"/>
                  <w:u w:val="single"/>
                </w:rPr>
                <w:t>44</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57">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157">
              <w:r>
                <w:rPr>
                  <w:rStyle w:val="InternetLink"/>
                  <w:rFonts w:ascii="Times New Roman;serif" w:hAnsi="Times New Roman;serif"/>
                  <w:b w:val="false"/>
                  <w:color w:val="0000FF"/>
                  <w:sz w:val="20"/>
                  <w:u w:val="single"/>
                </w:rPr>
                <w:t>44</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60">
              <w:r>
                <w:rPr>
                  <w:rStyle w:val="InternetLink"/>
                  <w:rFonts w:ascii="Times New Roman;serif" w:hAnsi="Times New Roman;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63">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163">
              <w:r>
                <w:rPr>
                  <w:rStyle w:val="InternetLink"/>
                  <w:rFonts w:ascii="Times New Roman;serif" w:hAnsi="Times New Roman;serif"/>
                  <w:b w:val="false"/>
                  <w:color w:val="0000FF"/>
                  <w:sz w:val="20"/>
                  <w:u w:val="single"/>
                </w:rPr>
                <w:t>46</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166">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166">
              <w:r>
                <w:rPr>
                  <w:rStyle w:val="InternetLink"/>
                  <w:rFonts w:ascii="Times New Roman;serif" w:hAnsi="Times New Roman;serif"/>
                  <w:b w:val="false"/>
                  <w:color w:val="0000FF"/>
                  <w:sz w:val="20"/>
                  <w:u w:val="single"/>
                </w:rPr>
                <w:t>46</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02">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02">
              <w:r>
                <w:rPr>
                  <w:rStyle w:val="InternetLink"/>
                  <w:rFonts w:ascii="Times New Roman;serif" w:hAnsi="Times New Roman;serif"/>
                  <w:b w:val="false"/>
                  <w:color w:val="0000FF"/>
                  <w:sz w:val="20"/>
                  <w:u w:val="single"/>
                </w:rPr>
                <w:t>54</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05">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05">
              <w:r>
                <w:rPr>
                  <w:rStyle w:val="InternetLink"/>
                  <w:rFonts w:ascii="Times New Roman;serif" w:hAnsi="Times New Roman;serif"/>
                  <w:b w:val="false"/>
                  <w:color w:val="0000FF"/>
                  <w:sz w:val="20"/>
                  <w:u w:val="single"/>
                </w:rPr>
                <w:t>54</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08">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08">
              <w:r>
                <w:rPr>
                  <w:rStyle w:val="InternetLink"/>
                  <w:rFonts w:ascii="Times New Roman;serif" w:hAnsi="Times New Roman;serif"/>
                  <w:b w:val="false"/>
                  <w:color w:val="0000FF"/>
                  <w:sz w:val="20"/>
                  <w:u w:val="single"/>
                </w:rPr>
                <w:t>54</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11">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11">
              <w:r>
                <w:rPr>
                  <w:rStyle w:val="InternetLink"/>
                  <w:rFonts w:ascii="Times New Roman;serif" w:hAnsi="Times New Roman;serif"/>
                  <w:b w:val="false"/>
                  <w:color w:val="0000FF"/>
                  <w:sz w:val="20"/>
                  <w:u w:val="single"/>
                </w:rPr>
                <w:t>54</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14">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14">
              <w:r>
                <w:rPr>
                  <w:rStyle w:val="InternetLink"/>
                  <w:rFonts w:ascii="Times New Roman;serif" w:hAnsi="Times New Roman;serif"/>
                  <w:b w:val="false"/>
                  <w:color w:val="0000FF"/>
                  <w:sz w:val="20"/>
                  <w:u w:val="single"/>
                </w:rPr>
                <w:t>56</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eb3b190369445ca961fc06dd254474d_217">
              <w:r>
                <w:rPr>
                  <w:rStyle w:val="InternetLink"/>
                  <w:rFonts w:ascii="Times New Roman;serif" w:hAnsi="Times New Roman;serif"/>
                  <w:b/>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b3b190369445ca961fc06dd254474d_217">
              <w:r>
                <w:rPr>
                  <w:rStyle w:val="InternetLink"/>
                  <w:rFonts w:ascii="Times New Roman;serif" w:hAnsi="Times New Roman;serif"/>
                  <w:b w:val="false"/>
                  <w:color w:val="0000FF"/>
                  <w:sz w:val="20"/>
                  <w:u w:val="singl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br/>
        <w:t>(In thousands, except share and per share amounts)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74"/>
        <w:gridCol w:w="2327"/>
        <w:gridCol w:w="2330"/>
        <w:gridCol w:w="211"/>
        <w:gridCol w:w="721"/>
        <w:gridCol w:w="109"/>
        <w:gridCol w:w="109"/>
        <w:gridCol w:w="109"/>
        <w:gridCol w:w="109"/>
        <w:gridCol w:w="214"/>
        <w:gridCol w:w="733"/>
        <w:gridCol w:w="159"/>
      </w:tblGrid>
      <w:tr>
        <w:trPr/>
        <w:tc>
          <w:tcPr>
            <w:tcW w:w="3074"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receivable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prepaid expenses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LIABILITIES AND STOCKHOLDERS’ EQUITY (DEFICIT)</w:t>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deferred income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hyperlink w:anchor="i5eb3b190369445ca961fc06dd254474d_79">
              <w:r>
                <w:rPr>
                  <w:rStyle w:val="InternetLink"/>
                  <w:rFonts w:ascii="Times New Roman;serif" w:hAnsi="Times New Roman;serif"/>
                  <w:b w:val="false"/>
                  <w:color w:val="0000FF"/>
                  <w:sz w:val="20"/>
                  <w:u w:val="single"/>
                </w:rPr>
                <w:t>Note 14</w:t>
              </w:r>
            </w:hyperlink>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500,000,000 shares authorized as of both June 30, 2026 and December 31, 2025; 31,144,754 and 30,879,355 shares issued and outstanding as of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364,158 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61"/>
        <w:gridCol w:w="1325"/>
        <w:gridCol w:w="1332"/>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76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related party costs of $3,516 and $3,586 for the three months ended June 30, 2026 and 2025, respectively, and $3,798 and $7,656 for the six months ended June 30, 2026 and 2025, respectively)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 - related party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weighted-average number of shares used in computing net loss per share</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31,144,754 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26,081,273 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31,058,642 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18,091,478 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826" w:type="dxa"/>
        <w:jc w:val="left"/>
        <w:tblInd w:w="0" w:type="dxa"/>
        <w:tblLayout w:type="fixed"/>
        <w:tblCellMar>
          <w:top w:w="28" w:type="dxa"/>
          <w:left w:w="28" w:type="dxa"/>
          <w:bottom w:w="28" w:type="dxa"/>
          <w:right w:w="28" w:type="dxa"/>
        </w:tblCellMar>
      </w:tblPr>
      <w:tblGrid>
        <w:gridCol w:w="667"/>
        <w:gridCol w:w="296"/>
        <w:gridCol w:w="298"/>
        <w:gridCol w:w="367"/>
        <w:gridCol w:w="369"/>
        <w:gridCol w:w="192"/>
        <w:gridCol w:w="109"/>
        <w:gridCol w:w="109"/>
        <w:gridCol w:w="109"/>
        <w:gridCol w:w="211"/>
        <w:gridCol w:w="721"/>
        <w:gridCol w:w="109"/>
        <w:gridCol w:w="109"/>
        <w:gridCol w:w="109"/>
        <w:gridCol w:w="109"/>
        <w:gridCol w:w="540"/>
        <w:gridCol w:w="541"/>
        <w:gridCol w:w="196"/>
        <w:gridCol w:w="109"/>
        <w:gridCol w:w="109"/>
        <w:gridCol w:w="109"/>
        <w:gridCol w:w="253"/>
        <w:gridCol w:w="307"/>
        <w:gridCol w:w="131"/>
        <w:gridCol w:w="109"/>
        <w:gridCol w:w="109"/>
        <w:gridCol w:w="109"/>
        <w:gridCol w:w="211"/>
        <w:gridCol w:w="826"/>
        <w:gridCol w:w="109"/>
        <w:gridCol w:w="109"/>
        <w:gridCol w:w="109"/>
        <w:gridCol w:w="109"/>
        <w:gridCol w:w="109"/>
        <w:gridCol w:w="109"/>
        <w:gridCol w:w="211"/>
        <w:gridCol w:w="841"/>
        <w:gridCol w:w="109"/>
        <w:gridCol w:w="109"/>
        <w:gridCol w:w="109"/>
        <w:gridCol w:w="109"/>
        <w:gridCol w:w="221"/>
        <w:gridCol w:w="757"/>
        <w:gridCol w:w="16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30,879,355 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settlement of restricted stock units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31,144,754 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 from related party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31,144,754 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redeemable convertible preferred stock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vesting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early 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26,004,366 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ATM, net of commissions and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26,160,206 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5"/>
        <w:gridCol w:w="2404"/>
        <w:gridCol w:w="2410"/>
        <w:gridCol w:w="211"/>
        <w:gridCol w:w="786"/>
        <w:gridCol w:w="109"/>
        <w:gridCol w:w="109"/>
        <w:gridCol w:w="109"/>
        <w:gridCol w:w="109"/>
        <w:gridCol w:w="211"/>
        <w:gridCol w:w="786"/>
        <w:gridCol w:w="156"/>
      </w:tblGrid>
      <w:tr>
        <w:trPr/>
        <w:tc>
          <w:tcPr>
            <w:tcW w:w="2805"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convertible notes - related party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issuance costs included in net loss - related party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charges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receivable - related party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prepaid expenses - related party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deferred income - related party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related party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notes - related party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issuance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stock awards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CIRM Grant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related to ATM, net of commissions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INFORMATION:</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933"/>
        <w:gridCol w:w="2578"/>
        <w:gridCol w:w="2591"/>
        <w:gridCol w:w="217"/>
        <w:gridCol w:w="636"/>
        <w:gridCol w:w="112"/>
        <w:gridCol w:w="112"/>
        <w:gridCol w:w="112"/>
        <w:gridCol w:w="112"/>
        <w:gridCol w:w="217"/>
        <w:gridCol w:w="419"/>
        <w:gridCol w:w="166"/>
      </w:tblGrid>
      <w:tr>
        <w:trPr/>
        <w:tc>
          <w:tcPr>
            <w:tcW w:w="293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 from related party upon initial recognition of convertible notes at fair value - related party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issuance costs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810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810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810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8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Senti Biosciences Holdings, Inc., together with its subsidiaries (the “Company” or “Senti”), is a clinical-stage biotechnology company developing next-generation cell and gene therapies engineered with its gene circuit platform technologies for patients living with incurable diseases. Senti’s mission is to create a new generation of smarter therapies that can outsmart complex diseases using novel and unprecedented approaches. Senti has built a synthetic biology platform that enables it to program next-generation cell and gene therapies with gene circuits. These gene circuits, which are created from novel and proprietary combinations of DNA sequences, reprogram cells with biological logic to sense inputs, compute decisions and respond to their cellular environments. The Company is headquartered in South San Francisco, California.</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Holding Company Reorganization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24, 2026, Senti Biosciences, Inc., a Delaware corporation (“Former Senti”), implemented a holding company reorganization (the “Reorganization”) pursuant to an Agreement and Plan of Merger, dated as of April 24, 2026, among Former Senti, the Company and Senti Biosciences Merger Sub, Inc. (the “Reorganization Merger Agreement”). Senti Biosciences Merger Sub, Inc., a Delaware corporation (“Reorganization Merger Sub”), was a direct, wholly owned subsidiary of Senti Holdings, Inc. (“Senti Holdings”), a Delaware corporation and a direct, wholly owned subsidiary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Reorganization Merger Agreement, Reorganization Merger Sub merged with and into Former Senti, with Former Senti continuing as the surviving corporation and a direct, wholly owned subsidiary of Senti Holdings, which is a direct, wholly owned subsidiary of the Company (the “Reorganization Merger”).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Reorganization Merger, the Company became the successor issuer to Former Senti. Shares of the Company’s common stock continue to trade on The Nasdaq Capital Market under the symbol “SNTI.”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have been prepared in accordance with generally accepted accounting principles in the United States of America (“U.S. GAAP”) assuming the Company will continue as a going concern. The going concern assumption contemplates the realization of assets and satisfaction of liabilities in the normal course of business. The condensed consolidated financial statements do not include any adjustments to the carrying amounts and classification of assets, liabilities, and reported expenses that may be necessary if the Company were unable to continue as a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devoted substantially all of its efforts to organizing and staffing, business planning, raising capital, and conducting preclinical and clinical studies and has not realized substantial revenues from its planned principal operations. As of June 30, 2026, the Company has raised aggregate gross proceeds of approximately $378.3 million through the merger in 2022, issuances of common stock, redeemable convertible preferred stock, convertible notes, collaboration arrangements, and governmental grants and loans.</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As of June 30, 2026 and December 31, 2025, the Company had an accumulated deficit of </w:t>
      </w:r>
      <w:r>
        <w:rPr>
          <w:rFonts w:ascii="Times New Roman;serif" w:hAnsi="Times New Roman;serif"/>
          <w:b w:val="false"/>
          <w:color w:val="000000"/>
          <w:sz w:val="20"/>
        </w:rPr>
        <w:t>$375.5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$358.6 million</w:t>
      </w:r>
      <w:r>
        <w:rPr>
          <w:rFonts w:ascii="Times New Roman;serif" w:hAnsi="Times New Roman;serif"/>
          <w:b w:val="false"/>
          <w:color w:val="000000"/>
          <w:sz w:val="20"/>
          <w:shd w:fill="FFFFFF" w:val="clear"/>
        </w:rPr>
        <w:t xml:space="preserve">, respectively. The Company’s net losses were </w:t>
      </w:r>
      <w:r>
        <w:rPr>
          <w:rFonts w:ascii="Times New Roman;serif" w:hAnsi="Times New Roman;serif"/>
          <w:b w:val="false"/>
          <w:color w:val="000000"/>
          <w:sz w:val="20"/>
        </w:rPr>
        <w:t>$17.0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$28.8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2026 and 2025, respectively. </w:t>
      </w:r>
      <w:r>
        <w:rPr>
          <w:rFonts w:ascii="Times New Roman;serif" w:hAnsi="Times New Roman;serif"/>
          <w:b w:val="false"/>
          <w:color w:val="000000"/>
          <w:sz w:val="20"/>
        </w:rPr>
        <w:t>Substantially all of the Company’s net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preclinical activities and clinical trials for its product candidates in development.</w:t>
      </w:r>
    </w:p>
    <w:p>
      <w:pPr>
        <w:pStyle w:val="TextBody"/>
        <w:bidi w:val="0"/>
        <w:spacing w:lineRule="auto" w:line="288" w:before="0" w:after="240"/>
        <w:jc w:val="left"/>
        <w:rPr/>
      </w:pPr>
      <w:r>
        <w:rPr>
          <w:rFonts w:ascii="Times New Roman;serif" w:hAnsi="Times New Roman;serif"/>
          <w:b w:val="false"/>
          <w:color w:val="000000"/>
          <w:sz w:val="20"/>
        </w:rPr>
        <w:t xml:space="preserve">In May 2026, Senti Holdings issued $10.0 million in aggregate principal amount of senior secured convertible notes. Senti Holdings received gross cash proceeds of $10.0 million and paid a $0.3 million fee to the note holder pursuant to the terms of the Securities Purchase Agreement (as defined in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While this financing improved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liquidity, the Company concluded that substantial doubt continued to exist and that the Company’s cash and cash equivalents of $6.5 million as of June 30, 2026, were not sufficient for the Company to continue as a going concern for at least one year from the issuance date of these condensed consolidated financial statements.</w:t>
      </w:r>
    </w:p>
    <w:p>
      <w:pPr>
        <w:pStyle w:val="TextBody"/>
        <w:bidi w:val="0"/>
        <w:spacing w:lineRule="auto" w:line="288" w:before="0" w:after="240"/>
        <w:jc w:val="left"/>
        <w:rPr/>
      </w:pPr>
      <w:r>
        <w:rPr>
          <w:rFonts w:ascii="Times New Roman;serif" w:hAnsi="Times New Roman;serif"/>
          <w:b w:val="false"/>
          <w:color w:val="000000"/>
          <w:sz w:val="20"/>
        </w:rPr>
        <w:t xml:space="preserve">Subsequent to June 30, 2026, the Company entered into the Merger Agreement and related transactions described in </w:t>
      </w:r>
      <w:hyperlink w:anchor="i5eb3b190369445ca961fc06dd254474d_85">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 Subsequent Events. In August 2026, in connection with the Merger Agreement, Senti Holdings issued an aggregate principal amount of $4.0 million of additional senior secured convertible notes pursuant to the terms of the Securities Purchase Agreement and received cash proceeds of approximately $3.9 million. Based on the Company’s current operating plan and existing cash and cash equivalents, the Company has determined that it may not be able to maintain current operations starting as early as the fourth quarter of 2026. Additional funds will be necessary to maintain current operations and to continue research and development activities. The Company’s continued existence is dependent upon management’s ability to raise capital and ultimately develop profitable operations. While management is devoting substantially all of its efforts to developing the Company’s business and raising capital, there can be no assurance that the Company’s efforts will be successful. Moreover, no assurance can be given that management’s actions will result in raising additional financing or profitable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interim financial statements have been prepared in accordance with U.S. GAAP for interim financial information and include all adjustments consisting of normal recurring adjustments that the management of the Company believes are necessary for a fair presentation of the periods presented and are not necessarily indicative of results expected for the full fiscal year or for any subsequent interim period. Any reference in these notes to applicable guidance is meant to refer to the authoritative U.S. GAAP as found in the Accounting Standards Codification (“ASC”) and as amended by Accounting Standards Updates (“ASU”) of the Financial Accounting Standards Board (“FASB”). The condensed consolidated financial statements include the accounts of Senti Biosciences Holdings, Inc., and its wholly-owned subsidiaries. All intercompany balances and transactions have been eliminated in consolidation. The Company has one business activity and operates in one reportable segment within continuing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expenses during the reporting period. Significant estimates and assumptions reflected in these condensed consolidated financial statements include, but are not limited to, the valuation of stock-based awards, the accrual for research and development expenses, the fair value of the convertible notes - related party, and the determination of the Company’s incremental borrowing rate.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left"/>
        <w:rPr/>
      </w:pPr>
      <w:r>
        <w:rPr>
          <w:rFonts w:ascii="Times New Roman;serif" w:hAnsi="Times New Roman;serif"/>
          <w:b w:val="false"/>
          <w:color w:val="000000"/>
          <w:sz w:val="20"/>
        </w:rPr>
        <w:t>Financial instruments that potentially subject the Company to a significant concentration of credit risk consist of cash and cash equivalents that are maintained in checking and money market accounts at one financial institution, which at times, may exceed federally insured limits. As of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 the Company has not experienced any credit losses in such accounts or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Business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concentrations of business risk arising from its reliance on a limited number of counterparties and arrangements that are critical to its operations. The Company currently depends on GeneFab LLC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(“GeneFab”) as its sole contract manufacturer for the clinical-scale production of its product candidates. As a result, the Company’s development activities and timelines are dependent on GeneFab’s continued ability to perform manufacturing services in accordance with contractual requirements. Any disruption in GeneFab’s operations, financial condition, or ability to perform could have a material adverse effect on the Company’s research and development activities and may require the Company to identify and qualify alternative manufacturing vendors, which could result in increased costs and delays in the Company’s clinical trial timelines.</w:t>
      </w:r>
    </w:p>
    <w:p>
      <w:pPr>
        <w:pStyle w:val="TextBody"/>
        <w:bidi w:val="0"/>
        <w:spacing w:lineRule="auto" w:line="288" w:before="0" w:after="240"/>
        <w:jc w:val="left"/>
        <w:rPr/>
      </w:pPr>
      <w:r>
        <w:rPr>
          <w:rFonts w:ascii="Times New Roman;serif" w:hAnsi="Times New Roman;serif"/>
          <w:b w:val="false"/>
          <w:color w:val="000000"/>
          <w:sz w:val="20"/>
        </w:rPr>
        <w:t xml:space="preserve">In addition, the Company has business risk concentrated in its real estate lease arrangements. The Company has operating lease obligations under the Alameda Lease (as defined in </w:t>
      </w:r>
      <w:hyperlink w:anchor="i5eb3b190369445ca961fc06dd254474d_37">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which represents the Company’s most significant lease liability on the condensed consolidated balance sheets as of June 30, 2026. The Company has subleased the Alameda Lease to GeneFab. Accordingly, the Company’s ability to mitigate the cash outflows associated with these lease obligations is dependent on GeneFab’s performance under the sublease arrangements. The Company remains obligated to satisfy its lease commitments to the landlord regardless of the performance of its subtenant.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Convertible Notes - Related Party</w:t>
      </w:r>
    </w:p>
    <w:p>
      <w:pPr>
        <w:pStyle w:val="TextBody"/>
        <w:bidi w:val="0"/>
        <w:spacing w:lineRule="auto" w:line="288" w:before="0" w:after="240"/>
        <w:jc w:val="left"/>
        <w:rPr/>
      </w:pPr>
      <w:r>
        <w:rPr>
          <w:rFonts w:ascii="Times New Roman;serif" w:hAnsi="Times New Roman;serif"/>
          <w:b w:val="false"/>
          <w:color w:val="000000"/>
          <w:sz w:val="20"/>
        </w:rPr>
        <w:t xml:space="preserve">During the three months ended June 30, 2026, Senti Holdings issued senior secured convertible notes to a related-party investor. Refer to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Securities Purchase Agreement and the Notes</w:t>
      </w:r>
      <w:r>
        <w:rPr>
          <w:rFonts w:ascii="Times New Roman;serif" w:hAnsi="Times New Roman;serif"/>
          <w:b w:val="false"/>
          <w:color w:val="000000"/>
          <w:sz w:val="20"/>
        </w:rPr>
        <w:t>, for the Company’s accounting policy and additional information regarding the convertible notes.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Unaudited Interim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and the related footnotes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2026 and its results of operations for the three and six months ended June 30, 2026 and 2025, and cash flows for the six months ended June 30, 2026 and 2025. The results of operations for the three and six months ended June 30, 2026 are not necessarily indicative of the results to be expected for the year ending December 31, 2026 or any other period. The December 31, 2025 year-end condensed consolidated balance sheet was derived from audited annual financial statements but does not include all disclosures from the annual consolidated financial statements.</w:t>
      </w:r>
    </w:p>
    <w:p>
      <w:pPr>
        <w:pStyle w:val="TextBody"/>
        <w:bidi w:val="0"/>
        <w:spacing w:lineRule="auto" w:line="288" w:before="0" w:after="240"/>
        <w:jc w:val="left"/>
        <w:rPr/>
      </w:pPr>
      <w:r>
        <w:rPr>
          <w:rFonts w:ascii="Times New Roman;serif" w:hAnsi="Times New Roman;serif"/>
          <w:b w:val="false"/>
          <w:color w:val="000000"/>
          <w:sz w:val="20"/>
        </w:rPr>
        <w:t xml:space="preserve">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2025 and the related notes included in the Company’s Form 10-K, filed with the SEC on March 27, 2026, which provides a more complete discussion of the Company’s accounting policies and certain other information. Except for the accounting policy related to the Company’s convertible notes - related party described in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Securities Purchase Agreement and the Notes</w:t>
      </w:r>
      <w:r>
        <w:rPr>
          <w:rFonts w:ascii="Times New Roman;serif" w:hAnsi="Times New Roman;serif"/>
          <w:b w:val="false"/>
          <w:color w:val="000000"/>
          <w:sz w:val="20"/>
        </w:rPr>
        <w:t>, there have been no material changes to the Company’s significant accounting policies as of and for the three and six months ended June 30, 2026, as compared to the significant accounting policies described in the Company’s audited annual consolidated financial statements as of and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Standards</w:t>
      </w:r>
    </w:p>
    <w:p>
      <w:pPr>
        <w:pStyle w:val="TextBody"/>
        <w:bidi w:val="0"/>
        <w:spacing w:lineRule="auto" w:line="288" w:before="0" w:after="240"/>
        <w:jc w:val="left"/>
        <w:rPr/>
      </w:pPr>
      <w:r>
        <w:rPr>
          <w:rFonts w:ascii="Times New Roman;serif" w:hAnsi="Times New Roman;serif"/>
          <w:b w:val="false"/>
          <w:color w:val="000000"/>
          <w:sz w:val="20"/>
        </w:rPr>
        <w:t>In November 2024, the FASB issued ASU No. 2024-03,</w:t>
      </w:r>
      <w:r>
        <w:rPr>
          <w:color w:val="000000"/>
        </w:rPr>
        <w:t xml:space="preserve"> </w:t>
      </w:r>
      <w:r>
        <w:rPr>
          <w:rFonts w:ascii="Times New Roman;serif" w:hAnsi="Times New Roman;serif"/>
          <w:b w:val="false"/>
          <w:i/>
          <w:color w:val="000000"/>
          <w:sz w:val="20"/>
        </w:rPr>
        <w:t xml:space="preserve">Income Statement-Reporting Comprehensive Income-Expense Disaggregation Disclosures: Disaggregation of Income Statement Expenses, </w:t>
      </w:r>
      <w:r>
        <w:rPr>
          <w:rFonts w:ascii="Times New Roman;serif" w:hAnsi="Times New Roman;serif"/>
          <w:b w:val="false"/>
          <w:color w:val="000000"/>
          <w:sz w:val="20"/>
        </w:rPr>
        <w:t xml:space="preserve">which requires disclosures about significant expense categories, including but not limited to, purchases of inventory, employee compensation, depreciation, amortization, and selling expenses, along with qualitative descriptions of certain other types of expenses. This ASU is effective for fiscal years beginning after December 15, 2026, and interim periods within fiscal years beginning after December 15, 2027, with early adoption permitted. The Company is currently evaluating this ASU to determine its impact on the Company’s disclosure, but does not expect this update to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impact on the Company’s condensed consolidated financial statements other than additional information that will be provided in the footnote disclosure.</w:t>
      </w:r>
    </w:p>
    <w:p>
      <w:pPr>
        <w:pStyle w:val="TextBody"/>
        <w:bidi w:val="0"/>
        <w:spacing w:lineRule="auto" w:line="288" w:before="0" w:after="240"/>
        <w:jc w:val="left"/>
        <w:rPr/>
      </w:pPr>
      <w:r>
        <w:rPr>
          <w:rFonts w:ascii="Times New Roman;serif" w:hAnsi="Times New Roman;serif"/>
          <w:b w:val="false"/>
          <w:color w:val="000000"/>
          <w:sz w:val="20"/>
        </w:rPr>
        <w:t>In November 2024, the FASB issued ASU No. 2024-04,</w:t>
      </w:r>
      <w:r>
        <w:rPr>
          <w:color w:val="000000"/>
        </w:rPr>
        <w:t xml:space="preserve"> </w:t>
      </w:r>
      <w:r>
        <w:rPr>
          <w:rFonts w:ascii="Times New Roman;serif" w:hAnsi="Times New Roman;serif"/>
          <w:b w:val="false"/>
          <w:i/>
          <w:color w:val="000000"/>
          <w:sz w:val="20"/>
        </w:rPr>
        <w:t>Debt—Debt with Conversion and Other Options (Subtopic 470-20): Induced Conversions of Convertible Debt Instruments</w:t>
      </w:r>
      <w:r>
        <w:rPr>
          <w:rFonts w:ascii="Times New Roman;serif" w:hAnsi="Times New Roman;serif"/>
          <w:b w:val="false"/>
          <w:color w:val="000000"/>
          <w:sz w:val="20"/>
        </w:rPr>
        <w:t>, which clarifies the requirements for determining whether certain settlements of convertible debt instruments should be accounted for as induced conversions. The guidance is effective for annual reporting periods beginning after December 15, 2025, including interim periods within those annual reporting periods, and may be applied on either a prospective or retrospective basis. The Company adopted this ASU on January 1, 2026 using the prospective transition method. The adoption did not have a material impact on the Company’s condensed consolidated financial statements.</w:t>
      </w:r>
    </w:p>
    <w:p>
      <w:pPr>
        <w:pStyle w:val="TextBody"/>
        <w:bidi w:val="0"/>
        <w:spacing w:lineRule="auto" w:line="288" w:before="120" w:after="240"/>
        <w:jc w:val="left"/>
        <w:rPr/>
      </w:pPr>
      <w:r>
        <w:rPr>
          <w:rFonts w:ascii="Times New Roman;serif" w:hAnsi="Times New Roman;serif"/>
          <w:b w:val="false"/>
          <w:color w:val="000000"/>
          <w:sz w:val="20"/>
        </w:rPr>
        <w:t xml:space="preserve">In December 2025, the FASB issued ASU No.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which establishes authoritative guidance in U.S. GAAP about accounting for government grants received by business entities and clarifies the appropriate accounting in an effort to reduce diversity in practice, and increase consistency of application across business entities. This guidance is effective for annual reporting periods beginning after December 15, 2028, and interim reporting periods within those annual reporting periods. Adoption of this ASU can be applied using a modified prospective approach, a modified retrospective approach, or a retrospective approach. The Company is currently evaluating the impact of adopting this ASU and does not expect the adoption of this guidance to have a material impact on its condensed consolidated financial statements.</w:t>
      </w:r>
    </w:p>
    <w:p>
      <w:pPr>
        <w:pStyle w:val="TextBody"/>
        <w:bidi w:val="0"/>
        <w:spacing w:lineRule="auto" w:line="288" w:before="120" w:after="240"/>
        <w:jc w:val="left"/>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interim disclosure requirements and the applicability of Topic 270. The ASU is effective for interim reporting periods within annual reporting periods beginning after December 15, 2027. Adoption of this ASU can be applied either a prospective or a retrospective approach. Early adoption is permitted. The Company is currently evaluating the impact of adopting ASU 2025-11 and does not expect the adoption of this guidance to have a material impact on its condensed consolidated financial statements.</w:t>
      </w:r>
    </w:p>
    <w:p>
      <w:pPr>
        <w:pStyle w:val="TextBody"/>
        <w:bidi w:val="0"/>
        <w:spacing w:lineRule="auto" w:line="288" w:before="120" w:after="240"/>
        <w:jc w:val="left"/>
        <w:rPr/>
      </w:pPr>
      <w:r>
        <w:rPr>
          <w:rFonts w:ascii="Times New Roman;serif" w:hAnsi="Times New Roman;serif"/>
          <w:b w:val="false"/>
          <w:color w:val="000000"/>
          <w:sz w:val="20"/>
        </w:rPr>
        <w:t xml:space="preserve">In December 2025, the FASB issued ASU No.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addresses thirty-three items, representing the changes to the Codification that (1) clarify, (2) correct errors, or (3) make minor improvements. Generally, the amendments in this ASU are not intended to result in significant changes for most entities. The amendments in this ASU are effective for interim reporting periods within annual reporting periods beginning after December 15, 2026. The adoption method of this ASU may vary on an issue-by-issue basis. Early adoption is permitted. The Company is currently evaluating the impact of adopting ASU 2025-12 and does not expect the adoption of this guidance to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GeneFab Transaction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7, 2023, the Company entered into a framework agreement (the “GeneFab Framework Agreement”) with GeneFab and Valere Bio, Inc. (“Valere”), a Delaware corporation and the parent company of GeneFab, which is wholly owned by Celadon Partners, LLC (“Celadon Partners”), pursuant to which the Company, subject to the terms and conditions therein, sold, assigned and transferred its rights, title and interest in certain of the assets and contractual rights, including all of the Company’s equipment at the Company’s Alameda facility and certain of the Company’s non-oncology license rights, intellectual property related to the schematics for and design of the Alameda facility. </w:t>
      </w:r>
    </w:p>
    <w:p>
      <w:pPr>
        <w:pStyle w:val="TextBody"/>
        <w:bidi w:val="0"/>
        <w:spacing w:lineRule="auto" w:line="288" w:before="0" w:after="240"/>
        <w:jc w:val="left"/>
        <w:rPr/>
      </w:pPr>
      <w:r>
        <w:rPr>
          <w:rFonts w:ascii="Times New Roman;serif" w:hAnsi="Times New Roman;serif"/>
          <w:b w:val="false"/>
          <w:color w:val="000000"/>
          <w:sz w:val="20"/>
        </w:rPr>
        <w:t xml:space="preserve">The original lease for the Alameda facility was entered into between the Company and 1430 South Loop Owner, LLC (the “Landlord”) in 2021 (the “Alameda Lease”). On August 7, 2023, the Company subleased the Alameda facility to GeneFab in connection with the GeneFab Framework Agreement described above (the “GeneFab Alameda Sublease”). On March 17, 2026, both of the Alameda Lease and GeneFab Alameda Sublease were amended as described in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7, 2023, the Company and GeneFab also entered into a development and manufacturing services agreement (the “DMSA”), pursuant to which GeneFab will provide certain services to the Company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subleased Alameda facility and acquired equipment. The Company also entered into a transition services agreement with GeneFab whereby certain services are to be provided by each party to the other party during a transition period beginning on August 7, 2023 (the “Transition Services Agreement”). On December 10, 2024, in connection with the private placement described in further detail in </w:t>
      </w:r>
      <w:hyperlink w:anchor="i5eb3b190369445ca961fc06dd254474d_46">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the Company and GeneFab entered into an amended and restated DMSA (the “2024 Amended and Restated DMSA”). </w:t>
      </w:r>
    </w:p>
    <w:p>
      <w:pPr>
        <w:pStyle w:val="TextBody"/>
        <w:bidi w:val="0"/>
        <w:spacing w:lineRule="auto" w:line="288" w:before="0" w:after="240"/>
        <w:jc w:val="left"/>
        <w:rPr/>
      </w:pPr>
      <w:r>
        <w:rPr>
          <w:rFonts w:ascii="Times New Roman;serif" w:hAnsi="Times New Roman;serif"/>
          <w:b w:val="false"/>
          <w:color w:val="000000"/>
          <w:sz w:val="20"/>
        </w:rPr>
        <w:t xml:space="preserve">On June 12, 2024, the Company subleased to GeneFab a portion of the Company’s HQ Lease as defined in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rFonts w:ascii="Times New Roman;serif" w:hAnsi="Times New Roman;serif"/>
          <w:b w:val="false"/>
          <w:color w:val="000000"/>
          <w:sz w:val="20"/>
        </w:rPr>
        <w:t xml:space="preserve">, and this sublease is referred to as the “GeneFab HQ Sublease”. On March 9, 2026, the Company signed an agreement to accelerate the end of the GeneFab HQ Sublease (“GeneFab HQ Sublease Amendment”), effective March 31, 2026. Refer to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for details of the GeneFab HQ Sublease Amendment.</w:t>
      </w:r>
    </w:p>
    <w:p>
      <w:pPr>
        <w:pStyle w:val="TextBody"/>
        <w:bidi w:val="0"/>
        <w:spacing w:lineRule="auto" w:line="288" w:before="0" w:after="240"/>
        <w:jc w:val="left"/>
        <w:rPr/>
      </w:pPr>
      <w:r>
        <w:rPr>
          <w:rFonts w:ascii="Times New Roman;serif" w:hAnsi="Times New Roman;serif"/>
          <w:b w:val="false"/>
          <w:color w:val="000000"/>
          <w:sz w:val="20"/>
        </w:rPr>
        <w:t xml:space="preserve">On March 17, 2026, the Company entered into a letter agreement with GeneFab (the “GeneFab Letter Agreement”) in connection with the lease and sublease amendments described in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rFonts w:ascii="Times New Roman;serif" w:hAnsi="Times New Roman;serif"/>
          <w:b w:val="false"/>
          <w:color w:val="000000"/>
          <w:sz w:val="20"/>
        </w:rPr>
        <w:t xml:space="preserve">. The GeneFab Letter Agreement provides for a $1.4 million back rent payment from GeneFab that may be satisfied, in whole or in part, through a cash prepayment credit to be applied toward work or services to be performed by GeneFab for the Company under the 2024 Amended and Restated DMSA, that the Company may access such prepayment credit immediately and that any unpaid portion must be paid in immediately available funds by September 1, 2026. The GeneFab Letter Agreement further provides that the Company may access $2.0 million as a prepayment credit to be applied toward work or services to be performed by GeneFab for the Company under the 2024 Amended and Restated DMSA beginning September 1, 2026. This prepayment credit represents a portion of the agreed-upon settlement of past-due sublease rent. GeneFab’s failure to perform its obligations with respect to the outstanding rent or the $2.0 million prepayment credit constitutes an immediate event of default under the GeneFab Alameda Sublease Amendment (defined in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The GeneFab Letter Agreement terminates automatically once the applicable prepayment credits have been fully applied.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GeneFab prepaid expenses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GeneFab Framework Agreement entered into on August 7, 2023, the total consideration in connection with the transaction was $37.8 million, of which $18.9 million was received by the Company on August 7, 2023 and such payment was netted against prepayment due to GeneFab for future manufacturing and research activities under the DMSA. The $18.9 million was initially recorded in GeneFab prepaid expenses - related party on the condensed consolidated balance sheets in 2023.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10, 2024, the Company agreed to make an additional advance payment of $10.0 million to GeneFab under the 2024 Amended and Restated DMSA, of which $6.0 million and $4.0 million was paid in December 2024 and January 2025, respectively.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made an additional advance payment of $2.5 million to GeneFab for additional work as part of the 2024 Amended and Restated DMSA.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March 2026, pursuant to the GeneFab Letter Agreement, $3.4 million of past-due rent related to the GeneFab Alameda Sublease was converted into a prepayment for future manufacturing and research activities under the 2024 Amended and Restated DMSA. The Company accounted for the GeneFab Letter Agreement as a recognized subsequent event and reflected the $3.4 million prepayment in its consolidated balance sheet as of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made an additional advance payment of $5.1 million to GeneFab for additional work as part of the 2024 Amended and Restated DMSA.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$4.9 million of these prepayments were remaining to be amortized against future manufacturing and research activities, which were recorded in GeneFab prepaid expenses - related party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GeneFab Option</w:t>
      </w:r>
    </w:p>
    <w:p>
      <w:pPr>
        <w:pStyle w:val="TextBody"/>
        <w:bidi w:val="0"/>
        <w:spacing w:lineRule="auto" w:line="288" w:before="0" w:after="240"/>
        <w:jc w:val="left"/>
        <w:rPr/>
      </w:pPr>
      <w:r>
        <w:rPr>
          <w:rFonts w:ascii="Times New Roman;serif" w:hAnsi="Times New Roman;serif"/>
          <w:b w:val="false"/>
          <w:color w:val="000000"/>
          <w:sz w:val="20"/>
        </w:rPr>
        <w:t xml:space="preserve">On August 7, 2023, GeneFab was granted an option to purchase up to 1,963,344 shares of the Company’s common stock at an exercise price of $10.18670 per share, representing an aggregate exercise price of up to $20.0 million (the “GeneFab Option”). The Company determined that the GeneFab Option was a derivative because certain provisions of the instrument precluded equity classification under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Accordingly, the GeneFab Option was initially recognized as a liability at its fair value of $9.6 million on August 7, 2023 and was subsequently remeasured at fair value at each reporting date, with changes in fair value recognized in other income (expense), net in the condensed consolidated statements of operations and comprehensive loss.</w:t>
      </w:r>
    </w:p>
    <w:p>
      <w:pPr>
        <w:pStyle w:val="TextBody"/>
        <w:bidi w:val="0"/>
        <w:spacing w:lineRule="auto" w:line="288" w:before="0" w:after="240"/>
        <w:jc w:val="left"/>
        <w:rPr/>
      </w:pPr>
      <w:r>
        <w:rPr>
          <w:rFonts w:ascii="Times New Roman;serif" w:hAnsi="Times New Roman;serif"/>
          <w:b w:val="false"/>
          <w:color w:val="000000"/>
          <w:sz w:val="20"/>
        </w:rPr>
        <w:t xml:space="preserve">In April 2026, in connection with the Securities Purchase Agreement described in </w:t>
      </w:r>
      <w:hyperlink w:anchor="i5eb3b190369445ca961fc06dd254474d_85">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Securities Purchase Agreement and the Notes</w:t>
      </w:r>
      <w:r>
        <w:rPr>
          <w:rFonts w:ascii="Times New Roman;serif" w:hAnsi="Times New Roman;serif"/>
          <w:b w:val="false"/>
          <w:color w:val="000000"/>
          <w:sz w:val="20"/>
        </w:rPr>
        <w:t>, the Company and Celadon entered into a Termination and Release Agreement pursuant to which the GeneFab Option was terminated. Accordingly, no liability related to the GeneFab Option remained outstanding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Consolidation and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GeneFab is a variable interest entity since its total equity at risk is not sufficient to finance its activities without additional subordinated financial support. The Company performs a qualitative analysis at each reporting date to determine if it is the primary beneficiary of GeneFab. Based on this assessment, the Company has determined that it does not have the power to direct the activities of GeneFab that most significantly impact GeneFab’s economic performance. Accordingly, the Company has concluded that it is not the primary beneficiary and therefore does not consolidate GeneFab. There were no material changes to the Company’s involvement with GeneFab during the three and six months ended June 30, 2026 that would have resulted in a change to this conclusion.</w:t>
      </w:r>
    </w:p>
    <w:p>
      <w:pPr>
        <w:pStyle w:val="TextBody"/>
        <w:bidi w:val="0"/>
        <w:spacing w:lineRule="auto" w:line="288" w:before="0" w:after="240"/>
        <w:jc w:val="left"/>
        <w:rPr/>
      </w:pPr>
      <w:r>
        <w:rPr>
          <w:rFonts w:ascii="Times New Roman;serif" w:hAnsi="Times New Roman;serif"/>
          <w:b w:val="false"/>
          <w:color w:val="000000"/>
          <w:sz w:val="20"/>
        </w:rPr>
        <w:t xml:space="preserve">GeneFab is a related party and the Company reports transactions with GeneFab under ASC 850, </w:t>
      </w:r>
      <w:r>
        <w:rPr>
          <w:rFonts w:ascii="Times New Roman;serif" w:hAnsi="Times New Roman;serif"/>
          <w:b w:val="false"/>
          <w:i/>
          <w:color w:val="000000"/>
          <w:sz w:val="20"/>
        </w:rPr>
        <w:t xml:space="preserve">Related Party Disclosures </w:t>
      </w:r>
      <w:r>
        <w:rPr>
          <w:rFonts w:ascii="Times New Roman;serif" w:hAnsi="Times New Roman;serif"/>
          <w:b w:val="false"/>
          <w:color w:val="000000"/>
          <w:sz w:val="20"/>
        </w:rPr>
        <w:t xml:space="preserve">(“ASC 850”). Refer to </w:t>
      </w:r>
      <w:hyperlink w:anchor="i5eb3b190369445ca961fc06dd254474d_76">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for GeneFab related party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Other Financial Statement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332" w:type="dxa"/>
        <w:jc w:val="left"/>
        <w:tblInd w:w="0" w:type="dxa"/>
        <w:tblLayout w:type="fixed"/>
        <w:tblCellMar>
          <w:top w:w="28" w:type="dxa"/>
          <w:left w:w="28" w:type="dxa"/>
          <w:bottom w:w="28" w:type="dxa"/>
          <w:right w:w="28" w:type="dxa"/>
        </w:tblCellMar>
      </w:tblPr>
      <w:tblGrid>
        <w:gridCol w:w="1421"/>
        <w:gridCol w:w="1253"/>
        <w:gridCol w:w="1255"/>
        <w:gridCol w:w="211"/>
        <w:gridCol w:w="616"/>
        <w:gridCol w:w="109"/>
        <w:gridCol w:w="109"/>
        <w:gridCol w:w="109"/>
        <w:gridCol w:w="109"/>
        <w:gridCol w:w="245"/>
        <w:gridCol w:w="716"/>
        <w:gridCol w:w="179"/>
      </w:tblGrid>
      <w:tr>
        <w:trPr/>
        <w:tc>
          <w:tcPr>
            <w:tcW w:w="142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417" w:type="dxa"/>
        <w:jc w:val="left"/>
        <w:tblInd w:w="0" w:type="dxa"/>
        <w:tblLayout w:type="fixed"/>
        <w:tblCellMar>
          <w:top w:w="28" w:type="dxa"/>
          <w:left w:w="28" w:type="dxa"/>
          <w:bottom w:w="28" w:type="dxa"/>
          <w:right w:w="28" w:type="dxa"/>
        </w:tblCellMar>
      </w:tblPr>
      <w:tblGrid>
        <w:gridCol w:w="1051"/>
        <w:gridCol w:w="926"/>
        <w:gridCol w:w="933"/>
        <w:gridCol w:w="211"/>
        <w:gridCol w:w="721"/>
        <w:gridCol w:w="109"/>
        <w:gridCol w:w="109"/>
        <w:gridCol w:w="109"/>
        <w:gridCol w:w="109"/>
        <w:gridCol w:w="221"/>
        <w:gridCol w:w="757"/>
        <w:gridCol w:w="161"/>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663" w:type="dxa"/>
        <w:jc w:val="left"/>
        <w:tblInd w:w="0" w:type="dxa"/>
        <w:tblLayout w:type="fixed"/>
        <w:tblCellMar>
          <w:top w:w="28" w:type="dxa"/>
          <w:left w:w="28" w:type="dxa"/>
          <w:bottom w:w="28" w:type="dxa"/>
          <w:right w:w="28" w:type="dxa"/>
        </w:tblCellMar>
      </w:tblPr>
      <w:tblGrid>
        <w:gridCol w:w="1541"/>
        <w:gridCol w:w="1357"/>
        <w:gridCol w:w="1362"/>
        <w:gridCol w:w="211"/>
        <w:gridCol w:w="616"/>
        <w:gridCol w:w="109"/>
        <w:gridCol w:w="109"/>
        <w:gridCol w:w="109"/>
        <w:gridCol w:w="109"/>
        <w:gridCol w:w="245"/>
        <w:gridCol w:w="716"/>
        <w:gridCol w:w="179"/>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related to:</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5703" w:type="dxa"/>
        <w:jc w:val="left"/>
        <w:tblInd w:w="0" w:type="dxa"/>
        <w:tblLayout w:type="fixed"/>
        <w:tblCellMar>
          <w:top w:w="28" w:type="dxa"/>
          <w:left w:w="28" w:type="dxa"/>
          <w:bottom w:w="28" w:type="dxa"/>
          <w:right w:w="28" w:type="dxa"/>
        </w:tblCellMar>
      </w:tblPr>
      <w:tblGrid>
        <w:gridCol w:w="1194"/>
        <w:gridCol w:w="1052"/>
        <w:gridCol w:w="1054"/>
        <w:gridCol w:w="211"/>
        <w:gridCol w:w="616"/>
        <w:gridCol w:w="109"/>
        <w:gridCol w:w="109"/>
        <w:gridCol w:w="109"/>
        <w:gridCol w:w="109"/>
        <w:gridCol w:w="245"/>
        <w:gridCol w:w="716"/>
        <w:gridCol w:w="179"/>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CIRM Grant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CIRM Grant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3, 2024, the Company executed an agreement with California Institute for Regenerative Medicine (“CIRM”) for a total grant award of $8.0 million (“CIRM Grant”) in support of the research project related to the ongoing clinical development of SENTI-202. The award is payable to the Company upon achievement of milestones that are primarily based on patient enrollment in the Company’s SENTI-202 clinical trial. Under the terms of the CIRM Grant, the Company is obligated to co-fund up to $4.8 million and is required to provide CIRM timely progress and financial update reports.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CIRM Grant, the Company is obligated to pay royalties and licensing fees based on 0.1% of net commercial revenue of CIRM-funded product candidates or CIRM-funded technology for every $1.0 million of CIRM funding received. These payments would commence upon the first commercial sale of an applicable product and continue for either 10 years from such first commercial sale or until the total royalties paid equal nine times the original CIRM Grant, whichever occurs first. If no CIRM-funded products are commercialized, no royalty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licensing fee payments would be due. As an alternative to revenue sharing, the Company has the option to convert the CIRM Grant to a loan. As of June 30, 2026, the Company has not elected to convert the CIRM Grant to a loan. In the event the Company exercises its right to convert the CIRM Grant to a loan, the Company would be obligated to repay the loan within 10 business days of making such election. Repayment amounts vary dependent upon the phase of clinical development of SENTI-202 at the time of the Company’s election, ranging from 80% to 100% plus interest at 10% plus the 90-day Secured Overnight Financing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presented in the table above, the Company received an aggregate of $8.0 million from the CIRM Grant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Operating Leases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Lessee Accounting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Lease - HQ 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Company’s corporate headquarters located in South San Francisco, California, the original lease was entered into between the Company and Britannia Biotech Gateway Limited Partnership (the “HQ Landlord”) in 2021, and amended in May 2019 and June 2020 (the “HQ Lease”). The HQ Lease has an initial term of eight years expiring in 2027, with an option to renew for an additional eight years unless canceled by either party thereafter.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Lease - Alameda 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Alameda facility, the original lease was entered into between the Company and 1430 South Loop Owner, LLC (the “Alameda Landlord”) in 2021 and amended in March 2026 as described below (the “Alameda Lease”). The Alameda Lease has an initial term of eleven years expiring in 2032, with an option to renew the lease for up to two additional terms of five years.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17, 2026, the Company and the Alameda Landlord entered into the first amendment to the Alameda Lease (the “Alameda Lease Amendment”). Pursuant to the Alameda Lease Amendment, the Company reduced the leased premises from approximately 92,000 rentable square feet to approximately 46,000 rentable square feet. The Alameda Lease Amendment also reduced the Company’s future base rent obligations for the remaining term of the lease and modified certain cost-sharing arrangements with respect to operating expenses, taxes, and utilities. In connection with the Alameda Lease Amendment, the Alameda Landlord is entitled to draw $2.0 million under the Company’s existing letter of credit, and the required letter of credit for the remainder of the lease term was reduced to approximately $0.8 million. In May 2026, the Alameda Landlord drew the $2.0 million under the Company’s letter of credit.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the modification date on March 17, 2026, the Company accounted for the Alameda Lease Amendment as a lease modification under ASC 842. The revised lease payments were discounted using an incremental borrowing rate determined as of the modification date, which reflected the Company’s estimated collateralized borrowing rate over a term consistent with the remaining lease term and incorporated updated market inputs, including treasury rates. The resulting rate was substantially consistent with the rate used for the original Alameda Lease. As a result of the remeasurement, the lease liability decreased by $9.9 million. The decrease in the lease liability resulted in a corresponding $3.1 million reduction to the right-of-use asset, representing the carrying value of the asset immediately prior to the modification. The remaining amount of $6.8 million, together with a $0.1 million reduction of certain operating expenses associated with the Alameda Lease Amendment, was recognized as a $6.9 million gain in operating expenses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exercise of the renewal options for both of the HQ Lease and Alameda Lease is not recognized as part of the right-of-use assets and lease liabilities, as the Company did not conclude, at the commencement date of the leases, that the exercise of renewal options or termination options was reasonably certain.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lease costs are summarized as follows:</w:t>
      </w:r>
    </w:p>
    <w:tbl>
      <w:tblPr>
        <w:tblW w:w="6692" w:type="dxa"/>
        <w:jc w:val="left"/>
        <w:tblInd w:w="0" w:type="dxa"/>
        <w:tblLayout w:type="fixed"/>
        <w:tblCellMar>
          <w:top w:w="28" w:type="dxa"/>
          <w:left w:w="28" w:type="dxa"/>
          <w:bottom w:w="28" w:type="dxa"/>
          <w:right w:w="28" w:type="dxa"/>
        </w:tblCellMar>
      </w:tblPr>
      <w:tblGrid>
        <w:gridCol w:w="673"/>
        <w:gridCol w:w="592"/>
        <w:gridCol w:w="59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w:t>
            </w:r>
            <w:r>
              <w:rPr>
                <w:color w:val="000000"/>
              </w:rPr>
              <w:t xml:space="preserve"> </w:t>
            </w:r>
            <w:r>
              <w:rPr>
                <w:rFonts w:ascii="Times New Roman;serif" w:hAnsi="Times New Roman;serif"/>
                <w:b w:val="false"/>
                <w:color w:val="000000"/>
                <w:sz w:val="13"/>
              </w:rPr>
              <w:t>(1)</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(1)Variable lease costs consist primarily of common area maintenance charges for the operating leases, which is dependent upon usage.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leases was as follows:</w:t>
      </w:r>
    </w:p>
    <w:tbl>
      <w:tblPr>
        <w:tblW w:w="9113" w:type="dxa"/>
        <w:jc w:val="left"/>
        <w:tblInd w:w="0" w:type="dxa"/>
        <w:tblLayout w:type="fixed"/>
        <w:tblCellMar>
          <w:top w:w="28" w:type="dxa"/>
          <w:left w:w="28" w:type="dxa"/>
          <w:bottom w:w="28" w:type="dxa"/>
          <w:right w:w="28" w:type="dxa"/>
        </w:tblCellMar>
      </w:tblPr>
      <w:tblGrid>
        <w:gridCol w:w="2427"/>
        <w:gridCol w:w="2141"/>
        <w:gridCol w:w="2151"/>
        <w:gridCol w:w="211"/>
        <w:gridCol w:w="691"/>
        <w:gridCol w:w="109"/>
        <w:gridCol w:w="109"/>
        <w:gridCol w:w="109"/>
        <w:gridCol w:w="109"/>
        <w:gridCol w:w="211"/>
        <w:gridCol w:w="691"/>
        <w:gridCol w:w="154"/>
      </w:tblGrid>
      <w:tr>
        <w:trPr/>
        <w:tc>
          <w:tcPr>
            <w:tcW w:w="2427"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information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lease right-of-use assets resulting from lease remeasurement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lease liabilities resulting from lease remeasurement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terms and discount rates were as follows:</w:t>
      </w:r>
    </w:p>
    <w:tbl>
      <w:tblPr>
        <w:tblW w:w="5118" w:type="dxa"/>
        <w:jc w:val="left"/>
        <w:tblInd w:w="0" w:type="dxa"/>
        <w:tblLayout w:type="fixed"/>
        <w:tblCellMar>
          <w:top w:w="28" w:type="dxa"/>
          <w:left w:w="28" w:type="dxa"/>
          <w:bottom w:w="28" w:type="dxa"/>
          <w:right w:w="28" w:type="dxa"/>
        </w:tblCellMar>
      </w:tblPr>
      <w:tblGrid>
        <w:gridCol w:w="1419"/>
        <w:gridCol w:w="1246"/>
        <w:gridCol w:w="1250"/>
        <w:gridCol w:w="255"/>
        <w:gridCol w:w="256"/>
        <w:gridCol w:w="692"/>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maturities of lease liabilities were as follows:</w:t>
      </w:r>
    </w:p>
    <w:tbl>
      <w:tblPr>
        <w:tblW w:w="4154" w:type="dxa"/>
        <w:jc w:val="left"/>
        <w:tblInd w:w="0" w:type="dxa"/>
        <w:tblLayout w:type="fixed"/>
        <w:tblCellMar>
          <w:top w:w="28" w:type="dxa"/>
          <w:left w:w="28" w:type="dxa"/>
          <w:bottom w:w="28" w:type="dxa"/>
          <w:right w:w="28" w:type="dxa"/>
        </w:tblCellMar>
      </w:tblPr>
      <w:tblGrid>
        <w:gridCol w:w="1080"/>
        <w:gridCol w:w="949"/>
        <w:gridCol w:w="955"/>
        <w:gridCol w:w="227"/>
        <w:gridCol w:w="777"/>
        <w:gridCol w:w="166"/>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for the remainder of the year</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Lessor Accounting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GeneFab Subleases - Related Party</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GeneFab Alameda Sublease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7, 2023, the Company subleased the Alameda facility to GeneFab under a sublease agreement that was amended in March 2026 as described below (the “GeneFab Alameda Sublease”). The facility supports the clinical manufacturing of the Company’s chimeric antigen receptor natural killer (CAR-NK) programs, including SENTI-202.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17, 2026, the Company and GeneFab entered into an amendment to the GeneFab Alameda Sublease (the “GeneFab Alameda Sublease Amendment”), and pursuant to which, the subleased premises were reduced to approximately 46,000 rentable square feet. The GeneFab Alameda Sublease Amendment revised the base rent, operating expenses, taxes and utilities owed by GeneFab to equal the amounts owed by the Company under the Alameda Lease Amendment. The GeneFab Alameda Sublease will expire in August 2032. Following the GeneFab Alameda Sublease Amendment, aggregate undiscounted payments to be received by the Company are approximately $32.1 million over the full term of the GeneFab Alameda Sublease, including amounts attributable to periods both before and after the GeneFab Alameda Sublease Amendment.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Landlord Consent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Alameda Lease Amendment and GeneFab Alameda Sublease Amendment, on March 17, 2026, the Company entered into a First Amendment to Landlord’s Consent to Sublease (the “Consent Amendment”) with the Alameda Landlord and GeneFab. Pursuant to the Consent Amendment, the Alameda Landlord consented to the GeneFab Alameda Sublease Amendment in exchange for a payment of $1.0 million to the Alameda Landlord by the Company or GeneFab (the “Reduction Fee”). The $1.0 million was paid to the Alameda Landlord by GeneFab in April 2026.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GeneFab HQ Sublease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June 12, 2024, the Company subleased to GeneFab a portion of the Company’s HQ Lease (the “GeneFab HQ Sublease”). On March 9, 2026, the Company signed an agreement to accelerate the end of the HQ Lease (“GeneFab HQ Sublease Amendment”), effective March 31, 2026. As part of this agreement, GeneFab paid all past-due sublease rent to the Company for the GeneFab HQ Sublease and no longer subleases premises under the HQ Lease from the Company as of March 31, 2026.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BKPBIOTECH and JLSA2 Therapeutics Sublease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subleased a portion of the Company’s HQ Lease to BKPBIOTECH, Inc. and JLSA2 Therapeutics, Inc. The subleases commenced in October 2024 and will expire on April 30, 2027. Total undiscounted payments to be received by the Company over the full term of the HQ Lease sublease were approximately $1.9 million. The sublease contains customary events of default, representations, warranties and 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maturities of the Company’s sublease payments were as follows:</w:t>
      </w:r>
    </w:p>
    <w:tbl>
      <w:tblPr>
        <w:tblW w:w="4440" w:type="dxa"/>
        <w:jc w:val="left"/>
        <w:tblInd w:w="0" w:type="dxa"/>
        <w:tblLayout w:type="fixed"/>
        <w:tblCellMar>
          <w:top w:w="28" w:type="dxa"/>
          <w:left w:w="28" w:type="dxa"/>
          <w:bottom w:w="28" w:type="dxa"/>
          <w:right w:w="28" w:type="dxa"/>
        </w:tblCellMar>
      </w:tblPr>
      <w:tblGrid>
        <w:gridCol w:w="1184"/>
        <w:gridCol w:w="1040"/>
        <w:gridCol w:w="1046"/>
        <w:gridCol w:w="227"/>
        <w:gridCol w:w="777"/>
        <w:gridCol w:w="166"/>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for the remainder of the year</w:t>
            </w:r>
            <w:r>
              <w:rPr>
                <w:color w:val="000000"/>
              </w:rPr>
              <w:t xml:space="preserve">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undiscounted sublease payments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total sublease income was as follows:</w:t>
      </w:r>
    </w:p>
    <w:tbl>
      <w:tblPr>
        <w:tblW w:w="7187" w:type="dxa"/>
        <w:jc w:val="left"/>
        <w:tblInd w:w="0" w:type="dxa"/>
        <w:tblLayout w:type="fixed"/>
        <w:tblCellMar>
          <w:top w:w="28" w:type="dxa"/>
          <w:left w:w="28" w:type="dxa"/>
          <w:bottom w:w="28" w:type="dxa"/>
          <w:right w:w="28" w:type="dxa"/>
        </w:tblCellMar>
      </w:tblPr>
      <w:tblGrid>
        <w:gridCol w:w="852"/>
        <w:gridCol w:w="750"/>
        <w:gridCol w:w="75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 - base rent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 - variable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sublease income</w:t>
            </w:r>
            <w:r>
              <w:rPr>
                <w:color w:val="000000"/>
              </w:rPr>
              <w:t xml:space="preserve">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sublease income breakdown on the condensed consolidated statements of operations and comprehensive loss was as follows:</w:t>
      </w:r>
    </w:p>
    <w:tbl>
      <w:tblPr>
        <w:tblW w:w="8222" w:type="dxa"/>
        <w:jc w:val="left"/>
        <w:tblInd w:w="0" w:type="dxa"/>
        <w:tblLayout w:type="fixed"/>
        <w:tblCellMar>
          <w:top w:w="28" w:type="dxa"/>
          <w:left w:w="28" w:type="dxa"/>
          <w:bottom w:w="28" w:type="dxa"/>
          <w:right w:w="28" w:type="dxa"/>
        </w:tblCellMar>
      </w:tblPr>
      <w:tblGrid>
        <w:gridCol w:w="1226"/>
        <w:gridCol w:w="1080"/>
        <w:gridCol w:w="1083"/>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sublease income</w:t>
            </w:r>
            <w:r>
              <w:rPr>
                <w:color w:val="000000"/>
              </w:rPr>
              <w:t xml:space="preserve">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Securities Purchase Agreement and the Notes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0" w:after="240"/>
        <w:jc w:val="left"/>
        <w:rPr/>
      </w:pPr>
      <w:r>
        <w:rPr>
          <w:rFonts w:ascii="Times New Roman;serif" w:hAnsi="Times New Roman;serif"/>
          <w:b w:val="false"/>
          <w:color w:val="000000"/>
          <w:sz w:val="20"/>
        </w:rPr>
        <w:t xml:space="preserve">On April 27, 2026, the Company, Senti Holdings, and Former Senti entered into a Securities Purchase Agreement (the “Securities Purchase Agreement”) with one accredited investor (the “Investor”). The Investor is an entity affiliated with Celadon Partners SPV 24 (“Celadon”) and Celadon Partners, which is one of the Company’s related parties and largest stockholder as discussed in </w:t>
      </w:r>
      <w:hyperlink w:anchor="i5eb3b190369445ca961fc06dd254474d_76">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Related Parties</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Senti Holdings agreed to issue and sell, and the Investor agreed to purchase, in a private placement up to $40.0 million aggregate principal amount of senior secured convertible notes (the “Notes”), subject to the satisfaction of specified closing conditions.</w:t>
      </w:r>
    </w:p>
    <w:p>
      <w:pPr>
        <w:pStyle w:val="TextBody"/>
        <w:bidi w:val="0"/>
        <w:spacing w:lineRule="auto" w:line="288" w:before="0" w:after="240"/>
        <w:jc w:val="left"/>
        <w:rPr/>
      </w:pPr>
      <w:r>
        <w:rPr>
          <w:rFonts w:ascii="Times New Roman;serif" w:hAnsi="Times New Roman;serif"/>
          <w:b w:val="false"/>
          <w:color w:val="000000"/>
          <w:sz w:val="20"/>
        </w:rPr>
        <w:t>The first tranche consisted of $10.0 million in aggregate principal amount of the Notes (the “Initial Notes”), which was issued on May 20, 2026. The second tranche may consist of up to $30.0 million aggregate principal amount of additional Notes, subject to the Investor’s election and the satisfaction of specified closing conditions under the Securities Purchase Agreement.</w:t>
      </w:r>
      <w:r>
        <w:rPr>
          <w:color w:val="000000"/>
        </w:rPr>
        <w:t xml:space="preserve"> </w:t>
      </w:r>
      <w:r>
        <w:rPr>
          <w:rFonts w:ascii="Times New Roman;serif" w:hAnsi="Times New Roman;serif"/>
          <w:b w:val="false"/>
          <w:color w:val="000000"/>
          <w:sz w:val="20"/>
        </w:rPr>
        <w:t xml:space="preserve">See </w:t>
      </w:r>
      <w:hyperlink w:anchor="i5eb3b190369445ca961fc06dd254474d_85">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for additional information with respect to Senti Holdings’ issuance of additional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Assuming stockholder approval of the Company’s issuance of shares of its common stock underlying the Notes without giving effect to the Exchange Cap (the “Issuance Approval”) is obtained and the Investor immediately exchanges the Initial Notes for shares of the Company’s common stock, Celadon would beneficially own approximately 54.6% of the Company’s outstanding common stock following the exchange of the $10.0 million in aggregate principal amount of Initial Notes.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Initial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20, 2026, Senti Holdings issued the Initial Notes with an aggregate principal amount of $10.0 million and received gross cash proceeds of $10.0 million. In connection with the issuance, the Company paid a $0.3 million fee to the Investor and incurred $0.4 million of third-party issuance costs. The Company recognized the $0.7 million of aggregate issuance costs in general and administrative expenses in the condensed consolidated statements of operations and comprehensive loss during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Initial Notes are guaranteed by the Company and all of its direct and indirect subsidiaries, other than Senti Holdings, and are secured by all of the assets of the Company, Senti Holdings and the guarantor subsidiaries, subject to certain customary exceptions.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Initial Notes - Accounting and Fair Value Measurement</w:t>
      </w:r>
    </w:p>
    <w:p>
      <w:pPr>
        <w:pStyle w:val="TextBody"/>
        <w:bidi w:val="0"/>
        <w:spacing w:lineRule="auto" w:line="288" w:before="0" w:after="240"/>
        <w:jc w:val="left"/>
        <w:rPr/>
      </w:pPr>
      <w:r>
        <w:rPr>
          <w:rFonts w:ascii="Times New Roman;serif" w:hAnsi="Times New Roman;serif"/>
          <w:b w:val="false"/>
          <w:color w:val="000000"/>
          <w:sz w:val="20"/>
        </w:rPr>
        <w:t xml:space="preserve">The Company elected the fair value option under ASC 825,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(“ASC 825”) for the Initial Notes to simplify the accounting for the instrument by measuring the Initial Notes in their entirety at fair value rather than separately accounting for their embedded features. Accordingly, the Initial Notes were initially recognized at fair value on May 20, 2026 and are subsequently remeasured at fair value at each reporting date, with changes in fair value recognized in the condensed consolidated statements of operations and comprehensive loss. The Company estimated the fair value of the Initial Notes in accordance with ASC 820,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 xml:space="preserve">(“ASC 820”), using a probability-weighted expected return method that considered potential conversion, merger and liquidation scenarios. Refer to </w:t>
      </w:r>
      <w:hyperlink w:anchor="i5eb3b190369445ca961fc06dd254474d_70">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for additional information regarding the fair value hierarchy classification, significant unobservable inputs and Level 3 rollforward of the Initial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Upon issuance on May 20, 2026, the fair value of the Initial Notes was $4.3 million. The $5.7 million excess of the $10.0 million gross cash proceeds received over the initial fair value of the Initial Notes was recognized as a capital contribution from a related party in additional paid-in capital due to the related-party nature of the transaction. As of June 30, 2026, the fair value of the Initial Notes was $4.0 million and was recorded as convertible notes - related party on the condensed consolidated balance sheets. For the three and six months ended June 30, 2026, the Company recognized a gain of $0.3 million from the change in fair value of the Initial Notes in other income, net in the condensed consolidated statements of operations and comprehensive loss.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Terms of the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constitute senior secured indebtedness of Senti Holdings. The Company and each of its direct and indirect subsidiaries, other than Senti Holdings, guarantee the Notes pursuant to a guarantee in favor of the holders of the Notes (the “Holders”). The Notes are secured by a first-priority lien on substantially all current and future assets of Senti Holdings, as issuer, and the Company and the other guarantor subsidiaries, subject to permitted liens and customary exclusions.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do not bear interest unless an event of default occurs. The Notes mature on November 23, 2026 (the “Maturity Date”). A Holder may extend the Maturity Date (i) if an event of default, or an event that would result in an event of default with the passage of time or failure to cure, is continuing on the Maturity Date or (ii) through the date that is ten business days after the consummation of a change of control that has been publicly announced or of which the Holder received notice pursuant to the Notes. If the Notes have not previously been converted or exchanged, Senti Holdings is required to pay each Holder on the Maturity Date an amount in cash equal to 200% of the outstanding principal amount of its Notes and any accrued and unpaid interest.</w:t>
      </w:r>
    </w:p>
    <w:p>
      <w:pPr>
        <w:pStyle w:val="TextBody"/>
        <w:bidi w:val="0"/>
        <w:spacing w:lineRule="auto" w:line="288" w:before="0" w:after="240"/>
        <w:jc w:val="left"/>
        <w:rPr/>
      </w:pPr>
      <w:r>
        <w:rPr>
          <w:rFonts w:ascii="Times New Roman;serif" w:hAnsi="Times New Roman;serif"/>
          <w:b w:val="false"/>
          <w:color w:val="000000"/>
          <w:sz w:val="20"/>
        </w:rPr>
        <w:t xml:space="preserve">A Holder may convert its Notes into shares of Senti Holdings’ common stock at an initial conversion price of $0.6261 per share (the “Conversion Price”), subject to adjustments upon the occurrence of certain events specified in the Notes. If Celadon, for so long as it continues to hold the Notes, together with the holders of Notes representing at least a majority of the aggregate principal amount of the Notes then outstanding (the “Required Holders”), delivers a notice to convert at least a majority of the aggregate principal amount of the Notes then outstanding, or if the Company consummates the potential contingent value rights transaction as contemplated by the Merger Agreement described in </w:t>
      </w:r>
      <w:hyperlink w:anchor="i5eb3b190369445ca961fc06dd254474d_85">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below (the “CVR Transaction”), Senti Holdings has the right to require the conversion of all remaining outstanding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may also be exchanged for shares of the Company’s common stock at an initial exchange price of $0.6261 per share (the “Exchange Price”), subject to adjustments upon the occurrence of certain events specified in the Notes. Following receipt of stockholder approval to issue shares of the Company’s common stock upon exchange of the Notes in excess of the Exchange Cap described below (the “Issuance Approval”), if the Required Holders exchange at least a majority of the aggregate principal amount of the Notes then outstanding, or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Company consummates the CVR Transaction, the Company has the right, but not the obligation, to require the exchange of all remaining outstanding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Holder may elect to have exchanges of its Notes subject to a beneficial ownership limitation of up to 19.99%. The selected beneficial ownership limitation may be increased or decreased upon 61 days’ prior notice. In addition, prior to receipt of the Issuance Approval, the Company is not obligated to issue shares of its common stock upon exchange of the Notes in excess of 19.99% of the shares of the Company’s common stock outstanding as of the date of the Securities Purchase Agreement (the “Exchange Cap”). If the Company fails to timely deliver shares of its common stock upon an exchange, the applicable Holder may have certain buy-in rights under the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Conversion Price and Exchange Price are each subject to full-ratchet anti-dilution adjustments upon certain issuances of common stock at a price below the then-effective Conversion Price or Exchange Price. Upon such an issuance, the applicable Conversion Price or Exchange Price will generally be reduced to the price per share of the dilutive issuance.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contain customary affirmative and negative covenants, including limitations on the incurrence of indebtedness and liens, restricted payments, asset transfers and changes in the Company’s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also contain customary events of default. Upon certain bankruptcy-related events of default, Senti Holdings is required to redeem the Notes in cash at the applicable redemption price described below. Upon other events of default, the Holders may require Senti Holdings to redeem their Notes in cash at such redemption price. The redemption price is the greater of (i) 200% of the outstanding principal amount of the Notes and (ii) an amount determined based on the principal amount being redeemed, the highest closing sale price of the Company’s common stock during the applicable event-of-default period and the lowest Exchange Price during such period. While an event of default is continuing, interest accrues on the Notes at an annual rate of 12.0%.</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20, 2026, in connection with the issuance of the Initial Notes, the Company and Former Senti entered into a registration rights agreement with the Investor (the “Registration Rights Agreement”). The Registration Rights Agreement requires the Company, as soon as reasonably practicable following an issuance of Notes, but no later than 30 days after such issuance, to file one or more resale registration statements on Form S-3, or another appropriate form if Form S-3 is unavailable, covering the resale by the Investor of the shares of the Company’s common stock issuable upon exchange of the Notes (the “Registrable Shares”). The Company filed such registration statement on Form S-3 on June 18,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use commercially reasonable efforts to cause each resale registration statement to become effective as soon as practicable, but no later than the earlier of (i) the 75th calendar day following the filing date if the SEC notifies the Company that it will review the registration statement and (ii) the fifth business day after the date on which the Company is notified that the registration statement will not be reviewed or will not be subject to further review. The Company is also required to use commercially reasonable efforts to keep each registration statement effective until all Registrable Shares covered by the registration statement have been resold or no Registrable Shares remain.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the Company agreed to seek stockholder approval of (i) the potential CVR Transaction and (ii) the issuance of shares of the Company’s common stock upon exchange of the Notes in excess of the Exchange Cap.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2026, in connection with the issuance of the Initial Notes, the Company entered into a voting agreement with certain directors and executive officers of the Company and Celadon (the “Voting Agreement”). Pursuant to the Voting Agreement, the parties agreed to vote all shares of the Company’s common stock held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them in favor of the applicable stockholder proposals. See </w:t>
      </w:r>
      <w:hyperlink w:anchor="i5eb3b190369445ca961fc06dd254474d_85">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Subsequent Event</w:t>
      </w:r>
      <w:r>
        <w:rPr>
          <w:rFonts w:ascii="Times New Roman;serif" w:hAnsi="Times New Roman;serif"/>
          <w:b w:val="false"/>
          <w:color w:val="000000"/>
          <w:sz w:val="20"/>
        </w:rPr>
        <w:t>s, for information regarding the stockholder meeting at which such proposals will be considered.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June 30, 2026, no cash dividends have been declared or paid.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 Contribution from Related Party</w:t>
      </w:r>
    </w:p>
    <w:p>
      <w:pPr>
        <w:pStyle w:val="TextBody"/>
        <w:bidi w:val="0"/>
        <w:spacing w:lineRule="auto" w:line="288" w:before="0" w:after="240"/>
        <w:jc w:val="left"/>
        <w:rPr/>
      </w:pPr>
      <w:r>
        <w:rPr>
          <w:rFonts w:ascii="Times New Roman;serif" w:hAnsi="Times New Roman;serif"/>
          <w:b w:val="false"/>
          <w:color w:val="000000"/>
          <w:sz w:val="20"/>
        </w:rPr>
        <w:t xml:space="preserve">In connection with the issuance of the Initial Notes on May 20, 2026, the Company recognized a $5.7 million capital contribution from a related party in additional paid-in capital. Refer to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Securities Purchase Agreement and the Notes</w:t>
      </w:r>
      <w:r>
        <w:rPr>
          <w:rFonts w:ascii="Times New Roman;serif" w:hAnsi="Times New Roman;serif"/>
          <w:b w:val="false"/>
          <w:color w:val="000000"/>
          <w:sz w:val="20"/>
        </w:rPr>
        <w:t xml:space="preserve">, and </w:t>
      </w:r>
      <w:hyperlink w:anchor="i5eb3b190369445ca961fc06dd254474d_76">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Related Parties</w:t>
      </w:r>
      <w:r>
        <w:rPr>
          <w:rFonts w:ascii="Times New Roman;serif" w:hAnsi="Times New Roman;serif"/>
          <w:b w:val="false"/>
          <w:color w:val="000000"/>
          <w:sz w:val="20"/>
        </w:rPr>
        <w:t>,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ATM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20, 2025, the Company entered into a Sales Agreement (the “2025 ATM Agreement”) with Leerink Partners LLC (“Leerink Partners”) with respect to an at-the-market offering program under which the Company may offer and sell, from time to time at its sole discretion, up to a maximum aggregate offering price of $17.5 million of its common stock through Leerink Partners as its sales agent. Under the 2025 ATM Agreement, the Company is not obligated to sell any shares, and either party may suspend or terminate the offering of common stock upon notice to the other party and subject to certain conditions. Leerink Partners will use commercially reasonable efforts, consistent with its normal trading and sales practices, applicable state and federal law, rules and regulations and the rules of The Nasdaq Capital Market, to sell shares from time to time based upon the Company’s instructions, including any price, time or size limits specified by the Company. The Company pays Leerink Partners a commission equal to 3.0% of the gross proceeds of any shares of common stock sold, and has agreed to reimburse certain fees and disbursements and provide Leerink Partners with customary indemnification and contribution rights. For the three and six months ended June 30, 2026, no shares had been issued under the 2025 ATM Agreement. Through June 30, 2026, the Company sold 4,833,477 shares of common stock under the 2025 ATM Agreement at a weighted average price of $2.38 per share, resulting in gross proceeds of $11.5 million and net proceeds of $10.6 million after sales agent commissions and offering costs. For the six months ended June 30, 2025, the Company sold 155,840 shares of common stock under the 2025 ATM Agreement at a weighted average price of $3.53 per share, resulting in gross proceeds of $0.6 million and net proceeds of zero after sales agent commissions and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of Directors has the authority to issue $0.0001 par value preferred stock in one or more series and to establish from time to time the number of shares to be included in each such series, by adopting a resolution and filing a certificate of designation. Voting powers, designations, powers, preferences and relative, participating, optional, special and other rights shall be stated and expressed in such resolutions.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 2024, the Company entered into a securities purchase agreement with certain investors in which the Company agreed to sell, in a private placement (the “Offering”), (i) up to 21,157 shares of Series A redeemable convertible preferred stock, par value $0.0001 per share, for an aggregate offering price of $47.6 million and (ii) accompanying warrants to purchase up to 31,735,500 shares of common stock, par value $0.0001 per share. Each share of Series A redeemable convertible preferred stock was issued at $2,250.00 per share and, subject to Stockholder Approval (defined below), was convertible into 1,000 shares of common stock. Each Warrant has an exercise price per share of $2.30. The Warrants are exercisable at any time on or after the Stockholder Approval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or prior to the five year anniversary of the original issuance date. A holder of a Warrant may not exercise the Warrant if the holder, together with its affiliates, would beneficially own more than 4.99% (or, at the election of the holder, 9.99%) of the number of shares of the common stock outstanding immediately after giving effect to such exercise. A holder of a Warrant may increase or decrease this percentage not in excess of 45% by providing at least 61 days’ prior notice to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December 9, 2024, the Company closed the initial tranche of the Offering, in which the Company issued 16,713 shares of Series A redeemable convertible preferred stock and Warrants to purchase 25,069,500 shares of common stock for net proceeds of $35.2 million, net of issuance costs of $2.4 million. Additionally, an investor had the option to purchase up to an additional 4,444 shares of Series A redeemable convertible preferred stock and Warrants to purchase 6,666,000 shares of common stock at a subsequent closing. On December 31, 2024, the Company closed the second tranche of the Offering, in which the Company issued 4,444 shares of Series A redeemable convertible preferred stock and Warrants to purchase 6,666,000 shares of common stock for net proceeds of $9.9 million, net of issuance costs of $0.1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6, 2025, at a special meeting of the Company’s stockholders, the stockholders approved the issuance of common stock in accordance with Nasdaq Listing Rule 5635 upon (i) conversion of Series A redeemable convertible preferred stock and (ii) the exercise of warrants to purchase shares of common stock. Subsequently, on March 10, 2025, the Company converted the outstanding shares of Series A redeemable convertible preferred stock into 21,157,000 shares of common stock, at the conversion price of $2.25 per share, subject to the terms and limitations contained in the Certificate of Designation.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 convertible preferred stock authorized or outstanding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its common stock for future issuance as follows:</w:t>
      </w:r>
    </w:p>
    <w:tbl>
      <w:tblPr>
        <w:tblW w:w="10205" w:type="dxa"/>
        <w:jc w:val="left"/>
        <w:tblInd w:w="0" w:type="dxa"/>
        <w:tblLayout w:type="fixed"/>
        <w:tblCellMar>
          <w:top w:w="28" w:type="dxa"/>
          <w:left w:w="28" w:type="dxa"/>
          <w:bottom w:w="28" w:type="dxa"/>
          <w:right w:w="28" w:type="dxa"/>
        </w:tblCellMar>
      </w:tblPr>
      <w:tblGrid>
        <w:gridCol w:w="2792"/>
        <w:gridCol w:w="2456"/>
        <w:gridCol w:w="2463"/>
        <w:gridCol w:w="366"/>
        <w:gridCol w:w="332"/>
        <w:gridCol w:w="338"/>
        <w:gridCol w:w="109"/>
        <w:gridCol w:w="109"/>
        <w:gridCol w:w="109"/>
        <w:gridCol w:w="334"/>
        <w:gridCol w:w="334"/>
        <w:gridCol w:w="463"/>
      </w:tblGrid>
      <w:tr>
        <w:trPr/>
        <w:tc>
          <w:tcPr>
            <w:tcW w:w="2792"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4,863,455</w:t>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1,101,825</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issuance under equity plans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2,583,937</w:t>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issuance under the 2022 Employee Stock Purchase Plan (the “ESPP”)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127,681</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 issued in connection with Series A redeemable convertible preferred stock</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w:t>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reserved for issuance upon exchange of the Initial Notes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23,957,835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Option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1,963,344</w:t>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65,957,594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42,375,742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Stock-based Compensation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Equity Incentive Plan (the “2022 EIP”)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January 1, 2026, the number of shares of common stock reserved for issuance under the 2022 EIP increased by 1,543,967 shares. As of June 30, 2026, the total number of shares of common stock available for issuance under the 2022 Plan is 2,398,620.</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Inducement Plan (the “2022 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total number of shares of common stock available for issuance under the 2022 Inducement Plan is 2,140,718.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Employee Stock Purchase Plan (the “2022 ESPP”)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 2026, the number of shares of common stock reserved for issuance under the 2022 ESPP increased by 308,793 shares. As of June 30, 2026, the total number of shares of common stock available for issuance under the ESPP is 436,474.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stock-based compensation was as follows:</w:t>
      </w:r>
    </w:p>
    <w:tbl>
      <w:tblPr>
        <w:tblW w:w="7577" w:type="dxa"/>
        <w:jc w:val="left"/>
        <w:tblInd w:w="0" w:type="dxa"/>
        <w:tblLayout w:type="fixed"/>
        <w:tblCellMar>
          <w:top w:w="28" w:type="dxa"/>
          <w:left w:w="28" w:type="dxa"/>
          <w:bottom w:w="28" w:type="dxa"/>
          <w:right w:w="28" w:type="dxa"/>
        </w:tblCellMar>
      </w:tblPr>
      <w:tblGrid>
        <w:gridCol w:w="991"/>
        <w:gridCol w:w="873"/>
        <w:gridCol w:w="880"/>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9. Net Loss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reconciliation of net loss available to common stockholders and the number of shares in the calculation of basic and diluted net loss per share is as follows:</w:t>
      </w:r>
    </w:p>
    <w:tbl>
      <w:tblPr>
        <w:tblW w:w="10205" w:type="dxa"/>
        <w:jc w:val="left"/>
        <w:tblInd w:w="0" w:type="dxa"/>
        <w:tblLayout w:type="fixed"/>
        <w:tblCellMar>
          <w:top w:w="28" w:type="dxa"/>
          <w:left w:w="28" w:type="dxa"/>
          <w:bottom w:w="28" w:type="dxa"/>
          <w:right w:w="28" w:type="dxa"/>
        </w:tblCellMar>
      </w:tblPr>
      <w:tblGrid>
        <w:gridCol w:w="1769"/>
        <w:gridCol w:w="1321"/>
        <w:gridCol w:w="1327"/>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76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18,091,478 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the Company was in a loss position for all periods presented, basic net loss per share is the same as diluted net loss per share for all periods presented. The following potential common stock securities were excluded from the computation of diluted net loss per share attributable to common stockholders for the periods presented because including them would have been anti-dilutive (on an as-converted basis):</w:t>
      </w:r>
    </w:p>
    <w:tbl>
      <w:tblPr>
        <w:tblW w:w="10205" w:type="dxa"/>
        <w:jc w:val="left"/>
        <w:tblInd w:w="0" w:type="dxa"/>
        <w:tblLayout w:type="fixed"/>
        <w:tblCellMar>
          <w:top w:w="28" w:type="dxa"/>
          <w:left w:w="28" w:type="dxa"/>
          <w:bottom w:w="28" w:type="dxa"/>
          <w:right w:w="28" w:type="dxa"/>
        </w:tblCellMar>
      </w:tblPr>
      <w:tblGrid>
        <w:gridCol w:w="1427"/>
        <w:gridCol w:w="1255"/>
        <w:gridCol w:w="1259"/>
        <w:gridCol w:w="750"/>
        <w:gridCol w:w="331"/>
        <w:gridCol w:w="159"/>
        <w:gridCol w:w="159"/>
        <w:gridCol w:w="159"/>
        <w:gridCol w:w="159"/>
        <w:gridCol w:w="750"/>
        <w:gridCol w:w="331"/>
        <w:gridCol w:w="159"/>
        <w:gridCol w:w="109"/>
        <w:gridCol w:w="109"/>
        <w:gridCol w:w="109"/>
        <w:gridCol w:w="677"/>
        <w:gridCol w:w="404"/>
        <w:gridCol w:w="150"/>
        <w:gridCol w:w="150"/>
        <w:gridCol w:w="150"/>
        <w:gridCol w:w="150"/>
        <w:gridCol w:w="677"/>
        <w:gridCol w:w="404"/>
        <w:gridCol w:w="218"/>
      </w:tblGrid>
      <w:tr>
        <w:trPr/>
        <w:tc>
          <w:tcPr>
            <w:tcW w:w="1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4,640,722 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4,417,157 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4,640,722 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4,417,157 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1,097,209 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 issued in connection with Series A redeemable convertible preferred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issuable upon exchange of the Initial Notes</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15,971,890</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15,971,890 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Option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1,963,344 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1,963,344 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52,995,837 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39,213,210 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52,995,837 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39,213,210 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Note 10. Cash, Cash Equivalents and Restricted Cash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cash, cash equivalents and restricted cash:</w:t>
      </w:r>
    </w:p>
    <w:tbl>
      <w:tblPr>
        <w:tblW w:w="4667" w:type="dxa"/>
        <w:jc w:val="center"/>
        <w:tblInd w:w="0" w:type="dxa"/>
        <w:tblLayout w:type="fixed"/>
        <w:tblCellMar>
          <w:top w:w="28" w:type="dxa"/>
          <w:left w:w="28" w:type="dxa"/>
          <w:bottom w:w="28" w:type="dxa"/>
          <w:right w:w="28" w:type="dxa"/>
        </w:tblCellMar>
      </w:tblPr>
      <w:tblGrid>
        <w:gridCol w:w="819"/>
        <w:gridCol w:w="722"/>
        <w:gridCol w:w="724"/>
        <w:gridCol w:w="211"/>
        <w:gridCol w:w="616"/>
        <w:gridCol w:w="109"/>
        <w:gridCol w:w="109"/>
        <w:gridCol w:w="109"/>
        <w:gridCol w:w="109"/>
        <w:gridCol w:w="221"/>
        <w:gridCol w:w="757"/>
        <w:gridCol w:w="161"/>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(1)As of June 30, 2026, restricted cash balance primarily consisted of a letter of credit for the Alameda Lease of $0.9 million, and a letter of credit for the HQ Lease of $0.5 million. As of December 31, 2025, restricted cash balance primarily consisted of a letter of credit for the Alameda Lease of $2.9 million, and a letter of credit for the HQ Lease of $0.5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Company’s cash equivalents and restricted cash:</w:t>
      </w:r>
    </w:p>
    <w:tbl>
      <w:tblPr>
        <w:tblW w:w="4788" w:type="dxa"/>
        <w:jc w:val="left"/>
        <w:tblInd w:w="0" w:type="dxa"/>
        <w:tblLayout w:type="fixed"/>
        <w:tblCellMar>
          <w:top w:w="28" w:type="dxa"/>
          <w:left w:w="28" w:type="dxa"/>
          <w:bottom w:w="28" w:type="dxa"/>
          <w:right w:w="28" w:type="dxa"/>
        </w:tblCellMar>
      </w:tblPr>
      <w:tblGrid>
        <w:gridCol w:w="651"/>
        <w:gridCol w:w="573"/>
        <w:gridCol w:w="575"/>
        <w:gridCol w:w="280"/>
        <w:gridCol w:w="820"/>
        <w:gridCol w:w="145"/>
        <w:gridCol w:w="109"/>
        <w:gridCol w:w="109"/>
        <w:gridCol w:w="109"/>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308"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4896" w:type="dxa"/>
        <w:jc w:val="left"/>
        <w:tblInd w:w="0" w:type="dxa"/>
        <w:tblLayout w:type="fixed"/>
        <w:tblCellMar>
          <w:top w:w="28" w:type="dxa"/>
          <w:left w:w="28" w:type="dxa"/>
          <w:bottom w:w="28" w:type="dxa"/>
          <w:right w:w="28" w:type="dxa"/>
        </w:tblCellMar>
      </w:tblPr>
      <w:tblGrid>
        <w:gridCol w:w="651"/>
        <w:gridCol w:w="573"/>
        <w:gridCol w:w="575"/>
        <w:gridCol w:w="252"/>
        <w:gridCol w:w="863"/>
        <w:gridCol w:w="129"/>
        <w:gridCol w:w="110"/>
        <w:gridCol w:w="110"/>
        <w:gridCol w:w="110"/>
        <w:gridCol w:w="110"/>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all of the Company’s cash equivalents and restricted cash were in money market funds and no allowance for credit loss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for assets and liabilities measured at fair value, the respective fair value and the classification by level of input within the fair value hierarchy. No securities have contractual maturities of longer than one year. There were no transfers between Levels 1, 2, or 3 for any of the periods presented.</w:t>
      </w:r>
    </w:p>
    <w:tbl>
      <w:tblPr>
        <w:tblW w:w="6919" w:type="dxa"/>
        <w:jc w:val="left"/>
        <w:tblInd w:w="0" w:type="dxa"/>
        <w:tblLayout w:type="fixed"/>
        <w:tblCellMar>
          <w:top w:w="28" w:type="dxa"/>
          <w:left w:w="28" w:type="dxa"/>
          <w:bottom w:w="28" w:type="dxa"/>
          <w:right w:w="28" w:type="dxa"/>
        </w:tblCellMar>
      </w:tblPr>
      <w:tblGrid>
        <w:gridCol w:w="1156"/>
        <w:gridCol w:w="1017"/>
        <w:gridCol w:w="1021"/>
        <w:gridCol w:w="211"/>
        <w:gridCol w:w="616"/>
        <w:gridCol w:w="109"/>
        <w:gridCol w:w="109"/>
        <w:gridCol w:w="109"/>
        <w:gridCol w:w="109"/>
        <w:gridCol w:w="211"/>
        <w:gridCol w:w="616"/>
        <w:gridCol w:w="109"/>
        <w:gridCol w:w="109"/>
        <w:gridCol w:w="109"/>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0" w:type="dxa"/>
            <w:gridSpan w:val="4"/>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 related party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5769" w:type="dxa"/>
        <w:jc w:val="left"/>
        <w:tblInd w:w="0" w:type="dxa"/>
        <w:tblLayout w:type="fixed"/>
        <w:tblCellMar>
          <w:top w:w="28" w:type="dxa"/>
          <w:left w:w="28" w:type="dxa"/>
          <w:bottom w:w="28" w:type="dxa"/>
          <w:right w:w="28" w:type="dxa"/>
        </w:tblCellMar>
      </w:tblPr>
      <w:tblGrid>
        <w:gridCol w:w="1042"/>
        <w:gridCol w:w="917"/>
        <w:gridCol w:w="920"/>
        <w:gridCol w:w="211"/>
        <w:gridCol w:w="721"/>
        <w:gridCol w:w="109"/>
        <w:gridCol w:w="109"/>
        <w:gridCol w:w="109"/>
        <w:gridCol w:w="109"/>
        <w:gridCol w:w="211"/>
        <w:gridCol w:w="721"/>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Liabilities Classified as Level 3</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Convertible notes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convertible notes - related party is based on significant unobservable inputs and is classified as a Level 3 measurement within the fair value hierarchy. The Company estimated the fair value of the convertible notes - related party using a probability-weighted expected return method that considered potential conversion, merger and liquidation scenarios.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inputs used in the valuation as of May 20, 2026 and June 30, 2026 included the probability assigned to each scenario and the estimated value of the contingent value rights expected to be issued in connection with the potential merger transaction. Changes in these assumptions could materially affect the estimated fair value of the convertible notes - related party. Because the scenario probabilities are interrelated and must total 100%, a change in the probability assigned to one scenario results in a corresponding change in the probabilities assigned to one or more of the other scenarios. The estimated fair value would generally increase with a higher probability assigned to the conversion scenario or a higher estimated CVR value and decrease with a higher probability assigned to the liquidation scenario. The effect of a change in the probability assigned to the merger scenario depends on the corresponding changes in the probabilities assigned to the conversion and liquidation scenarios.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unobservable inputs used in estimating the fair value of the Initial Notes upon initial recognition and as of June 30, 2026:</w:t>
      </w:r>
    </w:p>
    <w:tbl>
      <w:tblPr>
        <w:tblW w:w="5425" w:type="dxa"/>
        <w:jc w:val="left"/>
        <w:tblInd w:w="0" w:type="dxa"/>
        <w:tblLayout w:type="fixed"/>
        <w:tblCellMar>
          <w:top w:w="28" w:type="dxa"/>
          <w:left w:w="28" w:type="dxa"/>
          <w:bottom w:w="28" w:type="dxa"/>
          <w:right w:w="28" w:type="dxa"/>
        </w:tblCellMar>
      </w:tblPr>
      <w:tblGrid>
        <w:gridCol w:w="1058"/>
        <w:gridCol w:w="932"/>
        <w:gridCol w:w="935"/>
        <w:gridCol w:w="298"/>
        <w:gridCol w:w="299"/>
        <w:gridCol w:w="467"/>
        <w:gridCol w:w="109"/>
        <w:gridCol w:w="109"/>
        <w:gridCol w:w="109"/>
        <w:gridCol w:w="296"/>
        <w:gridCol w:w="297"/>
        <w:gridCol w:w="516"/>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20,</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conversion scenario</w:t>
            </w:r>
          </w:p>
        </w:tc>
        <w:tc>
          <w:tcPr>
            <w:tcW w:w="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merger scenario</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liquidation scenario</w:t>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conversion date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11/23/2026</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merger date</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7/31/2026</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liquidation date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11/23/2026</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the Company’s convertible notes - related party:</w:t>
      </w:r>
    </w:p>
    <w:tbl>
      <w:tblPr>
        <w:tblW w:w="6614" w:type="dxa"/>
        <w:jc w:val="left"/>
        <w:tblInd w:w="0" w:type="dxa"/>
        <w:tblLayout w:type="fixed"/>
        <w:tblCellMar>
          <w:top w:w="28" w:type="dxa"/>
          <w:left w:w="28" w:type="dxa"/>
          <w:bottom w:w="28" w:type="dxa"/>
          <w:right w:w="28" w:type="dxa"/>
        </w:tblCellMar>
      </w:tblPr>
      <w:tblGrid>
        <w:gridCol w:w="1443"/>
        <w:gridCol w:w="1271"/>
        <w:gridCol w:w="1275"/>
        <w:gridCol w:w="563"/>
        <w:gridCol w:w="1647"/>
        <w:gridCol w:w="415"/>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Notes - Related Party</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at fair value at May 20, 2026</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from change in fair value </w:t>
            </w:r>
            <w:r>
              <w:rPr>
                <w:rFonts w:ascii="Times New Roman;serif" w:hAnsi="Times New Roman;serif"/>
                <w:b w:val="false"/>
                <w:color w:val="000000"/>
                <w:sz w:val="13"/>
              </w:rPr>
              <w:t>(1)</w:t>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June 30, 2026</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gain from the change in fair value was included in “change in fair value of convertible notes—related party” in other income, net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Income Tax</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was zero for each of the three and six months ended June 30, 2026 and 2025. While the Company is subject to federal and state income taxes in various jurisdictions, due to cumulative losses the Company’s current income tax liability is zero and deferred tax assets generated from the Company’s net operating losses have been subject to a full valuation allowance, as the Company believes it is not more likely than not that the benefit will be realized due to the Company’s losses generated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Related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NEA</w:t>
      </w:r>
    </w:p>
    <w:p>
      <w:pPr>
        <w:pStyle w:val="TextBody"/>
        <w:bidi w:val="0"/>
        <w:spacing w:lineRule="auto" w:line="288" w:before="0" w:after="240"/>
        <w:jc w:val="left"/>
        <w:rPr/>
      </w:pPr>
      <w:r>
        <w:rPr>
          <w:rFonts w:ascii="Times New Roman;serif" w:hAnsi="Times New Roman;serif"/>
          <w:b w:val="false"/>
          <w:color w:val="000000"/>
          <w:sz w:val="20"/>
        </w:rPr>
        <w:t>New Enterprise Associates, Inc. (“NEA”) beneficially owned 12.1% and 12.2% of the Company’s outstanding common stock as of June 30, 2026 and December 31, 2025, respectively. NEA held one of the eight seats on the Board of Directors as of June 30, 2026 and December 31, 2025. As part of the private placement in December 2024 (</w:t>
      </w:r>
      <w:hyperlink w:anchor="i5eb3b190369445ca961fc06dd254474d_46">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NEA is also entitled to designate one additional director to the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Celadon Partners, LLC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Celadon Partners beneficially owned 31.4% and 31.7% of the Company’s outstanding common stock as of June 30, 2026 and December 31, 2025, respectively, and is considered a related party to the Company. In addition, an affiliate of Celadon Partners holds the Initial Notes. Assuming the Initial Notes were converted in full for shares of the Company’s common stock, Celadon Partners and its affiliates would beneficially own approximately 54.6% of the Company’s common stock as of June 30, 2026, on an as-converted basis.</w:t>
      </w:r>
    </w:p>
    <w:p>
      <w:pPr>
        <w:pStyle w:val="TextBody"/>
        <w:bidi w:val="0"/>
        <w:spacing w:lineRule="auto" w:line="288" w:before="0" w:after="240"/>
        <w:jc w:val="left"/>
        <w:rPr/>
      </w:pPr>
      <w:r>
        <w:rPr>
          <w:rFonts w:ascii="Times New Roman;serif" w:hAnsi="Times New Roman;serif"/>
          <w:b w:val="false"/>
          <w:color w:val="000000"/>
          <w:sz w:val="20"/>
        </w:rPr>
        <w:t>Celadon Partners is the parent company of Valere Bio, of which GeneFab is a wholly-owned subsidiary. As part of the private placement in December 2024 (</w:t>
      </w:r>
      <w:hyperlink w:anchor="i5eb3b190369445ca961fc06dd254474d_46">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xml:space="preserve">), Donald Tang, a founder and manager of Celadon, was appointed to the Board of Directors. Celadon Partners also was entitled to designate two additional directors to the Board of Directors, which were filled upon Feng Hsiung and Bryan Baum being appointed in March 2025 and July 2025, respectively. As of June 30, 2026, Celadon Partners held three of the eight seats on the Board of Directors. </w:t>
      </w:r>
    </w:p>
    <w:p>
      <w:pPr>
        <w:pStyle w:val="TextBody"/>
        <w:bidi w:val="0"/>
        <w:spacing w:lineRule="auto" w:line="288" w:before="0" w:after="240"/>
        <w:jc w:val="left"/>
        <w:rPr/>
      </w:pPr>
      <w:r>
        <w:rPr>
          <w:rFonts w:ascii="Times New Roman;serif" w:hAnsi="Times New Roman;serif"/>
          <w:b w:val="false"/>
          <w:color w:val="000000"/>
          <w:sz w:val="20"/>
        </w:rPr>
        <w:t xml:space="preserve">As discussed in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Securities Purchase Agreement and the Notes, </w:t>
      </w:r>
      <w:r>
        <w:rPr>
          <w:rFonts w:ascii="Times New Roman;serif" w:hAnsi="Times New Roman;serif"/>
          <w:b w:val="false"/>
          <w:color w:val="000000"/>
          <w:sz w:val="20"/>
        </w:rPr>
        <w:t>Senti Holdings issued to CPIF II-7 Limited, an affiliate of Celadon Partners, the Initial Notes with an aggregate principal amount of $10.0 million. The Company received gross cash proceeds of $10.0 million and paid a $0.3 million fee to the Holder on May 20, 2026. Upon issuance, the Initial Notes were recognized at a fair value of $4.3 million, and the $5.7 million excess of the gross cash proceeds received over the initial fair value of the Initial Notes was recognized as a capital contribution from a related party in additional paid-in capital.</w:t>
      </w:r>
    </w:p>
    <w:p>
      <w:pPr>
        <w:pStyle w:val="TextBody"/>
        <w:bidi w:val="0"/>
        <w:spacing w:lineRule="auto" w:line="288" w:before="0" w:after="240"/>
        <w:jc w:val="left"/>
        <w:rPr/>
      </w:pPr>
      <w:r>
        <w:rPr>
          <w:rFonts w:ascii="Times New Roman;serif" w:hAnsi="Times New Roman;serif"/>
          <w:b w:val="false"/>
          <w:color w:val="000000"/>
          <w:sz w:val="20"/>
        </w:rPr>
        <w:t xml:space="preserve">As of June 30, 2026, the fair value of the convertible notes - related party was $4.0 million on the condensed consolidated balance sheets. For each of the three and six months ended June 30, 2026, the Company recognized a gain of $0.3 million related to changes in the fair value of the convertible notes - related party. Refer to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Securities Purchase Agreement and the Notes</w:t>
      </w:r>
      <w:r>
        <w:rPr>
          <w:color w:val="000000"/>
        </w:rPr>
        <w:t xml:space="preserve"> </w:t>
      </w:r>
      <w:r>
        <w:rPr>
          <w:rFonts w:ascii="Times New Roman;serif" w:hAnsi="Times New Roman;serif"/>
          <w:b w:val="false"/>
          <w:color w:val="000000"/>
          <w:sz w:val="20"/>
        </w:rPr>
        <w:t xml:space="preserve">and </w:t>
      </w:r>
      <w:hyperlink w:anchor="i5eb3b190369445ca961fc06dd254474d_70">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jc w:val="left"/>
        <w:rPr/>
      </w:pPr>
      <w:r>
        <w:rPr>
          <w:rFonts w:ascii="Times New Roman;serif" w:hAnsi="Times New Roman;serif"/>
          <w:b w:val="false"/>
          <w:color w:val="000000"/>
          <w:sz w:val="20"/>
        </w:rPr>
        <w:t xml:space="preserve">Subsequent to June 30, 2026, the Company entered into a merger agreement involving an entity affiliated with Celadon Partners and issued additional Notes to CPIF II-7 Limited. Refer to </w:t>
      </w:r>
      <w:hyperlink w:anchor="i5eb3b190369445ca961fc06dd254474d_85">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 Subsequent Events,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Bayer Healthcare LLC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Bayer Healthcare, LLC (“Bayer”) beneficially owned 9.0% and 19.9% of the Company’s outstanding common stock as of June 30, 2026 and December 31, 2025, respectively, and is considered a related party to the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Bayer is the parent company of BlueRock Therapeutics LP (“BlueRock”). The Company and BlueRock entered a collaboration and option agreement (“BlueRock Agreement”) in May 2021, pursuant to which the Company and BlueRock, on a program-by-collaboration program basis, collaborate in many aspects for the development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therapy products. The Company was responsible for up to $10 million in costs and expenses incurred in connection with the research plan and related activities to be conducted over a three-year research term. The Company completed the initial research plan and related activities in May 2024. If the Company and BlueRock agree to add new research activities to the research plan, then BlueRock will be obligated to reimburse the Company for the costs and expenses incurred. As of June 30, 2026, Bayer has not exercised its option for a license.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collaboration revenue with Bayer of less than $0.1 million in the condensed consolidated statements of operations and comprehensive loss. As of June 30, 2026 and December 31, 2025, deferred revenue with Bayer of less than $0.1 million was recorded in the condensed consolidated balance sheets. These amounts relate to an option exercise period extension fee under the BlueRock Agreement.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GeneFab</w:t>
      </w:r>
    </w:p>
    <w:p>
      <w:pPr>
        <w:pStyle w:val="TextBody"/>
        <w:bidi w:val="0"/>
        <w:spacing w:lineRule="auto" w:line="288" w:before="0" w:after="240"/>
        <w:jc w:val="left"/>
        <w:rPr/>
      </w:pPr>
      <w:r>
        <w:rPr>
          <w:rFonts w:ascii="Times New Roman;serif" w:hAnsi="Times New Roman;serif"/>
          <w:b w:val="false"/>
          <w:color w:val="000000"/>
          <w:sz w:val="20"/>
        </w:rPr>
        <w:t>As a result of the transaction with GeneFab (</w:t>
      </w:r>
      <w:hyperlink w:anchor="i5eb3b190369445ca961fc06dd254474d_37">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GeneFab supports the Company’s clinical manufacturing of its CAR-NK programs, including SENTI-202. GeneFab’s Chief Executive Officer, Philip Lee, Ph.D., was the former Co-Founder and Chief Technology Officer of the Company. The Company determined GeneFab is a related party and the Company reports transactions with GeneFab under ASC 850. Refer to </w:t>
      </w:r>
      <w:hyperlink w:anchor="i5eb3b190369445ca961fc06dd254474d_37">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GeneFab Transaction </w:t>
      </w:r>
      <w:r>
        <w:rPr>
          <w:rFonts w:ascii="Times New Roman;serif" w:hAnsi="Times New Roman;serif"/>
          <w:b w:val="false"/>
          <w:color w:val="000000"/>
          <w:sz w:val="20"/>
        </w:rPr>
        <w:t>for the financial assets and liabilities recorded on the condensed consolidated balance sheets related to GeneFab.</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GeneFab subleased the facility included in the Alameda lease from the Company. </w:t>
      </w:r>
    </w:p>
    <w:p>
      <w:pPr>
        <w:pStyle w:val="TextBody"/>
        <w:bidi w:val="0"/>
        <w:spacing w:lineRule="auto" w:line="288" w:before="0" w:after="240"/>
        <w:jc w:val="left"/>
        <w:rPr/>
      </w:pPr>
      <w:r>
        <w:rPr>
          <w:rFonts w:ascii="Times New Roman;serif" w:hAnsi="Times New Roman;serif"/>
          <w:b w:val="false"/>
          <w:color w:val="000000"/>
          <w:sz w:val="20"/>
        </w:rPr>
        <w:t xml:space="preserve">As of June 30, 2026, GeneFab subleased from the Company the facility subject to the Alameda lease. As of June 30, 2026 and December 31, 2025, the Company had no sublease income receivable and $0.8 million of sublease income receivable, respectively, recorded in GeneFab receivable - related party on the condensed consolidated balance sheets. Refer to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Operating Leases for the sublease discussion. </w:t>
      </w:r>
    </w:p>
    <w:p>
      <w:pPr>
        <w:pStyle w:val="TextBody"/>
        <w:bidi w:val="0"/>
        <w:spacing w:lineRule="auto" w:line="288" w:before="0" w:after="240"/>
        <w:jc w:val="left"/>
        <w:rPr/>
      </w:pPr>
      <w:r>
        <w:rPr>
          <w:rFonts w:ascii="Times New Roman;serif" w:hAnsi="Times New Roman;serif"/>
          <w:b w:val="false"/>
          <w:color w:val="000000"/>
          <w:sz w:val="20"/>
        </w:rPr>
        <w:t xml:space="preserve">The Company incurred certain costs on behalf of GeneFab under a transition services agreement, and reimbursement of such costs was due from GeneFab. As of June 30, 2026 and December 31, 2025, the Company recorded $0.6 million and $0.5 million, respectively, in GeneFab receivable - related party on the condensed consolidated balance sheets. The Company’s research and development expenses under the services agreement were $3.5 million and $3.6 million for the three months ended June 30, 2026 and 2025, respectively, and $3.8 million and $7.7 million for the six months ended June 30, 2026 and 2025, respectively. Refer to </w:t>
      </w:r>
      <w:hyperlink w:anchor="i5eb3b190369445ca961fc06dd254474d_196">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GeneFab Transaction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14. Commitments and Contingencies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contractual agreements with third parties that include non-cancelable payment obligations, for which the Company is liable in future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Segment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views operations and manages the business as one operating and reportable segment, which is the research and development of the Company’s gene circuit platform. The Company’s Chief Operating Decision Maker (the “CODM”), its Chief Executive Officer, manages and allocates resources on a consolidated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cash and cash equivalents were $6.5 million and $16.4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the segment loss, including significant expenses, was as noted in the table below.</w:t>
      </w:r>
    </w:p>
    <w:tbl>
      <w:tblPr>
        <w:tblW w:w="10205" w:type="dxa"/>
        <w:jc w:val="left"/>
        <w:tblInd w:w="0" w:type="dxa"/>
        <w:tblLayout w:type="fixed"/>
        <w:tblCellMar>
          <w:top w:w="28" w:type="dxa"/>
          <w:left w:w="28" w:type="dxa"/>
          <w:bottom w:w="28" w:type="dxa"/>
          <w:right w:w="28" w:type="dxa"/>
        </w:tblCellMar>
      </w:tblPr>
      <w:tblGrid>
        <w:gridCol w:w="1743"/>
        <w:gridCol w:w="1497"/>
        <w:gridCol w:w="1512"/>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4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services and supplies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services and supplies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 - related party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Subsequent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July 14, 2026, the Company entered into an agreement with a private affiliate of its largest stockholder, Celadon Partners, under which that affiliate would acquire substantially all of the Company’s existing business and pipeline through a merger transaction. Following the transaction, the Company is expected to remain a public company with a significantly streamlined operating structure, retaining certain intellectual property, collaborations and early-stage programs focused on its Regulator Dial™ technology platform while the remaining business will merge into the private company. Company stockholders, as well as certain holders of equity awards and warrants, will, upon closing of the transaction, have the right to receive certain contingent value rights that may provide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payments if specified development, regulatory and commercial milestones for SENTI-202 are achieved. The transaction is subject to stockholder approval and other customary closing conditions. See below for more detailed information about the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14, 2026, the Company entered into an Agreement and Plan of Merger (the “Merger Agreement”) with Celadon Partners SPV 35 Limited (“Parent”), Senti Merger Sub, Inc., a wholly owned subsidiary of Parent (“Merger Sub”), Senti Holdings, Inc., a wholly owned subsidiary of the Company (“Midco”), and Senti Biosciences, Inc., a wholly owned subsidiary of Midco (“Opco”). Parent is an affiliate of Celadon Partners, the Company’s largest stockholder and a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and subject to the satisfaction or waiver of the conditions set forth therein, Merger Sub will merge with and into Midco, with Midco continuing as the surviving corporation and becoming a wholly owned subsidiary of Parent (the “Merger”). Upon completion of the Merger, Parent will acquire substantially all of the Company’s existing business and pipeline held through Midco and Opco. The Company is expected to remain a publicly traded company and retain certain intellectual property, contracts and early-stage development programs, including the Company’s program seeking a treatment for Rett Syndrome utilizing the Company’s Regulator Dial™ technology (the “Rett Syndrome program”) and the Company’s platform of Regulator Dial-enabled armored tumor-infiltrating lymphocyte therapies (the “TIL program”). Opco will license or assign to the Company all intellectual property and contracts needed for the Company to advance the Rett Syndrome and TIL programs. The Company is also expected to retain a modest amount of cash to fund initial development activities and ongoing public company costs. The Merger Agreement also contains customary restrictions on the conduct of the Company’s business between signing and closing of the Merger.</w:t>
      </w:r>
    </w:p>
    <w:p>
      <w:pPr>
        <w:pStyle w:val="TextBody"/>
        <w:bidi w:val="0"/>
        <w:spacing w:lineRule="auto" w:line="288" w:before="0" w:after="240"/>
        <w:jc w:val="left"/>
        <w:rPr/>
      </w:pPr>
      <w:r>
        <w:rPr>
          <w:rFonts w:ascii="Times New Roman;serif" w:hAnsi="Times New Roman;serif"/>
          <w:b w:val="false"/>
          <w:color w:val="000000"/>
          <w:sz w:val="20"/>
        </w:rPr>
        <w:t xml:space="preserve">The completion of the Merger is subject to (i) the affirmative vote of holders of a majority of the outstanding shares of the Company’s common stock and (ii) the affirmative vote of a majority of the votes cast by holders of shares of the Company’s common stock, other than shares beneficially owned, directly or indirectly, by Parent, Merger Sub or any of their respective affiliates (the “Majority of the Minority Approval”), and the satisfaction or waiver of other customary closing conditions. See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Securities Purchase Agreement and the Notes</w:t>
      </w:r>
      <w:r>
        <w:rPr>
          <w:rFonts w:ascii="Times New Roman;serif" w:hAnsi="Times New Roman;serif"/>
          <w:b w:val="false"/>
          <w:color w:val="000000"/>
          <w:sz w:val="20"/>
        </w:rPr>
        <w:t>, for additional information regarding the Notes and the Exchange Cap. The Merger Agreement contains customary termination provisions and provides that, under certain specified circumstances, the Company may be required to pay Parent a termination fee of $2.5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Contingent Value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Company’s stockholders and certain holders of the Company’s equity awards and warrants will be entitled to receive contingent value rights (“CVRs”). No cash will be paid to the Company or the holders of the Company’s common stock at the closing of the Merger as consideration for the Merger. The Merger Consideration will consist exclusively of the right to receive contingent cash payments (the “Milestone Payment Amounts”), which right will be distributed to the Company’s stockholders in the form of CVRs. The CVRs will provide their holders with the right to receive a pro rata portion of contingent cash payments of up to $60.0 million in the aggregate (the “Aggregate Payment Cap”) upon the achievement of the following specified milestones relating to SENTI-202, each of which must be achieved on or before the seventh anniversary of the closing of the Merger (the “Milestone Expiration Date”): (i) $10.0 million upon the filing and acceptance (or the passing of the 60-day review period without rejection) of a Biologics License Application (“BLA”) with the U.S. Food and Drug Administration (“FDA”) for SENTI-202; (ii) $20.0 million upon receipt of FDA approval of such BLA; and (iii) $30.0 million upon the achievement of cumulative worldwide net sales of SENTI-202 in excess of $200.0 million. There can be no assurance that any of the milestones will be achieved or that any payments will be made under the CVRs.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CVRs will not be evidenced by a certificate or other instrument, will not have voting or dividend rights, and interest will not accrue on any amounts payable on the CVRs. The CVRs will not represent any equity or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 Parent, Midco or any of their affiliates. The CVRs may not be sold, assigned, transferred, pledged or otherwise disposed of, except under certain limited circumstances specified in the CVR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Immediately prior to the closing of the Merger, each outstanding stock option and restricted stock unit award of the Company, whether vested or unvested, will become fully vested. Each stock option, restricted stock unit and warrant that is outstanding as of immediately prior to the CVR record date will entitle such holder to receive, upon exercise or settlement thereof, a number of CVRs equal to the number of shares of the Company’s common stock subject to such award, reduced by any applicable withholding taxes, subject to the terms and conditions of the applicable award and the CVR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Additional Financing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Securities Purchase Agreement, Senti Holdings is not obligated to issue any additional Notes unless the parties executed, within 30 days of the closing of the Initial Notes, definitive documents for a potential transaction pursuant to which, if consummated, an entity affiliated with Celadon Partners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Merger Agreement, which constitutes such definitive document, was executed on July 14, 2026, more than 30 days after the closing of the Initial Notes on May 20, 2026. Notwithstanding the foregoing, pursuant to the Merger Agreement, no later than 21 days from the date of the Merger Agreement (unless Parent and the Company mutually agree in writing to a later date), Parent or an affiliate of Parent was required to fund and purchase additional Notes in accordance with the terms of the Securities Purchase Agreement, in an amount equal to $6.0 million (the “Additional Funding Amount” and the Notes purchased in connection therewith, the “Additional Notes”), minus the aggregate amount of net proceeds actually received by the Company from sales of common stock pursuant to the Company’s existing at-the-market offering facility with Leerink Partners LLC following the date of the Merger Agreement (“Offset ATM Sales”). As of the date of the filing of this Quarterly Report on Form 10-Q, there have been no Offset ATM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14, 2026, Senti Holdings received net cash proceeds of $3.9 million of the Additional Funding Amount from CPIF II-7 Limited and issued $4.0 million of Additional Notes pursuant to the terms of the Securities Purchase Agreement . As of the date of the filing of this Quarterly Report on Form 10-Q, Parent or an affiliate of Parent is obligated to fund and purchase an additional $2.0 million of Additional Notes in accordance with the terms of the 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Assuming the Company issues and sells the full $6.0 million of the Additional Notes or $30.0 million in aggregate principal amount of additional Notes to Parent or an affiliate of Parent, the Issuance Approval is obtained and the Investor immediately exchanges all of its Initial Notes and additional Notes for shares of the Company’s common stock, Celadon and its affiliates would beneficially own approximately 62.3% or 77.5%, respectively, of the Company’s outstanding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evaluated the Merger Agreement and the transactions contemplated therein in accordance with ASC 855, Subsequent Events (“ASC 855”), and determined that they represent nonrecognized subsequent events. Accordingly, the condensed consolidated financial statements as of and for the three and six months ended June 30, 2026 were not adjusted to reflect the Merger, the related CVRs or the issuance of any additional Notes because completion of the Merger remains subject to stockholder approval and other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Senti Biosciences, Inc. (“Former Senti”) entered into a business combination agreement (the “Agreement”) with Dynamics Special Purpose Corp. (“DYNS”) on December 19, 2021. The transactions contemplated by the terms of the Agreement were completed on June 8, 2022, in conjunction with which DYNS changed its name to Senti Biosciences, Inc. On April 24, 2026, we completed a holding company reorganization (the “Reorganization”) pursuant to which Senti Biosciences Holdings, Inc. became the successor issuer to Former Senti and Former Senti became a direct, wholly owned subsidiary of Senti Holdings, Inc., a direct wholly owned subsidiary of Senti Biosciences Holdings, Inc.(hereafter referred to, collectively with its subsidiaries, as “Senti,” the “Company,” “we,” “us,” or “our,” unless the context otherwise requires).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financial statements and the related notes included under Part I, Item 1 of this Quarterly Report on Form 10-Q (this “Quarterly Report”) as well as Senti’s audited consolidated financial statements and notes thereto included in the Annual Report on Form 10-K for the year ended December 31, 2025 (the “Annual Report”) and filed with the Securities and Exchange Commission (the “SEC”) on March 27, 2026. Certain information contained in the discussion and analysis set forth below includes forward-looking statements that involve risks and uncertainties.</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Cautionary Statement Regarding Forward-Looking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w:t>
        <w:noBreakHyphen/>
        <w:t>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“explore,”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Annual Report and Part II, Item 1A of this Quarterly Report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applying our gene circuit technologies to develop a pipeline of medicines that use chimeric antigen receptor (“CAR”) white blood cells with the goal of addressing major challenges and providing potentially lifesaving treatments for people living with cancer. Our lead product candidates utilize off-the-shelf healthy adult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donor derived natural killer (“NK”) cells to create CAR-NK cells outfitted with gene circuit technologies in several oncology indications with high unmet need.</w:t>
      </w:r>
    </w:p>
    <w:p>
      <w:pPr>
        <w:pStyle w:val="TextBody"/>
        <w:bidi w:val="0"/>
        <w:spacing w:lineRule="auto" w:line="288" w:before="0" w:after="240"/>
        <w:jc w:val="left"/>
        <w:rPr/>
      </w:pPr>
      <w:r>
        <w:rPr>
          <w:rFonts w:ascii="Times New Roman;serif" w:hAnsi="Times New Roman;serif"/>
          <w:b w:val="false"/>
          <w:color w:val="000000"/>
          <w:sz w:val="20"/>
        </w:rPr>
        <w:t>We have incurred net losses of $17.0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$28.8 million for the six months ended June 30, 2026 and 2025, respectively. As of June 30, 2026 and December 31, 2025, we had cash and cash equivalents of $6.5 million and $16.4 million, respectively, and an accumulated deficit of $375.5 million and $358.6 million, respectively. Net cash flows used in operating activities were $21.7 million and $27.1 million during the six months ended June 30, 2026 and 2025, respectively. Substantially all of our net losses resulted from costs incurred in connection with our research and development programs and from general and administrative costs associated with our operations. We expect to continue to incur significant losses for the foreseeable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anticipate that our expenses and operating losses will increase substantially over the foreseeable future. The expected increase in expenses will be driven in large part by our ongoing activities, if and as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advance our gene circuit platform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preclinical development of our current and future product candidates and initiate additional preclinical studies;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fund clinical development of our current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commence clinical studies of our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fund manufacturing of our current and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seek regulatory approval of our current and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develop, grow, maintain, enforce and defend our intellectual property portfolio;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 additional legal, accounting, or other expenses in operating our business, including costs associated with operating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 Amendment and GeneFab Sublease Matters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our Annual Report on Form 10-K for the year ended December 31, 2025, GeneFab was in default under the GeneFab Alameda Sublease and the GeneFab HQ Sublease, and we were in default under the Alameda Lease for nonpayment of rent.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a series of agreements with our Alameda Landlord and GeneFab to restructure the Alameda Lease and related sublease arrangements and to cure the existing defaults.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17, 2026, we entered into the Alameda Lease Amendment with the Alameda Landlord, pursuant to which we reduced the leased premises from approximately 92,000 rentable square feet to approximately 46,000 rentable square feet. The Alameda Lease Amendment also reduced our future base rent obligations for the remaining term of the lease and modifies certain cost-sharing arrangements with respect to operating expenses, taxes, and utilities. In connection with the Alameda Lease Amendment, the Alameda Landlord is entitled to draw $2.0 million under our existing letter of credit, and the required letter of credit for the remainder of the lease term was reduced to approximately $0.8 million. In May 2026, the Alameda Landlord drew the $2.0 million under the Company’s letter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In connection with the Alameda Lease Amendment, on March 17, 2026, we entered into the GeneFab Alameda Sublease Amendment with GeneFab, and pursuant to which, the subleased premises were reduced to approximately 46,000 rentable square feet. The GeneFab Alameda Sublease Amendment revised the base rent, operating expenses, taxes and utilities owed by GeneFab to equal the amounts owed by us under the Alameda Lease Amendment. GeneFab also agreed to pay a $1.0 million Reduction Fee (as defined in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to the Alameda Landlord pursuant to the terms and conditions of the Consent Amendment (as defined in </w:t>
      </w:r>
      <w:hyperlink w:anchor="i5eb3b190369445ca961fc06dd254474d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9, 2026, we entered the GeneFab HQ Sublease Amendment with GeneFab, pursuant to which we accelerated the end of the HQ Lease, effective March 31, 2026. As part of this agreement, GeneFab paid all past-due sublease rent for the GeneFab HQ Sublease and no longer subleases premises under the HQ Lease from us as of June 30, 2026.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17, 2026, we entered into the GeneFab Letter Agreement with GeneFab in connection with the lease and sublease amendments described above. The GeneFab Letter Agreement provides back rent payment of $1.4 million that may be satisfied, in whole or in part, through a cash prepayment credit to be applied toward work or services to be performed by GeneFab for us under the 2024 Amended and Restated DMSA, that we may access such prepayment credit immediately and that any unpaid portion must be paid in immediately available funds by September 1, 2026. The GeneFab Letter Agreement further provides that we may access $2.0 million as a prepayment credit to be applied toward work or services to be performed by GeneFab for us under the 2024 Amended and Restated DMSA beginning September 1, 2026. This prepayment credit represents a portion of the agreed-upon settlement of past-due sublease rent. GeneFab’s failure to perform its obligations with respect to the outstanding rent or the $2.0 million prepayment credit constitutes an immediate event of default under the GeneFab Alameda Sublease Amendment. The GeneFab Letter Agreement terminates automatically once the applicable prepayment credits have been fully applied.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of these transactions, the Alameda lease default and the GeneFab sublease defaults were cured.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Holding Company Reorganization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2026, we completed a holding company reorganization (the “Reorganization”) pursuant to which the Company became the successor issuer to Senti Biosciences, Inc. (“Former Senti”) and Former Senti became a direct, wholly owned subsidiary of Senti Holdings, Inc., a direct wholly owned subsidiary of the Company. The Reorganization did not result in any change to our consolidated operations, assets, liabilities, management or the Board of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27, 2026, we entered into a securities purchase agreement with an accredited investor affiliated with Celadon, pursuant to which our wholly owned subsidiary, Senti Holdings, Inc. may issue up to $40.0 million aggregate principal amount of senior secured convertible notes, subject to specified closing conditions. The initial tranche consists of $10.0 million, with an additional tranche of up to $30.0 million subject to the investor’s election and certain additional conditions. Upon issuance, the Notes may be converted for shares of Senti Holdings’ common stock or, subject to stockholder approval, exchanged for shares of our common stock, in each case, initially at a price of $0.6261 per share, subject to customary adjustments and a full-ratchet anti-dilution adjustment if we issue or sell common stock at a price below the exchange/conversion price then in effect. On May 20, 2026, Senti Holdings issued the Initial Notes with an aggregate principal amount of $10.0 million and received gross cash proceeds of $10.0 million and paid a $0.3 million fee to the Holder. The Company also incurred $0.4 million of third-party issuance costs.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proceeds from the transaction are expected to be used for general corporate purposes, including advancing clinical and manufacturing activities for SENTI-202.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14, 2026, the Company entered into an Agreement and Plan of Merger (the “Merger Agreement”) with Celadon Partners SPV 35 Limited (“Parent”), Senti Merger Sub, Inc., a wholly owned subsidiary of Parent (“Merger Sub”), Senti Holdings, Inc., a wholly owned subsidiary of the Company (“Midco”), and Senti Biosciences, Inc., a wholly owned subsidiary of Midco (“Opco”). Parent is an affiliate of Celadon Partners, the Company’s largest stockholder and a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and subject to the satisfaction or waiver of the conditions set forth therein, Merger Sub will merge with and into Midco, with Midco continuing as the surviving corporation and becoming a wholly owned subsidiary of Parent (the “Merger”). Upon completion of the Merger, Parent will acquire substantially all of the Company’s existing business and pipeline held through Midco and Opco. The Company is expected to remain a publicly traded company and retain certain intellectual property, contracts and early-stage development programs, including the Rett Syndrome program and the TIL program. Opco will license or assign to the Company all intellectual property and contracts needed for the Company to advance the Rett Syndrome and TIL programs. The Company is also expected to retain a modest amount of cash to fund initial development activities and ongoing public company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completion of the Merger is subject to (i) the affirmative vote of holders of a majority of the outstanding shares of the Company’s common stock and (ii) the Majority of the Minority Approval, and the satisfaction or waiver of other customary closing conditions. The Merger Agreement contains customary termination provisions and provides that, under certain specified circumstances, the Company may be required to pay Parent a termination fee of $2.5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Contingent Value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Company’s stockholders and certain holders of the Company’s equity awards and warrants will be entitled to receive contingent value rights (“CVRs”). No cash will be paid to the Company or the holders of our common stock at the closing of the Merger as consideration for the Merger. The Merger Consideration will consist exclusively of the right to receive the Milestone Payment Amounts, which right will be distributed to our stockholders in the form of CVRs. The CVRs will provide their holders with the right to receive a pro rata portion of contingent cash payments of up to $60.0 million in the aggregate (the “Aggregate Payment Cap”) upon the achievement of the following specified milestones relating to SENTI-202, each of which must be achieved on or before the seventh anniversary of the closing of the Merger (the “Milestone Expiration Date”): (i) $10.0 million upon the filing and acceptance (or the passing of the 60-day review period without rejection) of a Biologics License Application (“BLA”) with the U.S. Food and Drug Administration (“FDA”) for SENTI-202; (ii) $20.0 million upon receipt of FDA approval of such BLA; and (iii) $30.0 million upon the achievement of cumulative worldwide net sales of SENTI-202 in excess of $200.0 million. There can be no assurance that any of the milestones will be achieved or that any payments will be made under the CVRs. The CVRs will not be evidenced by a certificate, will not have voting or dividend rights and may not be transferred except in limited circumstances.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Additional Financing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Securities Purchase Agreement, Senti Holdings is not obligated to issue any additional Notes unless the parties executed, within 30 days of the closing of the Initial Notes, definitive documents for a potential transaction pursuant to which, if consummated, an entity affiliated with Celadon Partners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Merger Agreement, which constitutes such definitive document, was executed on July 14, 2026, more than 30 days after the closing of the Initial Notes on May 20, 2026. Notwithstanding the foregoing, pursuant to the Merger Agreement, no later than 21 days from the date of the Merger Agreement (unless Parent and the Company mutually agree in writing to a later date), Parent or an affiliate of Parent was required to fund and purchase additional Notes in accordance with the terms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Purchase Agreement, in an amount equal to $6.0 million (the “Additional Funding Amount” and the Notes purchased in connection therewith, the “Additional Notes”), minus the aggregate amount of net proceeds actually received by the Company from sales of common stock pursuant to the Company’s existing at-the-market offering facility with Leerink Partners LLC following the date of the Merger Agreement (“Offset ATM Sales”). As of the date of the filing of this Quarterly Report on Form 10-Q, there have been no Offset ATM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14, 2026, Senti Holdings received net cash proceeds of $3.9 million of the Additional Funding Amount from CPIF II-7 Limited and issued $4.0 million of Additional Notes pursuant to the terms of the Securities Purchase Agreement. As of the date of the filing of this Quarterly Report on Form 10-Q, Parent or an affiliate of Parent is obligated to fund and purchase an additional $2.0 million of Additional Notes in accordance with the terms of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Collaboration Revenue - Related Party</w:t>
      </w:r>
    </w:p>
    <w:p>
      <w:pPr>
        <w:pStyle w:val="TextBody"/>
        <w:bidi w:val="0"/>
        <w:spacing w:lineRule="auto" w:line="288" w:before="0" w:after="240"/>
        <w:jc w:val="left"/>
        <w:rPr/>
      </w:pPr>
      <w:r>
        <w:rPr>
          <w:rFonts w:ascii="Times New Roman;serif" w:hAnsi="Times New Roman;serif"/>
          <w:b w:val="false"/>
          <w:color w:val="000000"/>
          <w:sz w:val="20"/>
        </w:rPr>
        <w:t>We currently have no products approved for sale, and we have never generated any revenue from the sale of any products. For the three and six months ended June 30, 2026, collaboration revenue consisted of an option exercise period extension fee under our Collaboration and Option Agreement (“BlueRock Agreement”) with BlueRock Therapeutics LP (“BlueRock”) and was recognized ratably over the extension period. BlueRock is a related party to us. Refer to Part I, Item 1. “Condensed Consolidated Financial Statements (Unaudited)—Notes to Condensed Consolidated Financial Statements (Unaudited) —</w:t>
      </w:r>
      <w:hyperlink w:anchor="i5eb3b190369445ca961fc06dd254474d_76">
        <w:r>
          <w:rPr>
            <w:rStyle w:val="InternetLink"/>
            <w:rFonts w:ascii="Times New Roman;serif" w:hAnsi="Times New Roman;serif"/>
            <w:b w:val="false"/>
            <w:color w:val="0000FF"/>
            <w:sz w:val="20"/>
            <w:u w:val="single"/>
          </w:rPr>
          <w:t>Note 13</w:t>
        </w:r>
      </w:hyperlink>
      <w:r>
        <w:rPr>
          <w:color w:val="000000"/>
        </w:rPr>
        <w:t>—</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in this Report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expenses, and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consist primarily of costs incurred for the discovery, and preclinical and clinical development of our product candidates, which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employee-related expenses, including salaries, related benefits, and stock-based compensation expenses for employees engaged in research and development functions;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expenses incurred in connection with research, laboratory consumables, and clinical and preclinical studies;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of consultants engaged in research and development, regulatory, and clinical related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to develop our manufacturing process and manufacturing product candidates for use in our research, preclinical studies and clinical trials, including under agreements with third parties, such as consultants, contractors and third-party contract manufacturing organizations, or CMOs;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facilities, depreciation and other expenses, which include allocated expenses for rent and maintenance of facilities, insurance and supplies;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costs related to regulatory compliance;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cost of annual license fees.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historically tracked internal research and development expenses by program, with the exception of third-party research projects until a product candidate reaches the clinical stage of development. Our internal resources, employees and infrastructure are not directly tied to any one research project or product candidate and are typically deployed across multiple programs. As such, we do not maintain information regarding these costs incurred for these early-stage research and product candidate discovery programs on a project-specific basis. We do not allocate internal research and development costs which include personnel, facility costs, laboratory consumables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discovery and research related activities associated with our pipeline because these costs are deployed across multiple programs and our platform, and, as such, are not separately classified.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direct external development expenses are tracked on a clinical program-by-clinical program basis and consist primarily of third-party contract costs relating to manufacturing, clinical trial activities, translational medicine and toxicology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consisted of the following:</w:t>
      </w:r>
    </w:p>
    <w:tbl>
      <w:tblPr>
        <w:tblW w:w="10205" w:type="dxa"/>
        <w:jc w:val="left"/>
        <w:tblInd w:w="0" w:type="dxa"/>
        <w:tblLayout w:type="fixed"/>
        <w:tblCellMar>
          <w:top w:w="28" w:type="dxa"/>
          <w:left w:w="28" w:type="dxa"/>
          <w:bottom w:w="28" w:type="dxa"/>
          <w:right w:w="28" w:type="dxa"/>
        </w:tblCellMar>
      </w:tblPr>
      <w:tblGrid>
        <w:gridCol w:w="1862"/>
        <w:gridCol w:w="1620"/>
        <w:gridCol w:w="163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6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Senti-202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 and other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development programs. Product candidates in clinical development generally have higher development costs than those in preclinical stages of development, primarily due to the increased size and duration of clinical trials. At this time, we cannot reasonably estimate or know the nature, timing and costs of the efforts that will be necessary to complete the preclinical development of any of our product candidates. However, we expect that our research and development expenses and manufacturing costs will increase in connection with our planned preclinical and clinical development activities in the near term and in the future.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successful development of our current and future product candidates is highly uncertain. This is due to numerous risks and uncertainties,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product-related side effects experienced by participants in our clinical trials or by individuals using therapeutics similar to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submitting IND applications or comparable foreign applications, or delays or failures to obtain the necessary approvals from regulators to commence a clinical trial, or a suspension or termination of a clinical trial once commenced;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conditions imposed by the FDA or other regulatory authorities regarding the scope or design of our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enrolling research subjects in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high drop-out rates of research subjects;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inadequate supply or quality of product candidate components or materials or other supplies necessary for the conduct of our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Chemistry, manufacturing and control (“CMC”) challenges associated with manufacturing and scaling up biologic product candidates to ensure consistent quality, stability, purity and potency among different batches used in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greater-than-anticipated clinical trial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poor potency or effectiveness of our product candidates during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unfavorable FDA or other regulatory authority inspection and review of a clinical trial or manufacturing site;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and changes in regulatory requirements, policies and guidelines;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FDA or other regulatory authorities interpret our data differently than we do.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the outcome of any of these variables may significantly impact the costs and timing associated with the development of our product candidates. We may never succeed in obtaining regulatory approval for any of our product candidates.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employee-related costs, including stock-based compensation for personnel in executive, finance and other administrative functions. Other significant costs include legal fees relating to corporate matters, professional fees for accounting and consulting services, insurance and an allocation of facility-related costs.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consisted of the following:</w:t>
      </w:r>
    </w:p>
    <w:tbl>
      <w:tblPr>
        <w:tblW w:w="10205" w:type="dxa"/>
        <w:jc w:val="left"/>
        <w:tblInd w:w="0" w:type="dxa"/>
        <w:tblLayout w:type="fixed"/>
        <w:tblCellMar>
          <w:top w:w="28" w:type="dxa"/>
          <w:left w:w="28" w:type="dxa"/>
          <w:bottom w:w="28" w:type="dxa"/>
          <w:right w:w="28" w:type="dxa"/>
        </w:tblCellMar>
      </w:tblPr>
      <w:tblGrid>
        <w:gridCol w:w="1887"/>
        <w:gridCol w:w="1662"/>
        <w:gridCol w:w="1675"/>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88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services and supplies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Gain on lease modification</w:t>
      </w:r>
    </w:p>
    <w:p>
      <w:pPr>
        <w:pStyle w:val="TextBody"/>
        <w:bidi w:val="0"/>
        <w:spacing w:lineRule="auto" w:line="288" w:before="0" w:after="240"/>
        <w:jc w:val="left"/>
        <w:rPr/>
      </w:pPr>
      <w:r>
        <w:rPr>
          <w:rFonts w:ascii="Times New Roman;serif" w:hAnsi="Times New Roman;serif"/>
          <w:b w:val="false"/>
          <w:color w:val="000000"/>
          <w:sz w:val="20"/>
        </w:rPr>
        <w:t>For the six months ended June 30, 2026, gain on lease modification of $6.9 million relates to the Alameda Lease Amendment. Refer to Part I, Item 1. “Condensed Consolidated Financial Statements (Unaudited)—Notes to Condensed Consolidated Financial Statements (Unaudited) —</w:t>
      </w:r>
      <w:hyperlink w:anchor="i5eb3b190369445ca961fc06dd254474d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and cash equivalents, and restricted cash held during the year.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GeneFab sublease Income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 represents income from our sublease agreement with GeneFab. Amounts are recorded based on our determination of collectability, and the sublease income amounts were deemed probable as of June 30,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convertible notes - related party</w:t>
      </w:r>
    </w:p>
    <w:p>
      <w:pPr>
        <w:pStyle w:val="TextBody"/>
        <w:bidi w:val="0"/>
        <w:spacing w:lineRule="auto" w:line="288" w:before="0" w:after="180"/>
        <w:jc w:val="left"/>
        <w:rPr/>
      </w:pPr>
      <w:r>
        <w:rPr>
          <w:rFonts w:ascii="Times New Roman;serif" w:hAnsi="Times New Roman;serif"/>
          <w:b w:val="false"/>
          <w:color w:val="000000"/>
          <w:sz w:val="20"/>
        </w:rPr>
        <w:t>The Company elected the fair value option under ASC 825 for the Initial Notes. Accordingly, the Initial Notes were initially recognized at fair value on May 20, 2026 and are subsequently remeasured at fair value at each reporting date, with changes in fair value recognized in the condensed consolidated statements of operations and comprehensive loss. Refer to Part I, Item 1. “Condensed Consolidated Financial Statements (Unaudited)—Notes to Condensed Consolidated Financial Statements (Unaudited) —</w:t>
      </w:r>
      <w:hyperlink w:anchor="i5eb3b190369445ca961fc06dd254474d_70">
        <w:r>
          <w:rPr>
            <w:rStyle w:val="InternetLink"/>
            <w:rFonts w:ascii="Times New Roman;serif" w:hAnsi="Times New Roman;serif"/>
            <w:b w:val="false"/>
            <w:color w:val="0000FF"/>
            <w:sz w:val="20"/>
            <w:u w:val="single"/>
          </w:rPr>
          <w:t>Note 11</w:t>
        </w:r>
      </w:hyperlink>
      <w:r>
        <w:rPr>
          <w:color w:val="000000"/>
        </w:rPr>
        <w:t>—</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consists of income from the sublease of a portion of our headquarters space to BKPBIOTECH and JLSA2 Therapeutics, partially offset by certain fees and interest assessed to GeneFab, miscellaneous tax, and other expense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2127"/>
        <w:gridCol w:w="1858"/>
        <w:gridCol w:w="1877"/>
        <w:gridCol w:w="211"/>
        <w:gridCol w:w="760"/>
        <w:gridCol w:w="109"/>
        <w:gridCol w:w="109"/>
        <w:gridCol w:w="109"/>
        <w:gridCol w:w="109"/>
        <w:gridCol w:w="211"/>
        <w:gridCol w:w="760"/>
        <w:gridCol w:w="109"/>
        <w:gridCol w:w="109"/>
        <w:gridCol w:w="109"/>
        <w:gridCol w:w="109"/>
        <w:gridCol w:w="211"/>
        <w:gridCol w:w="616"/>
        <w:gridCol w:w="109"/>
        <w:gridCol w:w="109"/>
        <w:gridCol w:w="109"/>
        <w:gridCol w:w="109"/>
        <w:gridCol w:w="109"/>
        <w:gridCol w:w="157"/>
      </w:tblGrid>
      <w:tr>
        <w:trPr/>
        <w:tc>
          <w:tcPr>
            <w:tcW w:w="212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7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7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related party costs of $3,516 and $3,586 for the three months ended June 30, 2026 and June 30, 2025,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 - related party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i/>
          <w:color w:val="000000"/>
          <w:sz w:val="20"/>
        </w:rPr>
        <w:t>Collaboration revenue - related party.</w:t>
      </w:r>
      <w:r>
        <w:rPr>
          <w:color w:val="000000"/>
        </w:rPr>
        <w:t xml:space="preserve"> </w:t>
      </w:r>
      <w:r>
        <w:rPr>
          <w:rFonts w:ascii="Times New Roman;serif" w:hAnsi="Times New Roman;serif"/>
          <w:b w:val="false"/>
          <w:color w:val="000000"/>
          <w:sz w:val="20"/>
        </w:rPr>
        <w:t>For the three months ended June 30, 2026, collaboration revenue related to an option exercise period extension fee under the BlueRock Agreement with a related party and was recognized ratably over the extension period. Refer to Part I, Item 1. “Condensed Consolidated Financial Statements (Unaudited)—Notes to Condensed Consolidated Financial Statements (Unaudited) —</w:t>
      </w:r>
      <w:hyperlink w:anchor="i5eb3b190369445ca961fc06dd254474d_76">
        <w:r>
          <w:rPr>
            <w:rStyle w:val="InternetLink"/>
            <w:rFonts w:ascii="Times New Roman;serif" w:hAnsi="Times New Roman;serif"/>
            <w:b w:val="false"/>
            <w:color w:val="0000FF"/>
            <w:sz w:val="20"/>
            <w:u w:val="single"/>
          </w:rPr>
          <w:t>Note 13</w:t>
        </w:r>
      </w:hyperlink>
      <w:r>
        <w:rPr>
          <w:color w:val="000000"/>
        </w:rPr>
        <w:t>—</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24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Research and development expenses were $7.8 million and $10.0 million for the three months ended June 30, 2026 and 2025, respectively. The decrease of $2.3 million was primarily due to a decrease of $1.4 million in external services and supplies cost directly related to Senti-202, a decrease of $0.5 million in personnel-related expenses, including stock-based compensation, and a decrease of $0.3 million in facilities and other cost.</w:t>
      </w:r>
    </w:p>
    <w:p>
      <w:pPr>
        <w:pStyle w:val="TextBody"/>
        <w:bidi w:val="0"/>
        <w:spacing w:lineRule="auto" w:line="288" w:before="0" w:after="240"/>
        <w:jc w:val="left"/>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were $6.7 million for each of the three months ended June 30, 2026 and 2025. The slight increase was primarily due to an increase of $1.6 million in external services and supplies cost, partially offset by a decrease of $0.8 million in personnel-related expenses, including stock-based compensation, a decrease of $0.6 million in facilities and other cost, and a decrease of $0.2 million in depreciation and amortization.</w:t>
      </w:r>
    </w:p>
    <w:p>
      <w:pPr>
        <w:pStyle w:val="TextBody"/>
        <w:bidi w:val="0"/>
        <w:spacing w:lineRule="auto" w:line="288" w:before="0" w:after="24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was $0.1 million and $0.3 million for the three months ended June 30, 2026 and 2025, respectively. The decrease is attributed to lower average cash balances in the relevant periods.</w:t>
      </w:r>
    </w:p>
    <w:p>
      <w:pPr>
        <w:pStyle w:val="TextBody"/>
        <w:bidi w:val="0"/>
        <w:spacing w:lineRule="auto" w:line="288" w:before="0" w:after="240"/>
        <w:jc w:val="left"/>
        <w:rPr/>
      </w:pPr>
      <w:r>
        <w:rPr>
          <w:rFonts w:ascii="Times New Roman;serif" w:hAnsi="Times New Roman;serif"/>
          <w:b w:val="false"/>
          <w:i/>
          <w:color w:val="000000"/>
          <w:sz w:val="20"/>
        </w:rPr>
        <w:t xml:space="preserve">GeneFab sublease income - related party. </w:t>
      </w:r>
      <w:r>
        <w:rPr>
          <w:rFonts w:ascii="Times New Roman;serif" w:hAnsi="Times New Roman;serif"/>
          <w:b w:val="false"/>
          <w:color w:val="000000"/>
          <w:sz w:val="20"/>
        </w:rPr>
        <w:t>GeneFab sublease income - related party was $1.0 million and $1.6 million for the three months ended June 30, 2026 and 2025, respectively. The decrease was due to the Alameda Lease Amendment. Refer to Part I, Item 1. “Condensed Consolidated Financial Statements (Unaudited)—Notes to Condensed Consolidated Financial Statements (Unaudited) —</w:t>
      </w:r>
      <w:hyperlink w:anchor="i5eb3b190369445ca961fc06dd254474d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180"/>
        <w:jc w:val="left"/>
        <w:rPr/>
      </w:pPr>
      <w:r>
        <w:rPr>
          <w:rFonts w:ascii="Times New Roman;serif" w:hAnsi="Times New Roman;serif"/>
          <w:b w:val="false"/>
          <w:i/>
          <w:color w:val="000000"/>
          <w:sz w:val="20"/>
        </w:rPr>
        <w:t xml:space="preserve">Change in fair value of convertible notes - related party. </w:t>
      </w:r>
      <w:r>
        <w:rPr>
          <w:rFonts w:ascii="Times New Roman;serif" w:hAnsi="Times New Roman;serif"/>
          <w:b w:val="false"/>
          <w:color w:val="000000"/>
          <w:sz w:val="20"/>
        </w:rPr>
        <w:t>Change in fair value of convertible notes - related party was a gain of $0.3 million for the three months ended June 30, 2026, compared to no gain or loss for the corresponding period in 2025, as no convertible notes were outstanding during that period. Refer to Part I, Item 1. “Condensed Consolidated Financial Statements (Unaudited)—Notes to Condensed Consolidated Financial Statements (Unaudited) —</w:t>
      </w:r>
      <w:hyperlink w:anchor="i5eb3b190369445ca961fc06dd254474d_70">
        <w:r>
          <w:rPr>
            <w:rStyle w:val="InternetLink"/>
            <w:rFonts w:ascii="Times New Roman;serif" w:hAnsi="Times New Roman;serif"/>
            <w:b w:val="false"/>
            <w:color w:val="0000FF"/>
            <w:sz w:val="20"/>
            <w:u w:val="single"/>
          </w:rPr>
          <w:t>Note 11</w:t>
        </w:r>
      </w:hyperlink>
      <w:r>
        <w:rPr>
          <w:color w:val="000000"/>
        </w:rPr>
        <w:t>—</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240"/>
        <w:jc w:val="left"/>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 xml:space="preserve">Other income, net was $0.4 million and $0.2 million for the three months ended June 30, 2026 and 2025, respectively. The increase is attributed to higher income from the sublease of a portion of our headquarters space to BKPBIOTECH and JLSA2 Therapeutics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83"/>
        <w:gridCol w:w="1997"/>
        <w:gridCol w:w="2017"/>
        <w:gridCol w:w="211"/>
        <w:gridCol w:w="763"/>
        <w:gridCol w:w="109"/>
        <w:gridCol w:w="109"/>
        <w:gridCol w:w="109"/>
        <w:gridCol w:w="109"/>
        <w:gridCol w:w="211"/>
        <w:gridCol w:w="763"/>
        <w:gridCol w:w="109"/>
        <w:gridCol w:w="109"/>
        <w:gridCol w:w="109"/>
        <w:gridCol w:w="109"/>
        <w:gridCol w:w="211"/>
        <w:gridCol w:w="721"/>
        <w:gridCol w:w="156"/>
      </w:tblGrid>
      <w:tr>
        <w:trPr/>
        <w:tc>
          <w:tcPr>
            <w:tcW w:w="228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related party costs of $3,798 and $7,656 for the six months ended June 30, 2026 and June 30, 2025, respectively)</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 - related party</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i/>
          <w:color w:val="000000"/>
          <w:sz w:val="20"/>
        </w:rPr>
        <w:t>Collaboration revenue - related party.</w:t>
      </w:r>
      <w:r>
        <w:rPr>
          <w:color w:val="000000"/>
        </w:rPr>
        <w:t xml:space="preserve"> </w:t>
      </w:r>
      <w:r>
        <w:rPr>
          <w:rFonts w:ascii="Times New Roman;serif" w:hAnsi="Times New Roman;serif"/>
          <w:b w:val="false"/>
          <w:color w:val="000000"/>
          <w:sz w:val="20"/>
        </w:rPr>
        <w:t>For the six months ended June 30, 2026, collaboration revenue related to an option exercise period extension fee under the BlueRock Agreement with a related party and was recognized ratably over the extension period. Refer to Part I, Item 1. “Condensed Consolidated Financial Statements (Unaudited)—Notes to Condensed Consolidated Financial Statements (Unaudited) —</w:t>
      </w:r>
      <w:hyperlink w:anchor="i5eb3b190369445ca961fc06dd254474d_76">
        <w:r>
          <w:rPr>
            <w:rStyle w:val="InternetLink"/>
            <w:rFonts w:ascii="Times New Roman;serif" w:hAnsi="Times New Roman;serif"/>
            <w:b w:val="false"/>
            <w:color w:val="0000FF"/>
            <w:sz w:val="20"/>
            <w:u w:val="single"/>
          </w:rPr>
          <w:t>Note 13</w:t>
        </w:r>
      </w:hyperlink>
      <w:r>
        <w:rPr>
          <w:color w:val="000000"/>
        </w:rPr>
        <w:t>—</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24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Research and development expenses were $13.0 million and $19.3 million for the six months ended June 30, 2026 and 2025 , respectively. The decrease of $6.3 million was primarily due to a decrease of $5.4 million in external services and supplies cost directly related to Senti-202, a decrease of $0.5 million in facilities and other cost, and a decrease of $0.4 million in personnel-related expenses, including stock-based compensation.</w:t>
      </w:r>
    </w:p>
    <w:p>
      <w:pPr>
        <w:pStyle w:val="TextBody"/>
        <w:bidi w:val="0"/>
        <w:spacing w:lineRule="auto" w:line="288" w:before="0" w:after="240"/>
        <w:jc w:val="left"/>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were $13.0 million and $13.9 million for the six months ended June 30, 2026 and 2025, respectively. The decrease of $0.9 million was primarily due to a decrease of $0.7 million in personnel-related expenses, including stock-based compensation, a decrease of $0.5 million in depreciation and amortization, a decrease of $0.7 million in facilities and other cost, partially offset by an increase of $0.9 million in external services and supplies cost.</w:t>
      </w:r>
    </w:p>
    <w:p>
      <w:pPr>
        <w:pStyle w:val="TextBody"/>
        <w:bidi w:val="0"/>
        <w:spacing w:lineRule="auto" w:line="288" w:before="0" w:after="240"/>
        <w:jc w:val="left"/>
        <w:rPr/>
      </w:pPr>
      <w:r>
        <w:rPr>
          <w:rFonts w:ascii="Times New Roman;serif" w:hAnsi="Times New Roman;serif"/>
          <w:b w:val="false"/>
          <w:i/>
          <w:color w:val="000000"/>
          <w:sz w:val="20"/>
        </w:rPr>
        <w:t>Gain on lease modification</w:t>
      </w:r>
      <w:r>
        <w:rPr>
          <w:rFonts w:ascii="Times New Roman;serif" w:hAnsi="Times New Roman;serif"/>
          <w:b w:val="false"/>
          <w:color w:val="000000"/>
          <w:sz w:val="20"/>
        </w:rPr>
        <w:t>. Gain on lease modification was $6.9 million for the six months ended June 30, 2026. The gain is a one-time income due to the Alameda Lease Amendment. Refer to Part I, Item 1. “Condensed Consolidated Financial Statements (Unaudited)—Notes to Condensed Consolidated Financial Statements (Unaudited) —</w:t>
      </w:r>
      <w:hyperlink w:anchor="i5eb3b190369445ca961fc06dd254474d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24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was $0.2 million and $0.7 million for the six months ended June 30, 2026 and 2025, respectively. The decrease is attributed to lower average cash balances in the relevant periods.</w:t>
      </w:r>
    </w:p>
    <w:p>
      <w:pPr>
        <w:pStyle w:val="TextBody"/>
        <w:bidi w:val="0"/>
        <w:spacing w:lineRule="auto" w:line="288" w:before="0" w:after="240"/>
        <w:jc w:val="left"/>
        <w:rPr/>
      </w:pPr>
      <w:r>
        <w:rPr>
          <w:rFonts w:ascii="Times New Roman;serif" w:hAnsi="Times New Roman;serif"/>
          <w:b w:val="false"/>
          <w:i/>
          <w:color w:val="000000"/>
          <w:sz w:val="20"/>
        </w:rPr>
        <w:t xml:space="preserve">GeneFab sublease income - related party. </w:t>
      </w:r>
      <w:r>
        <w:rPr>
          <w:rFonts w:ascii="Times New Roman;serif" w:hAnsi="Times New Roman;serif"/>
          <w:b w:val="false"/>
          <w:color w:val="000000"/>
          <w:sz w:val="20"/>
        </w:rPr>
        <w:t>GeneFab sublease income - related party was</w:t>
      </w:r>
      <w:r>
        <w:rPr>
          <w:color w:val="000000"/>
        </w:rPr>
        <w:t xml:space="preserve"> </w:t>
      </w:r>
      <w:r>
        <w:rPr>
          <w:rFonts w:ascii="Times New Roman;serif" w:hAnsi="Times New Roman;serif"/>
          <w:b w:val="false"/>
          <w:color w:val="000000"/>
          <w:sz w:val="20"/>
        </w:rPr>
        <w:t>$1.1 million and $3.3 million for the six months ended June 30, 2026 and 2025, respectively. The decrease was due to the Alameda Lease Amendment. Refer to Part I, Item 1. “Condensed Consolidated Financial Statements (Unaudited)—Notes to Condensed Consolidated Financial Statements (Unaudited) —</w:t>
      </w:r>
      <w:hyperlink w:anchor="i5eb3b190369445ca961fc06dd254474d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pPr>
      <w:r>
        <w:rPr>
          <w:rFonts w:ascii="Times New Roman;serif" w:hAnsi="Times New Roman;serif"/>
          <w:b w:val="false"/>
          <w:i/>
          <w:color w:val="000000"/>
          <w:sz w:val="20"/>
        </w:rPr>
        <w:t xml:space="preserve">Change in fair value of convertible notes - related party. </w:t>
      </w:r>
      <w:r>
        <w:rPr>
          <w:rFonts w:ascii="Times New Roman;serif" w:hAnsi="Times New Roman;serif"/>
          <w:b w:val="false"/>
          <w:color w:val="000000"/>
          <w:sz w:val="20"/>
        </w:rPr>
        <w:t>Change in fair value of convertible notes, related party was a gain of $0.3 million for the six months ended June 30, 2026, compared to no gain or loss for the corresponding period in 2025, as no convertible notes were outstanding during that period.</w:t>
      </w:r>
    </w:p>
    <w:p>
      <w:pPr>
        <w:pStyle w:val="TextBody"/>
        <w:bidi w:val="0"/>
        <w:spacing w:lineRule="auto" w:line="288" w:before="0" w:after="240"/>
        <w:jc w:val="left"/>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was $0.6 million and $0.4 million for the six months ended June 30, 2026, and 2025 respectively. The increase is attributed to higher income from the sublease of a portion of our headquarters space to BKPBIOTECH and JLSA2 Therapeutics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0" w:after="240"/>
        <w:jc w:val="left"/>
        <w:rPr/>
      </w:pPr>
      <w:r>
        <w:rPr>
          <w:rFonts w:ascii="Times New Roman;serif" w:hAnsi="Times New Roman;serif"/>
          <w:b w:val="false"/>
          <w:color w:val="000000"/>
          <w:sz w:val="20"/>
        </w:rPr>
        <w:t xml:space="preserve">We do not have any products approved for sale and have not generated any revenue from product sales. We have incurred net losses and negative cash flows from operations since our inception and anticipate we will continue to incur net losses for the foreseeable future.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had $6.5 million in cash and cash equivalents, and an accumulated deficit of $375.5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will need substantial additional funding to support our continuing operations and pursue our development strategy.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if at all. Should we fail to raise capital or enter into such agreements as, and when, needed, we may have to significantly delay, scale back, or discontinue the development and commercialization of our product candidates or delay our efforts to expand our product pipeline. As substantial doubt exists about our ability to continue as a going concern, we may also be required to sell or license to other parties rights to develop or commercialize our product candidates that we would prefer to retain.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inception to June 30, 2026, we raised aggregate gross proceeds of $378.3 million through the merger in 2022, issuances of common stock, redeemable convertible preferred stock, convertible notes, collaboration arrangements, and governmental grants and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31, 2022, we entered into an Amended and Restated Purchase Agreement (the “A&amp;R Purchase Agreement”) with Chardan Capital Markets LLC (“Chardan”). Pursuant to the A&amp;R Purchase Agreement, we had the right, in our sole discretion, to sell to Chardan up to the lesser of: (i) $50.0 million of shares of our common stock; and (ii) 872,704 shares of common stock at 97% of the volume weighted average price (“VWAP”) of the common stock calculated in accordance with the Purchase Agreement, over a period of 36 months subject to certain limitations and conditions contained in the Purchase Agreement. Sales and timing of any sales of common stock were solely at our election, and we were under no obligation to sell any securities to Chardan under the Purchase Agreement. As consideration for Chardan’s commitment to purchase shares of our common stock at our direction upon the terms and subject to the conditions set forth in the Purchase Agreement, upon execution of the Purchase Agreement, we issued 10,000 shares of our common stock to Chardan and paid a $0.4 million document preparation fee. On March 17, 2025, we terminated the A&amp;R Purchase Agreement. Prior to termination, we issued 384,313 shares of common stock to Chardan under the A&amp;R Purchase Agreement for aggregate net proceeds of $3.0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20, 2025, we entered into the 2025 ATM Agreement with Leerink Partners with respect to an at-the-market offering program under which we may offer and sell, from time to time at our sole discretion, up to a maximum aggregate offering price of $17.5 million of our common stock through Leerink Partners as our sales agent. Under the 2025 ATM Agreement, we are not obligated to sell any shares, and either party may suspend or terminate the offering of common stock upon notice to the other party and subject to certain conditions. Leerink Partners will use commercially reasonable efforts, consistent with its normal trading and sales practices, applicable state and federal law, rules and regulations and the rules of The Nasdaq Capital Market, to sell shares from time to time based upon our instructions, including any price, time or size limits specified by us. We pay Leerink Partners a commission equal to 3.0% of the gross proceeds of any shares of common stock sold, and have agreed to reimburse certain fees and disbursements and provide Leerink Partners with customary indemnification and contribution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no shares were sold under the 2025 ATM Agreement. Through June 30, 2026, we sold 4,833,477 shares of common stock under the 2025 ATM Agreement at a weighted average price of $2.38 per share, resulting in gross proceeds of $11.5 million and net proceeds of $10.6 million after sales agent commissions and offering costs.</w:t>
      </w:r>
    </w:p>
    <w:p>
      <w:pPr>
        <w:pStyle w:val="TextBody"/>
        <w:bidi w:val="0"/>
        <w:spacing w:lineRule="auto" w:line="288" w:before="0" w:after="240"/>
        <w:jc w:val="left"/>
        <w:rPr/>
      </w:pPr>
      <w:r>
        <w:rPr>
          <w:rFonts w:ascii="Times New Roman;serif" w:hAnsi="Times New Roman;serif"/>
          <w:b w:val="false"/>
          <w:color w:val="000000"/>
          <w:sz w:val="20"/>
        </w:rPr>
        <w:t>The agreement with CIRM, as described in Part I, Item 1. “Condensed Consolidated Financial Statements (Unaudited)—Notes to Condensed Consolidated Financial Statements (Unaudited) —</w:t>
      </w:r>
      <w:hyperlink w:anchor="i5eb3b190369445ca961fc06dd254474d_40">
        <w:r>
          <w:rPr>
            <w:rStyle w:val="InternetLink"/>
            <w:rFonts w:ascii="Times New Roman;serif" w:hAnsi="Times New Roman;serif"/>
            <w:b w:val="false"/>
            <w:color w:val="0000FF"/>
            <w:sz w:val="20"/>
            <w:u w:val="single"/>
          </w:rPr>
          <w:t>Note 4</w:t>
        </w:r>
      </w:hyperlink>
      <w:r>
        <w:rPr>
          <w:color w:val="000000"/>
        </w:rPr>
        <w:t>—</w:t>
      </w:r>
      <w:r>
        <w:rPr>
          <w:rFonts w:ascii="Times New Roman;serif" w:hAnsi="Times New Roman;serif"/>
          <w:b w:val="false"/>
          <w:i/>
          <w:color w:val="000000"/>
          <w:sz w:val="20"/>
        </w:rPr>
        <w:t>Other Financial Statement information</w:t>
      </w:r>
      <w:r>
        <w:rPr>
          <w:color w:val="000000"/>
        </w:rPr>
        <w:t xml:space="preserve">” </w:t>
      </w:r>
      <w:r>
        <w:rPr>
          <w:rFonts w:ascii="Times New Roman;serif" w:hAnsi="Times New Roman;serif"/>
          <w:b w:val="false"/>
          <w:color w:val="000000"/>
          <w:sz w:val="20"/>
        </w:rPr>
        <w:t>in this Report provided us in total a grant of $8.0 million, subject to achievement of certain operational milestones. We received an aggregate of $8.0 million from the CIRM Grant as of both June 30, 2026 and December 31, 2025. The CIRM Grant will help support the ongoing clinical development of SENTI-202.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December 2024, we issued 21,157 shares of Series A redeemable convertible preferred stock and accompanying warrants to purchase up to 31,735,500 shares of common stock for an aggregate offering price of $47.6 million. On March 10, 2025, we converted the outstanding shares of Series A redeemable convertible preferred stock into 21,157,000 shares of common stock, at the conversion price of $2.25 per share.</w:t>
      </w:r>
    </w:p>
    <w:p>
      <w:pPr>
        <w:pStyle w:val="TextBody"/>
        <w:bidi w:val="0"/>
        <w:spacing w:lineRule="auto" w:line="288" w:before="0" w:after="240"/>
        <w:jc w:val="left"/>
        <w:rPr/>
      </w:pPr>
      <w:r>
        <w:rPr>
          <w:rFonts w:ascii="Times New Roman;serif" w:hAnsi="Times New Roman;serif"/>
          <w:b w:val="false"/>
          <w:color w:val="000000"/>
          <w:sz w:val="20"/>
        </w:rPr>
        <w:t>On April 27, 2026, we entered into a Securities Purchase Agreement with an investor affiliated with Celadon Partners, pursuant to which Senti Holdings may issue and sell up to $40.0 million in aggregate principal amount of senior secured convertible notes, subject to specified conditions. On May 20, 2026, Senti Holdings issued the Initial Notes with an aggregate principal amount of $10.0 million and received gross cash proceeds of $10.0 million. In connection with the issuance, we paid a $0.3 million fee to the Holder and incurred $0.4 million of third-party issuance costs. The Initial Notes are senior secured obligations of Senti Holdings, are guaranteed by us and all of our direct and indirect subsidiaries, other than Senti Holdings, and are secured by all of our assets, subject to customary exceptions. The Initial Notes do not bear interest unless an event of default occurs and mature on November 23, 2026. If the Initial Notes have not previously been converted or exchanged, Senti Holdings is required at maturity to pay an amount in cash equal to 200% of the outstanding principal amount and any accrued and unpaid interest. The Initial Notes are convertible or exchangeable at an initial price of $0.6261 per share, subject to specified adjustments. See Part I, Item 1, “Condensed Consolidated Financial Statements (Unaudited)—Notes to Condensed Consolidated Financial Statements (Unaudited)—</w:t>
      </w:r>
      <w:hyperlink w:anchor="i5eb3b190369445ca961fc06dd254474d_552">
        <w:r>
          <w:rPr>
            <w:rStyle w:val="InternetLink"/>
            <w:rFonts w:ascii="Times New Roman;serif" w:hAnsi="Times New Roman;serif"/>
            <w:b w:val="false"/>
            <w:color w:val="0000FF"/>
            <w:sz w:val="20"/>
            <w:u w:val="single"/>
          </w:rPr>
          <w:t>Note 6</w:t>
        </w:r>
      </w:hyperlink>
      <w:r>
        <w:rPr>
          <w:color w:val="000000"/>
        </w:rPr>
        <w:t>—</w:t>
      </w:r>
      <w:r>
        <w:rPr>
          <w:rFonts w:ascii="Times New Roman;serif" w:hAnsi="Times New Roman;serif"/>
          <w:b w:val="false"/>
          <w:color w:val="000000"/>
          <w:sz w:val="20"/>
        </w:rPr>
        <w:t>Securities Purchase Agreement and the Notes” in this Report for additional information. As of the date of the filing of this Quarterly Report on Form 10-Q, there have been no Offset ATM Sales. On August 14, 2026, Senti Holdings received net cash proceeds of $3.9 million of the Additional Funding Amount from CPIF II-7 Limited and issued $4.0 million of Additional Notes pursuant to the terms of the Securities Purchase Agreement. As of the date of the filing of this Quarterly Report on Form 10-Q, Parent or an affiliate of Parent is obligated to fund and purchase an additional $2.0 million of Additional Notes in accordance with the terms of the Merger Agreement. See Part I, Item 1, “Condensed Consolidated Financial Statements (Unaudited)—Notes to Condensed Consolidated Financial Statements (Unaudited)—</w:t>
      </w:r>
      <w:hyperlink w:anchor="i5eb3b190369445ca961fc06dd254474d_85">
        <w:r>
          <w:rPr>
            <w:rStyle w:val="InternetLink"/>
            <w:rFonts w:ascii="Times New Roman;serif" w:hAnsi="Times New Roman;serif"/>
            <w:b w:val="false"/>
            <w:color w:val="0000FF"/>
            <w:sz w:val="20"/>
            <w:u w:val="single"/>
          </w:rPr>
          <w:t>Note 16</w:t>
        </w:r>
      </w:hyperlink>
      <w:r>
        <w:rPr>
          <w:color w:val="000000"/>
        </w:rPr>
        <w:t>—</w:t>
      </w:r>
      <w:r>
        <w:rPr>
          <w:rFonts w:ascii="Times New Roman;serif" w:hAnsi="Times New Roman;serif"/>
          <w:b w:val="false"/>
          <w:color w:val="000000"/>
          <w:sz w:val="20"/>
        </w:rPr>
        <w:t>Subsequent Events” in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derived the following summary of our condensed consolidated cash flows for the periods indicated from Part I, Item 1, “Financial Information—Condensed Consolidated Financial Statements (Unaudited)” in this Quarterly Report:</w:t>
      </w:r>
    </w:p>
    <w:tbl>
      <w:tblPr>
        <w:tblW w:w="7238" w:type="dxa"/>
        <w:jc w:val="left"/>
        <w:tblInd w:w="0" w:type="dxa"/>
        <w:tblLayout w:type="fixed"/>
        <w:tblCellMar>
          <w:top w:w="28" w:type="dxa"/>
          <w:left w:w="28" w:type="dxa"/>
          <w:bottom w:w="28" w:type="dxa"/>
          <w:right w:w="28" w:type="dxa"/>
        </w:tblCellMar>
      </w:tblPr>
      <w:tblGrid>
        <w:gridCol w:w="1676"/>
        <w:gridCol w:w="1477"/>
        <w:gridCol w:w="1481"/>
        <w:gridCol w:w="211"/>
        <w:gridCol w:w="796"/>
        <w:gridCol w:w="109"/>
        <w:gridCol w:w="109"/>
        <w:gridCol w:w="109"/>
        <w:gridCol w:w="109"/>
        <w:gridCol w:w="211"/>
        <w:gridCol w:w="796"/>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54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operating activities of $21.7 million was primarily due to our loss of $17.0 million with non-cash adjustments of $6.8 million for gain from lease modification, $2.4 million for stock-based compensation expense, $1.4 million for depreciation, $0.3 million for investor fee expensed upon issuance of the Initial Notes, and $0.3 million for gain on change in fair value of convertible notes - related party. Other material changes were comprised of $1.3 million increase in GeneFab prepaid expenses - related party, $2.7 million decrease in operating lease liabilities, and $1.6 million increase in GeneFab sublease deferred income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operating activities of $27.1 million was primarily due to our loss of $28.8 million with non-cash adjustments of $1.8 million for depreciation and $2.7 million for stock-based compensation expense. Other material changes included a $1.9 million increase in GeneFab receivable - related party, a $1.2 million decrease in GeneFab prepaid expenses - related party, a $1.1 million decrease in operating lease right-of-use assets, a $1.2 million decrease in accrued expenses and other current liabilities, and a $2.2 million decrease in operating lease liabilities.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provided by investing activities of $0.1 million relates to the sale of property and equipment.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investing activities of $0.2 million was primarily due to purchases of property and equipment.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cash provided by financing activities related to proceeds from issuance of convertible notes - related party of $9.7 million, offset by net settlement of stock awards for employee taxes of $0.1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financing activities was $0.6 million, primarily due to $2.5 million received under the CIRM Grant and proceeds from issuance of common stock related to the ATM Agreement, net of commissions of $0.5 million, offset by the payment of issuance costs of $2.5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concluded that substantial doubt continued to exist and that our cash and cash equivalents of $6.5 million as of June 30, 2026, were not sufficient for us to continue as a going concern for at least one year from the issuance date of the condensed consolidated financial statements. Based on our current operating plan and existing unrestricted cash and cash equivalents, we have determined that we may not be able to maintain current operations starting as early as the fourth quarter of 2026. Additional funds will be necessary to maintain operations and to continue research and development activities. Our continued existence is dependent upon management’s ability to raise capital, collect amounts owed to us under existing agreements and ultimately develop profitable operations. While management is devoting substantially all of its efforts to developing our business, raising capital and collecting amounts owed to us under existing agreements, there can be no assurance that our efforts will be successful. Moreover, no assurance can be given that management’s actions will result in raising additional financing or profitable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rate of progress, results and costs of drug discovery, clinical and preclinical development, laboratory testing and clinical trials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and development requirements of product candidates that we may pursue, and other indications for our current product candidates that we may pursue;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collect amounts owed to us by our sublessee, GeneFab;</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and costs of any commercial manufacturing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associated with commercializing any approved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and timing of developing our ability to establish sales and marketing capabilities,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enforcing and protecting our intellectual property rights, defending intellectual property-related claims and obtaining licenses to third-party intellectual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and amount of any milestone and royalty payments we are required to make under our present or future license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 and associated intellectual property.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order to improve our liquidity, management is actively pursuing additional financing. We will need to obtain substantial additional funding for continuing operations. If we are unable to raise capital when needed, or on attractive terms, we could be forced to delay, reduce or eliminate our research or drug development programs or any future commercialization efforts. Although management continues to pursue these plans, there is no assurance that we will be successful in obtaining sufficient funding on terms acceptable to us to fund continuing operations,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0" w:after="240"/>
        <w:jc w:val="left"/>
        <w:rPr/>
      </w:pPr>
      <w:r>
        <w:rPr>
          <w:rFonts w:ascii="Times New Roman;serif" w:hAnsi="Times New Roman;serif"/>
          <w:b w:val="false"/>
          <w:color w:val="000000"/>
          <w:sz w:val="20"/>
        </w:rPr>
        <w:t>We entered into the Alameda Lease Amendment, which reduced the leased premises and corresponding future lease payments. Refer to Part I, Item 1. “Condensed Consolidated Financial Statements (Unaudited)—Notes to Condensed Consolidated Financial Statements (Unaudited) —</w:t>
      </w:r>
      <w:hyperlink w:anchor="i5eb3b190369445ca961fc06dd254474d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 on our lease and sublease obligations.</w:t>
      </w:r>
    </w:p>
    <w:p>
      <w:pPr>
        <w:pStyle w:val="TextBody"/>
        <w:bidi w:val="0"/>
        <w:spacing w:lineRule="auto" w:line="288" w:before="0" w:after="240"/>
        <w:jc w:val="left"/>
        <w:rPr/>
      </w:pPr>
      <w:r>
        <w:rPr>
          <w:rFonts w:ascii="Times New Roman;serif" w:hAnsi="Times New Roman;serif"/>
          <w:b w:val="false"/>
          <w:color w:val="000000"/>
          <w:sz w:val="20"/>
        </w:rPr>
        <w:t>On May 20, 2026, Senti Holdings issued $10.0 million in aggregate principal amount of senior secured convertible notes. Unless previously converted, exchanged or otherwise redeemed, the notes mature on November 23, 2026, at which time Senti Holdings is required to pay an amount in cash equal to 200% of the outstanding principal amount and any accrued and unpaid interest. Accordingly, as of June 30, 2026, the contractual cash payment due at maturity was $20.0 million, excluding any interest or other amounts that may become payable upon an event of default. Refer to Part I, Item 1, “Condensed Consolidated Financial Statements (Unaudited)—Notes to Condensed Consolidated Financial Statements (Unaudited)—</w:t>
      </w:r>
      <w:hyperlink w:anchor="i5eb3b190369445ca961fc06dd254474d_552">
        <w:r>
          <w:rPr>
            <w:rStyle w:val="InternetLink"/>
            <w:rFonts w:ascii="Times New Roman;serif" w:hAnsi="Times New Roman;serif"/>
            <w:b w:val="false"/>
            <w:color w:val="0000FF"/>
            <w:sz w:val="20"/>
            <w:u w:val="single"/>
          </w:rPr>
          <w:t>Note 6</w:t>
        </w:r>
      </w:hyperlink>
      <w:r>
        <w:rPr>
          <w:color w:val="000000"/>
        </w:rPr>
        <w:t>—</w:t>
      </w:r>
      <w:r>
        <w:rPr>
          <w:rFonts w:ascii="Times New Roman;serif" w:hAnsi="Times New Roman;serif"/>
          <w:b w:val="false"/>
          <w:color w:val="000000"/>
          <w:sz w:val="20"/>
        </w:rPr>
        <w:t>Securities Purchase Agreement and the Notes” in this Report for additional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no later than 21 days from the date of the Merger Agreement (unless Parent and the Company mutually agree in writing to a later date), Parent or an affiliate of Parent was required to fund and purchase additional Notes in accordance with the terms of the Securities Purchase Agreement, in an amount equal to $6.0 million (the “Additional Funding Amount” and the Notes purchased in connection therewith, the “Additional Notes”), minus the aggregate amount of net proceeds actually received by the Company from sales of common stock pursuant to the Company’s existing at-the-market offering facility with Leerink Partners LLC following the date of the Merger Agreement (“Offset ATM Sales”). As of the date of the filing of this Quarterly Report on Form 10-Q, there have been no Offset ATM Sales. On August 14, 2026, Senti Holdings received net cash proceeds of $3.9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million of the Additional Funding Amount from CPIF II-7 Limited and issued $4.0 million of Additional Notes pursuant to the terms of the Securities Purchase Agreement. As of the date of the filing of this Quarterly Report on Form 10-Q, Parent or an affiliate of Parent is obligated to fund and purchase an additional $2.0 million of Additional Notes in accordance with the terms of the Merger Agreement. Unless previously converted, exchanged or otherwise redeemed, the Additional Notes are subject to the same maturity and repayment provisions as the Initial Note, including the requirement to repay an amount in cash equal to 200% of the outstanding principal amount of the Additional Notes and any accrued and unpaid interest at maturity.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Except as described above, there were no material changes outside of the ordinary course of business in our contractual obligations as of June 30, 2026, from those as of December 31, 2025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periods presented, we did not have, nor do we currently have, any off-balance sheet arrangements as defined under the rules and regulations of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Except for the critical accounting estimate related to the fair value of our convertible notes - related party described below, for the six months ended June 30, 2026, there were no material changes to our critical accounting estimates from those disclosed in Part II, Item 7 of our Annual Report on Form 10-K for the year ended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of Convertible Notes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elected the fair value option under ASC 825 for our convertible notes - related party and remeasure the notes at fair value at each reporting date. Changes in fair value are recognized in the condensed consolidated statements of operations and comprehensive loss.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the notes using a probability-weighted expected return method that considers potential conversion, merger and liquidation scenarios. The valuation requires significant judgment regarding the probability assigned to each scenario and the estimated value of the contingent value rights expected to be issued in connection with the potential merger transaction. Certain of these inputs are not directly observable and are classified as Level 3 inputs within the fair value hierarchy.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the assumptions used in the valuation could materially affect the estimated fair value of the notes and the amount of gain or loss recognized in our condensed consolidated financial statements. For example, changes in the probabilities assigned to the conversion, merger or liquidation scenarios, the estimated value of the Company’s common stock under the conversion scenario, or the estimated value of the contingent value rights under the merger scenario could result in a materially different fair value measurement. Because the scenario probabilities are interrelated and must total 100%, the effect of a change in the probability assigned to the merger scenario depends on the corresponding changes in the probabilities assigned to the conversion and liquidation scenarios.</w:t>
      </w:r>
    </w:p>
    <w:p>
      <w:pPr>
        <w:pStyle w:val="TextBody"/>
        <w:bidi w:val="0"/>
        <w:spacing w:lineRule="auto" w:line="288" w:before="0" w:after="240"/>
        <w:jc w:val="left"/>
        <w:rPr/>
      </w:pPr>
      <w:r>
        <w:rPr>
          <w:rFonts w:ascii="Times New Roman;serif" w:hAnsi="Times New Roman;serif"/>
          <w:b w:val="false"/>
          <w:color w:val="000000"/>
          <w:sz w:val="20"/>
        </w:rPr>
        <w:t xml:space="preserve">As of June 30, 2026, the estimated fair value of the Initial Notes was $4.0 million, and we recognized a gain of $0.3 million from changes in fair value during each of the three and six months ended June 30, 2026. Refer to </w:t>
      </w:r>
      <w:hyperlink w:anchor="i5eb3b190369445ca961fc06dd254474d_5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Securities Purchase Agreement and the Notes</w:t>
      </w:r>
      <w:r>
        <w:rPr>
          <w:color w:val="000000"/>
        </w:rPr>
        <w:t xml:space="preserve"> </w:t>
      </w:r>
      <w:r>
        <w:rPr>
          <w:rFonts w:ascii="Times New Roman;serif" w:hAnsi="Times New Roman;serif"/>
          <w:b w:val="false"/>
          <w:color w:val="000000"/>
          <w:sz w:val="20"/>
        </w:rPr>
        <w:t xml:space="preserve">and </w:t>
      </w:r>
      <w:hyperlink w:anchor="i5eb3b190369445ca961fc06dd254474d_70">
        <w:r>
          <w:rPr>
            <w:rStyle w:val="InternetLink"/>
            <w:rFonts w:ascii="Times New Roman;serif" w:hAnsi="Times New Roman;serif"/>
            <w:b w:val="false"/>
            <w:color w:val="0000FF"/>
            <w:sz w:val="20"/>
            <w:u w:val="single"/>
          </w:rPr>
          <w:t>Note 11</w:t>
        </w:r>
      </w:hyperlink>
      <w:r>
        <w:rPr>
          <w:color w:val="000000"/>
        </w:rPr>
        <w:t>—</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to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JOBS Act permits an emerging growth company to take advantage of an extended transition to comply with new or revised accounting standards applicable to public companies until those standards would otherwise apply to private companies. We are an “emerging growth company” as defined in Section 2(a) of the Securities Act, and have elected to not take advantage of the benefits of this extended transition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to remain an emerging growth company until the earlier of: (1) the last day of the fiscal year (a) following the fifth anniversary of the closing of the Dynamics Initial Public Offering (“IPO”) (which occurred on May 25, 2021), (b) in which we have total annual revenue of at least $1.235 billion, or (c) in which we are deemed to be a large accelerated filer, which means the market value of our common equity that is held by non-affiliates exceeds $700 million as of the end of that fiscal year’s second fiscal quarter and our net sales for the year exceed $100 million; and (2) the date on which we have issued more than $1.0 billion in non-convertible debt securities during the preceding, rolling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Smaller Reporting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Segment Information </w:t>
      </w:r>
    </w:p>
    <w:p>
      <w:pPr>
        <w:pStyle w:val="TextBody"/>
        <w:bidi w:val="0"/>
        <w:spacing w:lineRule="auto" w:line="288" w:before="0" w:after="240"/>
        <w:jc w:val="left"/>
        <w:rPr/>
      </w:pPr>
      <w:r>
        <w:rPr>
          <w:rFonts w:ascii="Times New Roman;serif" w:hAnsi="Times New Roman;serif"/>
          <w:b w:val="false"/>
          <w:color w:val="000000"/>
          <w:sz w:val="20"/>
        </w:rPr>
        <w:t>Operating segments are defined as components of an enterprise about which separate discrete information is available for evaluation by the chief operating decision maker in deciding how to allocate resources and assess performance. Our CODM (Chief Executive Officer) views our operations and manages the business as a single operating segment, which is the research and development of our gene circuit platform. Refer to Part I, Item 1. “Condensed Consolidated Financial Statements (Unaudited)—Notes to Condensed Consolidated Financial Statements (Unaudited) —</w:t>
      </w:r>
      <w:hyperlink w:anchor="i5eb3b190369445ca961fc06dd254474d_82">
        <w:r>
          <w:rPr>
            <w:rStyle w:val="InternetLink"/>
            <w:rFonts w:ascii="Times New Roman;serif" w:hAnsi="Times New Roman;serif"/>
            <w:b w:val="false"/>
            <w:color w:val="0000FF"/>
            <w:sz w:val="20"/>
            <w:u w:val="single"/>
          </w:rPr>
          <w:t>Note 15</w:t>
        </w:r>
      </w:hyperlink>
      <w:r>
        <w:rPr>
          <w:color w:val="000000"/>
        </w:rPr>
        <w:t>—</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in this Report for additional information related to operating segment. All long-lived assets are located in the United States. We do not currently generate any revenue from product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who serves as our principal executive officer, and our Chief Financial Officer, who serves as our principal financial officer and principal accounting officer,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Quarterly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this evaluation, our Chief Executive Officer and Chief Financial Officer concluded that, as of June 30, 2026, our disclosure controls and procedures were effective at a reasonable assurance level.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not aware of any legal proceedings or claims that management believes will have, individually or in the aggregate, a material adverse effect on our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you decide to invest in common stock, you should consider carefully the risks in Part I, Item 1A of our fiscal year 2025 Annual Report on Form 10-K, together with the other information contained in the Annual Report, including our financial statements and the related notes appearing in this Quarterly Report. We believe the risks described below are the risks that are material to us as of the date of this Quarterly Report. Factors that could cause our actual results to differ materially from those in this Quarterly Report are any of the risks described in this Item 1A below. Any of these factors could result in a significant or material adverse effect on our results of operations or financial condition. Additional risk factors not presently known to us or that we currently deem immaterial may also impair our business or results of operations. If any of the following risks actually occur, our business, results of operations and financial condition would likely be materially and adversely affected. In these circumstances, the market price of our common stock could decline, and you may lose part or all of your investment.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Below we are providing, in supplemental form, new risk factors as well as material changes to our risk factors from those previously disclosed in Part I, Item 1A of our fiscal year 2025 Annual Report on Form 10-K. Our risk factors disclosed in Part I, Item 1A of our fiscal year 2025 Annual Report on Form 10-K provide additional discussion about these supplemental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Notes Financing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entered an agreement to incur indebtedness that may decrease our business flexibility, access to capital, and/or increase our borrowing costs, which may adversely affect our operations and financial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we, together with two of our subsidiaries, entered into a securities purchase agreement (the “Securities Purchase Agreement”) with one accredited investor affiliated with our largest stockholder, pursuant to which our wholly owned subsidiary, Senti Holdings, Inc. (“Senti Holdings”), agreed to issue and sell in a private placement up to $40.0 million in aggregate principal amount of its Senior Secured Convertible Notes (the “Notes”), subject to the satisfaction of certain specified closing conditions. Upon issuance, the Notes may be converted for shares of Senti Holdings common stock or, subject to stockholder approval, exchanged for shares of our common stock, in each case, initially at a price of $0.6261 per share, which is subject to customary adjustments upon the occurrence of events specified in the Notes. On May 20, 2026, Senti Holdings closed the first tranche and issued $10.0 million in aggregate principal amount of senior secured convertible notes. In addition, pursuant to the Agreement and Plan of Merger (the “Merger Agreement”) with Celadon Partners SPV 35 Limited (“Parent”), Senti Merger Sub, Inc., a wholly owned subsidiary of Parent (“Merger Sub”), Senti Holdings, Inc., a wholly owned subsidiary of ours (“Midco”), and Senti Biosciences, Inc., a wholly owned subsidiary of Midco (“Opco”), no later than August 4, 2026 (unless we and Parent mutually agree in writing to a later date), Parent or an affiliate of Parent was required to fund and purchase additional Notes in accordance with the terms of the Securities Purchase Agreement, in an amount equal to $6.0 million (the “Additional Funding Amount” and the Notes purchased in connection therewith, the “Additional Notes”), minus the aggregate amount of net proceeds actually received by us from sales of common stock pursuant to our existing at-the-market offering facility with Leerink Partners LLC following the date of the Merger Agreement (“Offset ATM Sales”). As of the date of the filing of this Quarterly Report on Form 10-Q, there have been no Offset ATM Sales. On August 14, 2026, Senti Holdings received net cash proceeds of $3.9 million of the Additional Funding Amount from CPIF II-7 Limited and issued $4.0 million of Additional Notes pursuant to the terms of the Securities Purchase Agreement. As of the date of the filing of this Quarterly Report on Form 10-Q, Parent or an affiliate of Parent is obligated to fund and purchase $2.0 million of Additional Notes in accordance with the terms of the Merger Agreement. There can be no assurance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remaining Additional Funding Amount will be funded or that any additional tranche of Notes will be issued on the timeline we expect or at all.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indebtedness under the Notes may: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 our ability to borrow additional funds for working capital, capital expenditures, acquisitions or other general business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 our ability to use our cash flow or obtain additional financing for future working capital, capital expenditures, acquisitions or other general business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require us to use a substantial portion of our cash flow from operations to make pay the principal of the Notes when they mature and, if required, interest on the Notes;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 our flexibility to plan for, or react to, changes in our business and industry;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place us at a competitive disadvantage compared to our less leveraged competitors;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our vulnerability to the impact of adverse economic and industry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are Senti Holdings’ senior, secured indebtedness and are guaranteed by us and all our direct and indirect subsidiaries (other than Senti Holdings) pursuant to a guarantee in favor of the holder of the Notes. The Notes are secured by a first priority lien, subject to certain permitted liens, in all of the current and future assets of Senti Holdings, of ours and of all direct and indirect subsidiaries of Senti Holdings, subject to certain customary exclusions. In certain circumstances, the holder of the Notes may be entitled to foreclose on the loan, and such foreclosure would be expected to result in a material, adverse effect on our business, results of operation, liquidity and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terms of the Notes and the Securities Purchase Agreement limit our ability to raise equity capital. We may experience a material adverse affect on our business to the extent we are unable to access available equity capital due to such limitations.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Servicing our Notes may require a significant amount of cash. We may not have sufficient cash flow from our business to pay such debt, and we may not have the ability to raise the funds necessary to settle conversions of the Convertible Notes in cash or to repurchase the Convertible Notes upon a fundamental change, which could adversely affect our business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do not bear any interest unless an event of default has occurred. The Notes mature on November 23, 2026 (the “Maturity Date”). On the Maturity Date, if the Notes have not previously been converted or exchanged, Senti Holdings is required to pay an amount in cash equal to 200% of all outstanding principal and accrued and unpaid interest. Under certain circumstances, we may force the conversion or exchange of the Notes into shares of common stock prior to their maturity.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of, and, if applicable, to pay interest on, any Notes we may issue, depends on our future performance, which is subject to economic, financial, competitive, and other factors beyond our control. Our business is not expected to generate cash flow from operations sufficient to service our indebtedness and make necessary capital expenditures. As a result, we may be required to adopt one or more alternatives, such as selling assets, restructuring debt, or obtaining additional equity capital on terms that may be onerous or highly dilutive. Our ability to repay or refinance the Notes will depend on the capital markets and our financial condition at such time. We may not be able to engage in any of these activities or engage in these activities on desirable terms, which could result in a default on our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Further, the Notes contain several customary events of default. In the case of events of default that relate to bankruptcy, we are required to redeem the Notes in cash, and in the case of other events of default, the Holders may require us to redeem their Notes in cash. The redemption price is the greater of (i) 200% of the outstanding principal amount of the Notes and (ii) the product of (x) the principal amount being redeemed and (y) the quotient obtained by dividing the greatest closing sale price of our common stock during the event of default by the lowest exchange price during such period. However, as of the date of this report we do not have and we may not have enough available cash, or be able to obtain sufficient financing, at the time we are required to redeem the Notes.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Exchange of the Notes will dilute the ownership interest of existing stockholders or may otherwise depress the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exchange of some or all of the Notes will dilute the ownership interests of stockholders as shares of our common stock are delivered upon such exchange. The Notes will be exchangeable at the option of their holders prior to their scheduled terms. Any sales in the public market of the common stock issuable upon such exchange could materially and adversely affect prevailing market prices of our common stock. In addition, the existence of the Notes may encourage short selling by market participants because the exchange of the Notes could be used to satisfy short positions, or anticipated exchange of the Notes into shares of our common stock could depress the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conversion of some or all of the Notes into shares of Senti Holdings will dilute our ownership interests in Senti Holdings, the holding entity of our operating business Senti Biosciences, Inc. In the event that the maximum amount of Notes are sold under the Securities Purchase Agreement and such Notes are subsequently converted into equity of Senti Holdings, the Note holders would own a majority of the equity of Senti Holdings.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Moreover, issuances of our common stock at a price below the conversion/exchange price then in effect would result in full-ratchet anti-dilution adjustments under the terms of the Notes. Such issuances would therefore result in additional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Proposed Merger Transaction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announcement and pendency of the proposed Merger and related transactions, whether or not consummated, may adversely affect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14, 2026, we entered into an Agreement and Plan of Merger (the “Merger Agreement”) with Celadon Partners SPV 35 Limited, an exempted company incorporated under the laws of the Cayman Islands (“Parent”), Senti Merger Sub, Inc., a Delaware corporation and wholly owned subsidiary of Parent (“Merger Sub”), Senti Holdings, Inc., a Delaware corporation and wholly owned subsidiary of ours (“Midco”) and Senti Biosciences, Inc., a Delaware corporation and wholly owned subsidiary of Midco (“Opco”). Subject to the terms and conditions of the Merger Agreement, Merger Sub will be merged with and into Midco (the “Merger”), with Midco continuing as the surviving corporation and a wholly owned subsidiary of Parent.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Parent is an entity affiliated with Celadon Partners SPV 24 (“Celadon”), which is our largest stockholder and a holder of more than five percent of our outstanding capital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of the Merger (the “Effective Time”), each outstanding share of Midco common stock (other than shares owned by Midco or a subsidiary of Midco, which shares will be cancelled) will automatically be cancelled and converted into the right to receive the Milestone Payment Amount (as defined and described below) (the “Merger Consideration”). The right to receive the Merger Consideration shall be distributed by Midco to our stockholders and holders of RSUs and, upon exercise, holders of stock options and warrants (including certain entities and individuals affiliated with Celadon who hold any such securities) in the form of contractual contingent value rights (as described below, “CVRs”). Pursuant to the Merger Agreement, our Board of Directors or the Special Committee thereof shall approve, and Midco shall effect, the issuance and distribution of one CVR with respect to each share of the Company’s common stock that is issued and outstanding as of the CVR record date, which shall be a date no less than five days and no more than ten days following the date that the Merger closes.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or prior to the Effective Time, Midco will execute and deliver the Contingent Value Rights Agreement in the form attached as Exhibit A to the Merger Agreement (the “CVR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announcement and pendency of the proposed Merger and the other transactions contemplated by the Merger Agreement (the “Subject Transactions”), whether or not consummated, may adversely affect the trading price of our common stock, our business or our relationships with third parties, such as contract manufacturing organizations, suppliers and employees. In addition, pending the completion of the Subject Transactions, we may be unable to attract and retain key personnel and the focus and attention of our management and employee resources may be diverted from operational matters during the pendency of the Subject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cannot be sure if or when the Subject Transactions will be completed.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closing of the Subject Transactions is subject to the satisfaction or waiver of various conditions, including the adoption of the Merger Agreement at a duly called meeting by (a) the holders of a majority of the outstanding shares of our common stock entitled to vote on the Merger Agreement at the Company stockholders meeting (the “Stockholder Approval”) and (b) holders of a majority of the votes cast by holders of shares of our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Company stockholders meeting, which we refer to as the Majority of the Minority Approval. The closing conditions set forth in the Merger Agreement may not be satisfied. For example, we entered into a Voting Agreement with all of our executive officers, certain of our directors and Celadon, our largest stockholder, in each case, whereby the parties agreed to vote in favor of the adoption and approval of the Merger and other transactions contemplated by the Merger Agreement. However, the vote by the parties to the Voting Agreement is not expected to satisfy the Majority of the Minority Approval requirement and we can provide no assurance that the Majority of the Minority Approval will be obtained. If we are unable to satisfy the closing conditions in Parent’s favor or if other mutual closing conditions are not satisfied, Parent will not be obligated to consummate the Subject Transactions. In the event that the Subject Transactions are not completed, the announcement of the termination of the Merger Agreement may adversely affect the trading price of our common stock, our business and operations or our relationships with third parties, such as contract manufacturing organizations, suppliers and employees. Any delay in completing the Subject Transactions may significantly reduce the benefits that the Company expects to achieve if it successfully completes the Subject Transactions within the expected timeframe.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if the Subject Transactions are not completed, our Board of Directors, or the Board (or the Special Committee thereof, or the Special Committee), in discharging its fiduciary obligations to our stockholders, may evaluate other strategic alternatives that may be available, which alternatives may not be as favorable to the Company and our stockholders as the Subject Transactions. Moreover, we may be unable to find another potential buyer or to raise capital from another source on a timely basis, which could result in our inability to continue our business and the liquidation and winding down of the Company and its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 Agreement limits our ability to pursue alternatives to the Subject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Agreement restricts our ability to solicit, initiate or engage in discussions or negotiations with a third party (including by furnishing non-public information) regarding competing transactions and our ability to change or withdraw our recommendation, which means the following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us of the transactions contemplated by the Merger Agreement, and (iv) recommending that the holders of shares of our common stock adopt the Merger Agreement and directing that the Merger Agreement be submitted to our stockholders at the meeting of stockholders for adoption. As a result of these provisions, it is more difficult for us to engage in another type of acquisition transaction with a party other than Parent, even if that party were prepared to pay consideration with a higher value than the consideration to be paid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Parent. These provisions could also discourage a third party that might have an interest in acquiring all of, or substantially all of, our assets or our common stock from considering or proposing such an acquisition.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stockholders cannot be assured that they will receive any cash proceeds as a result of the Subject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Consideration consists solely of the right to receive the cash payments contemplated by the CVR, each of which are contingent upon achievement of specified milestones (the “Milestones” and each such cash payment, the “Milestone Payment Amounts”), which right shall be subsequently distributed to our stockholders in the form of CVRs. Pursuant to the CVR Agreement, cash will be paid with respect to these CVRs only to the extent that the milestones specified by the CVR Agreement are achieved before the relevant milestone expiration date. The CVRs may not be sold, assigned, transferred, pledged, encumbered or in any other manner disposed of except under certain limited circumstances. 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Even assuming Parent’s compliance with this obligation, we cannot guarantee that any Milestone will be achieved before the Milestone Expiration Date because the achievement of each Milestone is not solely within the control of either us or Parent. As a result, our stockholders may not receive any cash as a result of the Subject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incurred and expect to continue to incur significant expenses in connection with the Subject Transactions, regardless of whether the Subject Transactions are consummated.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expenses related to the Subject Transactions.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Subject Transactions are consummated.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opinion obtained by the Special Committee from its financial advisor does not and will not reflect changes in circumstances subsequent to the date of such opinion.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June 16, 2026, Lincoln International LLC, or Lincoln, rendered its oral opinion to the Special Committee (which was subsequently confirmed in writing by delivery of Lincoln’s written opinion addressed to the Special Committee dated the same date) as to, as of June 16, 2026, the fairness, from a financial point of view, to our stockholders (other than Parent and its affiliates as well as Merger Sub) of the Merger Consideration to be received by our stockholders pursuant to the 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there have been no material changes in the matters and conditions considered by Lincoln in rendering its fairness opinion and no material changes are anticipated to occur prior to the Annual Meeting, changes in the operations and prospects of the Company, general market and economic conditions and other factors that may be beyond our control, and on which the opinion was based, may alter the value of assets by the time the Subject Transactions are completed, if ever. The opinion rendered by Lincoln does not speak to the time when the Subject Transactions will be completed, if ever.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directors and executive officers have certain interests in the Merger that may be different from, or in addition to, the interests of our stockholders generally.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directors and executive officers have certain interests in the Merger that may be different from, or in addition to, the interests of our stockholders generally. Our directors and executive officers collectively hold stock options and restricted stock unit awards, and pursuant to the Merger Agreement, the vesting of such equity awards will be accelerated. In addition, pursuant to existing agreements and plans, our executive officers may continue to be employed by Opco and are eligible for certain severance benefits. Our executive officers and directors are also entitled to certain indemnification benefits pursuant to the Merger Agreement. The Company intends to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 information regarding such interests in the preliminary proxy statement and the definitive proxy statement, in each case, to be filed with the SEC on Schedule 14A.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Under certain circumstances we may be required to settle the value of the common stock warrants issued in connection with our December 2024 financing in cash.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at any time while the common stock warrants issued in connection with our December 2024 financing are outstanding, we consummate a “Fundamental Transaction” (as defined in the warrants), which includes, but is not limited to, the Subject Transactions, a sale of substantially all of our assets, a merger, purchase offer, tender offer or exchange offer, a stock or share purchase agreement or other business combination (including, without limitation, a reorganization, recapitalization, spin-off or other scheme of arrangement), then each registered holder of an outstanding common stock warrant as at any time concurrently with, or within 30 days after, the consummation of the Fundamental Transaction, may elect and require us to purchase the common stock warrants held by such person immediately prior to the consummation of such Fundamental Transaction by making a cash payment in an amount equal to the Black Scholes Value of the remaining unexercised portion of such registered holder’s common stock warrants as of the closing of such Fundamental Transaction. If this right is exercised, our cash resources may be exhausted more quickly than we expect, and we may run out of cash before we are able to secure additional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currently listed on The Nasdaq Capital Market. We must satisfy Nasdaq’s continued listing requirements, including, among other things, a minimum closing bid price of $1.00 per share and satisfaction of one of the following standards under Nasdaq Listing Rule 5550(b): (i) a minimum stockholders’ equity of $2,500,000; (ii) a minimum market value of listed securities of at least $35,000,000; or (iii) net income from continuing operations of $500,000 in the most recently completed fiscal year or in two of the last three most recently completed fiscal years.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effective January 2026, Nasdaq amended its minimum bid requirements to provide that if a company’s common stock trades at or below $0.10 for ten consecutive trading days, Nasdaq will immediately issue a delisting determination and the company’s common stock will be suspended from trading immediately. Unlike typical delisting determinations, a company’s request for a hearings panel review will not automatically stay the trading suspension.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Nasdaq listing rules also provide that if a company conducts a reverse split and then falls below the $1.00 minimum bid within one year, it may no longer receive a new compliance period and can be subject to immediate delisting.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experienced a bid price deficiency and regained compliance by way of a reverse stock split. Although we have not received a bid price deficiency notice from Nasdaq since, the closing bid price of our common stock has been below $1.00 since July 13, 2026 through the date of the filing of this Quarterly Report on Form 10-Q.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Failure to satisfy any of these standards could result in delisting, which would have a material adverse effect on our business. There are many factors that may adversely affect our ability to comply with the requirements for continued listing on The Nasdaq Capital Market, including those described throughout this “Risk Factors” section. Many of these factors are outside of our control. As a result, we cannot assure you that we will continue to comply with the requirements for continued listing on The Nasdaq Capital Market, including the minimum stockholders’ equity requirement.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and fewer business development opportunities. In addition, any potential delisting of our common stock from Nasdaq would also make it more difficult for our stockholders to sell their shares in the public market.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the date of the filing of this Quarterly Report on Form 10-Q, our stockholders’ equity has fallen below $2.5 million. In addition, as of the date of the filing of this Quarterly Report on Form 10-Q, the market value of our listed securities has been below Nasdaq’s requirement of $35 million for a period of 30 consecutive business days. As a result, we expect to receive a deficiency letter from Nasdaq notifying us that we are not in compliance with Nasdaq Listing Rule 5550(b). Upon receipt of such notice, we may have 45 calendar days to submit a plan of compliance to Nasdaq. If our plan of compliance is approved, we would have up to 180 calendar days to regain compliance with the applicable listing standards. If we do not regain compliance within such 180-day period, we may be eligible for an additional 180-day compliance period, subject to certain conditions, or we may request a hearing before a Nasdaq Hearings Panel. There can be no assurance that we will be able to regain compliance with Nasdaq’s continued listing requirements within the applicable compliance period, or at all. If we are unable to regain compliance in a timely manner, our common stock may be delisted from The Nasdaq Capital Market, which could negatively impact the price of our common stock and our ability to access the capital markets.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Celadon Partners, LLC, together with its affiliates, would become our controlling stockholder upon exchange of the Initial Notes for shares of our common stock, and this stockholder’s interests may not be the same as those of our other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Based on the Schedule 13D/A filed by Celadon Partners, LLC, Celadon Partners SPV 24, CPIF II-7 Limited and Parent (whom we collectively refer to as Celadon) with the SEC on July 16, 2026, or the Celadon 13D/A, assuming the Issuance Approval and the immediate exchange of the Initial Notes held by Celadon for our common stock, Celadon would beneficially own approximately 54.6% of our common stock and would become our controlling stockholder.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Securities Purchase Agreement, although we are not obligated to issue or sell any additional Notes beyond the Initial Notes other than the Additional Notes that Parent is required to purchase pursuant to the Merger Agreement, we may choose to sell up to a total of $30.0 million in aggregate principal amount of additional Notes, including the Additional Notes, pursuant to the Securities Purchase Agreement. Assuming that we sell the full $6.0 million of Additional Notes or $30.0 million in aggregate principal amount of such additional Notes to Celadon, the Issuance Approval is obtained and Celadon immediately exchanges all of its Notes for shares of our common stock, Celadon would beneficially own 62.3% or 77.5% of the Company’s common stock, respectively. In addition, pursuant to the terms of the Notes, if the Merger closes, we have the right to force the exchange of all outstanding Notes for shares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if the Issuance Approval is approved and Celadon exchanges its Notes for our common stock, Celadon would strongly influence or control the vote of all matters submitted to our stockholders, including any future transaction requiring approval of our stockholders, including mergers, consolidations, dissolutions or sales of assets. These transactions may benefit Celadon at the expense of our other stockholders or may disproportionately benefit Celadon compared to our other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exchange of the Notes for our common stock could result in substantial dilution to our existing shareholders and could cause our stock price to decline.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Notes are exchanged for our common stock, such shares of our common stock will be significantly dilutive and may cause a decline in the market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net tangible book value of our Common Stock was approximately $(16.6) million, or $(0.53) per share of common stock based on 31,144,754 shares of our common stock issued and outstanding.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tangible book value per share as of a particular date represents our total tangible assets less total liabilities, divided by the number of shares of outstanding Common Stock.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issuance of 15,971,890 shares of our common stock upon the potential exchange of the Initial Notes (which amount assumes the Issuance Approval is approved and Celadon exchanges its full amount of Initial Notes for our common stock) at an assumed price of $0.6261 per share, the pro forma net tangible book value as of June 30, 2026 would have been approximately $(7.2) million or $(0.15) per share. This represents an immediate increase in the net tangible book value of $0.38 per share to existing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Assuming Celadon purchases all the additional Notes having an aggregate principal amount of $30.0 million, and exchanges its Notes for 47,916,669 shares of our common stock (which amount assumes the Issuance Approval is approved and Celadon exchanges its full amount of its Notes for our common stock) at an assumed price of $0.6261 per share, the pro forma net tangible book value as of June 30, 2026 would have been approximately $21.7 million or $0.23 per share. This represents an immediate increase in the net tangible book value of $0.38 per share to existing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Future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Following the Merger, we will not have any clinical product candidates and will instead have only two early-stage programs, which may negatively impact the value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the Merger is completed, we will no longer be developing SENTI-202 or any of our other programs, other than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Rett Syndrome and TIL programs are each in an early stage of development, and there can be no assurance that either program will yield a clinical product candidate that will receive FDA approval in the future or that it will attract interest from third-party collaborators. Therefore, the value of our common stock after the Merger may be materially and adversely affected by the fact that our Rett Syndrome and TIL programs are expected to be our only programs following the Merger.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successfully operate our business following the Merger will depend on our ability to obtain substantial capital, and such capital may not be available on acceptable terms, or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successful operation of our business following the Merger will require substantial capital. Our cash resources following the Merger will not be sufficient to fund our strategy, operations or liquidity needs beyond several months without raising additional debt or equity financing during the initial period after the Merger is consummated. We expect to continue to incur significant cash needs, including for personnel costs, public company costs, professional fees, transaction expenses, working capital, debt service and the costs of advancing our Rett Syndrome and TIL programs. Our cash resources may be exhausted more quickly than we expect, and we may run out of cash before we are able to secure additional financing.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Capital markets conditions, trading volatility in our common stock, our financial condition, investor sentiment regarding our Rett Syndrome and TIL programs and other factors may make it difficult or impossible for us to obtain additional capital on terms that are acceptable to us, or at all. If financing is unavailable or available only on unfavorable terms, we may be forced to curtail operations, issue additional equity that is highly dilutive, incur restrictive indebtedness, drastically reduce expenses, cease operations, declare bankruptcy, or pursue other strategic alternatives, which could include acquisition alternatives. If we are unable to raise capital when needed, we may run out of cash. Any of these outcomes could materially adversely affect our business and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maintain the listing of our common stock on Nasdaq following the Merger is highly uncertain, and if we are unable to satisfy Nasdaq’s continued listing requirements, our common stock could be delisted.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Merger,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Merger, investors may view us as an operating company with limited assets or operations pending implementation of our new business plan, which could adversely affect trading in our common stock and our ability to satisfy applicable listing standards. This risk may be heightened because, after the Merger, we will be viewed as a company with limited operating history, extremely limited capital and uncertain prospects. If Nasdaq determines that we no longer meet one or more of its continued listing requirements, our common stock could be delisted. A delisting would likely adversely affect the liquidity and market price of our common stock, reduce our access to the capital markets, impair our ability to raise additional financing, decrease analyst coverage and investor interest, and make it more difficult for stockholders to sell their common stock. Any such consequences could materially and adversely affect the value of an investment in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company costs may consume a disproportionate amount of our remaining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Merger,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these costs may represent a disproportionate burden on our liquidity and financial resources. As a result, a significant portion of our available capital may be consumed by public company obligations rather than by investment in the advancement of our Rett Syndrome and TIL programs. If public company costs are greater than expected, or if our remaining resources are less than expected, our ability to execute our strategy, remain listed on Nasdaq, maintain operations and create stockholder value could be materially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our attention.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be subject to securities litigation in connection with the Subject Transactions,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Director and Executive Officer Trading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none of our directors or officers adopted or terminated any contract, instruction or written plan for the purchase or sale of our securities intended to satisfy the affirmative defense conditions of Rule 10b5-1(c) under the Exchange Act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304"/>
        <w:gridCol w:w="269"/>
        <w:gridCol w:w="270"/>
        <w:gridCol w:w="109"/>
        <w:gridCol w:w="109"/>
        <w:gridCol w:w="109"/>
        <w:gridCol w:w="1656"/>
        <w:gridCol w:w="1532"/>
        <w:gridCol w:w="1547"/>
        <w:gridCol w:w="109"/>
        <w:gridCol w:w="109"/>
        <w:gridCol w:w="109"/>
        <w:gridCol w:w="292"/>
        <w:gridCol w:w="292"/>
        <w:gridCol w:w="293"/>
        <w:gridCol w:w="109"/>
        <w:gridCol w:w="109"/>
        <w:gridCol w:w="109"/>
        <w:gridCol w:w="250"/>
        <w:gridCol w:w="250"/>
        <w:gridCol w:w="220"/>
        <w:gridCol w:w="109"/>
        <w:gridCol w:w="109"/>
        <w:gridCol w:w="109"/>
        <w:gridCol w:w="210"/>
        <w:gridCol w:w="210"/>
        <w:gridCol w:w="211"/>
        <w:gridCol w:w="109"/>
        <w:gridCol w:w="109"/>
        <w:gridCol w:w="109"/>
        <w:gridCol w:w="221"/>
        <w:gridCol w:w="221"/>
        <w:gridCol w:w="322"/>
      </w:tblGrid>
      <w:tr>
        <w:trPr/>
        <w:tc>
          <w:tcPr>
            <w:tcW w:w="30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21"/>
            <w:tcBorders/>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Senti Biosciences Holdings,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Senti Biosciences Holdings,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Designation Agreement, dated as of April 24, 2026, by and among Senti Biosciences Holdings, Inc., Senti Biosciences, Inc. and Celadon Partners SPV 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Designation Agreement, dated as of April 24, 2026, by and among Senti Biosciences Holdings, Inc., Senti Biosciences, Inc. and New Enterprise Associates 15,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Assignment and Assumption Agreement, dated as of April 24, 2026, by and between Senti Biosciences, Inc. and Senti Biosciences Holdings,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Senti Biosciences Holdings, Inc. Amended and Restated 2016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Senti Biosciences Holdings, Inc. Amended and Restated 2022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Senti Biosciences Holdings, Inc. Amended and Restated 2022 Inducement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Senti Biosciences Holdings, Inc. Amended and Restated 2022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April 24, 2026</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Securities Purchase Agreement, dated April 27, 2026, by and among Senti Biosciences Holdings, Inc., Senti Holdings, Inc., Senti Biosciences, Inc. and the purchaser named therein</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May 1, 2026</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Senior Secured Convertible Note of Senti Holdings,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May 1, 2026</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Guarantee.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May 1, 2026</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Registration Rights Agreement, by and among Senti Biosciences Holdings, Inc., Senti Biosciences, Inc. and any investor to be named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May 1, 2026</w:t>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Voting Agreement by and among Senti Biosciences Holdings, Inc., Senti Biosciences, Inc. and the stockholders to be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May 1, 2026</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610-qex311_ceo.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0"/>
        <w:jc w:val="left"/>
        <w:rPr/>
      </w:pPr>
      <w:hyperlink w:anchor="i5eb3b190369445ca961fc06dd254474d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5"/>
        <w:gridCol w:w="269"/>
        <w:gridCol w:w="271"/>
        <w:gridCol w:w="109"/>
        <w:gridCol w:w="109"/>
        <w:gridCol w:w="109"/>
        <w:gridCol w:w="1692"/>
        <w:gridCol w:w="1692"/>
        <w:gridCol w:w="1707"/>
        <w:gridCol w:w="109"/>
        <w:gridCol w:w="109"/>
        <w:gridCol w:w="109"/>
        <w:gridCol w:w="293"/>
        <w:gridCol w:w="293"/>
        <w:gridCol w:w="294"/>
        <w:gridCol w:w="109"/>
        <w:gridCol w:w="109"/>
        <w:gridCol w:w="109"/>
        <w:gridCol w:w="149"/>
        <w:gridCol w:w="149"/>
        <w:gridCol w:w="150"/>
        <w:gridCol w:w="109"/>
        <w:gridCol w:w="109"/>
        <w:gridCol w:w="109"/>
        <w:gridCol w:w="210"/>
        <w:gridCol w:w="210"/>
        <w:gridCol w:w="211"/>
        <w:gridCol w:w="109"/>
        <w:gridCol w:w="109"/>
        <w:gridCol w:w="109"/>
        <w:gridCol w:w="195"/>
        <w:gridCol w:w="195"/>
        <w:gridCol w:w="285"/>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21"/>
            <w:tcBorders/>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610-qex312_cfo.htm">
              <w:r>
                <w:rPr>
                  <w:rStyle w:val="InternetLink"/>
                  <w:rFonts w:ascii="Times New Roman;serif" w:hAnsi="Times New Roman;serif"/>
                  <w:b w:val="false"/>
                  <w:color w:val="0000FF"/>
                  <w:sz w:val="20"/>
                  <w:u w:val="single"/>
                </w:rPr>
                <w:t>Certification of Principal Accounting and Financial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610-qex321_ceo.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610-qex322_cfo.htm">
              <w:r>
                <w:rPr>
                  <w:rStyle w:val="InternetLink"/>
                  <w:rFonts w:ascii="Times New Roman;serif" w:hAnsi="Times New Roman;serif"/>
                  <w:b w:val="false"/>
                  <w:color w:val="0000FF"/>
                  <w:sz w:val="20"/>
                  <w:u w:val="single"/>
                </w:rPr>
                <w:t>Certification of Principal Accounting and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for the Company’s Quarterly Report on Form 10-Q has been formatted in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4"/>
        <w:gridCol w:w="2834"/>
        <w:gridCol w:w="3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5eb3b190369445ca961fc06dd254474d_7">
        <w:r>
          <w:rPr>
            <w:rStyle w:val="InternetLink"/>
            <w:rFonts w:ascii="Times New Roman;serif" w:hAnsi="Times New Roman;serif"/>
            <w:b/>
            <w:color w:val="0000FF"/>
            <w:sz w:val="20"/>
            <w:u w:val="single"/>
          </w:rPr>
          <w:t>Table of Contents</w:t>
        </w:r>
      </w:hyperlink>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180"/>
        <w:jc w:val="left"/>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on this 14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August, 2026.</w:t>
      </w:r>
    </w:p>
    <w:tbl>
      <w:tblPr>
        <w:tblW w:w="9914"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388"/>
        <w:gridCol w:w="388"/>
        <w:gridCol w:w="388"/>
        <w:gridCol w:w="388"/>
        <w:gridCol w:w="388"/>
        <w:gridCol w:w="388"/>
        <w:gridCol w:w="1549"/>
        <w:gridCol w:w="1549"/>
        <w:gridCol w:w="221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Cross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Timothy Lu, M.D., Ph.D.,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June 30, 2026, of Senti Biosciences Holding,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186"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732"/>
        <w:gridCol w:w="732"/>
        <w:gridCol w:w="10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Jay Cross,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June 30, 2026, of Senti Biosciences Holding,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551"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1134"/>
        <w:gridCol w:w="1134"/>
        <w:gridCol w:w="16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Cross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Senti Biosciences Holding, Inc. (the “Company”) on Form 10-Q for the quarterly period ended June 30, 2026, as filed with the Securities and Exchange Commission on the date hereof (the “Report”), I, Timothy Lu, M.D., Ph.D., Chief Executive Officer of the Company, certify, pursuant to 18 U.S.C. §1350, as adopted pursuant to §906 of the Sarbanes-Oxley Act of 2002, that to my knowledge: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tbl>
      <w:tblPr>
        <w:tblW w:w="5186"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732"/>
        <w:gridCol w:w="732"/>
        <w:gridCol w:w="10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Senti Biosciences Holding, Inc. (the “Company”) on Form 10-Q for the quarterly period ended June 30, 2026, as filed with the Securities and Exchange Commission on the date hereof (the “Report”), I, Jay Cross, Chief Financial Officer of the Company, certify, pursuant to 18 U.S.C. §1350, as adopted pursuant to §906 of the Sarbanes-Oxley Act of 2002, that to my knowledge: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tbl>
      <w:tblPr>
        <w:tblW w:w="6551"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1134"/>
        <w:gridCol w:w="1134"/>
        <w:gridCol w:w="16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Cross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4270/000119312526177157/d279931dex31.htm" TargetMode="External"/><Relationship Id="rId3" Type="http://schemas.openxmlformats.org/officeDocument/2006/relationships/hyperlink" Target="https://www.sec.gov/Archives/edgar/data/1854270/000119312526177157/d279931dex32.htm" TargetMode="External"/><Relationship Id="rId4" Type="http://schemas.openxmlformats.org/officeDocument/2006/relationships/hyperlink" Target="https://www.sec.gov/Archives/edgar/data/1854270/000119312526177157/d279931dex101.htm" TargetMode="External"/><Relationship Id="rId5" Type="http://schemas.openxmlformats.org/officeDocument/2006/relationships/hyperlink" Target="https://www.sec.gov/Archives/edgar/data/1854270/000119312526177157/d279931dex102.htm" TargetMode="External"/><Relationship Id="rId6" Type="http://schemas.openxmlformats.org/officeDocument/2006/relationships/hyperlink" Target="https://www.sec.gov/Archives/edgar/data/1854270/000119312526177157/d279931dex103.htm" TargetMode="External"/><Relationship Id="rId7" Type="http://schemas.openxmlformats.org/officeDocument/2006/relationships/hyperlink" Target="https://www.sec.gov/Archives/edgar/data/1854270/000119312526177157/d279931dex104.htm" TargetMode="External"/><Relationship Id="rId8" Type="http://schemas.openxmlformats.org/officeDocument/2006/relationships/hyperlink" Target="https://www.sec.gov/Archives/edgar/data/1854270/000119312526177157/d279931dex105.htm" TargetMode="External"/><Relationship Id="rId9" Type="http://schemas.openxmlformats.org/officeDocument/2006/relationships/hyperlink" Target="https://www.sec.gov/Archives/edgar/data/1854270/000119312526177157/d279931dex106.htm" TargetMode="External"/><Relationship Id="rId10" Type="http://schemas.openxmlformats.org/officeDocument/2006/relationships/hyperlink" Target="https://www.sec.gov/Archives/edgar/data/1854270/000119312526177157/d279931dex107.htm" TargetMode="External"/><Relationship Id="rId11" Type="http://schemas.openxmlformats.org/officeDocument/2006/relationships/hyperlink" Target="https://www.sec.gov/Archives/edgar/data/1854270/000162828026029320/exhibit101-securitiespurch.htm" TargetMode="External"/><Relationship Id="rId12" Type="http://schemas.openxmlformats.org/officeDocument/2006/relationships/hyperlink" Target="https://www.sec.gov/Archives/edgar/data/1854270/000162828026029320/exhibit102-formofnote.htm" TargetMode="External"/><Relationship Id="rId13" Type="http://schemas.openxmlformats.org/officeDocument/2006/relationships/hyperlink" Target="https://www.sec.gov/Archives/edgar/data/1854270/000162828026029320/exhibit103-formofguarantee.htm" TargetMode="External"/><Relationship Id="rId14" Type="http://schemas.openxmlformats.org/officeDocument/2006/relationships/hyperlink" Target="https://www.sec.gov/Archives/edgar/data/1854270/000162828026029320/exhibit104-formofregistrat.htm" TargetMode="External"/><Relationship Id="rId15" Type="http://schemas.openxmlformats.org/officeDocument/2006/relationships/hyperlink" Target="https://www.sec.gov/Archives/edgar/data/1854270/000162828026029320/exhibit105-formofvotingagr.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32315</Words>
  <Characters>177717</Characters>
  <CharactersWithSpaces>208513</CharactersWithSpaces>
  <Paragraphs>2386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