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left"/>
        <w:rPr/>
      </w:pPr>
      <w:r>
        <w:rPr/>
      </w:r>
    </w:p>
    <w:p>
      <w:pPr>
        <w:pStyle w:val="TextBody"/>
        <w:bidi w:val="0"/>
        <w:spacing w:lineRule="auto" w:line="276" w:before="0" w:after="180"/>
        <w:ind w:left="0" w:right="0" w:firstLine="360"/>
        <w:jc w:val="left"/>
        <w:rPr/>
      </w:pPr>
      <w:hyperlink w:anchor="i00b89bcd424b4d2486c3bbf18f8fe9ae_7">
        <w:r>
          <w:rPr>
            <w:rStyle w:val="InternetLink"/>
            <w:rFonts w:ascii="Times New Roman;sans-serif" w:hAnsi="Times New Roman;sans-serif"/>
            <w:b/>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76" w:before="0" w:after="6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1875" w:type="dxa"/>
        <w:jc w:val="center"/>
        <w:tblInd w:w="0" w:type="dxa"/>
        <w:tblLayout w:type="fixed"/>
        <w:tblCellMar>
          <w:top w:w="28" w:type="dxa"/>
          <w:left w:w="28" w:type="dxa"/>
          <w:bottom w:w="28" w:type="dxa"/>
          <w:right w:w="28" w:type="dxa"/>
        </w:tblCellMar>
      </w:tblPr>
      <w:tblGrid>
        <w:gridCol w:w="599"/>
        <w:gridCol w:w="528"/>
        <w:gridCol w:w="748"/>
      </w:tblGrid>
      <w:tr>
        <w:trPr/>
        <w:tc>
          <w:tcPr>
            <w:tcW w:w="59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10-Q</w:t>
            </w:r>
          </w:p>
        </w:tc>
      </w:tr>
    </w:tbl>
    <w:tbl>
      <w:tblPr>
        <w:tblW w:w="10205" w:type="dxa"/>
        <w:jc w:val="center"/>
        <w:tblInd w:w="0" w:type="dxa"/>
        <w:tblLayout w:type="fixed"/>
        <w:tblCellMar>
          <w:top w:w="28" w:type="dxa"/>
          <w:left w:w="28" w:type="dxa"/>
          <w:bottom w:w="28" w:type="dxa"/>
          <w:right w:w="28" w:type="dxa"/>
        </w:tblCellMar>
      </w:tblPr>
      <w:tblGrid>
        <w:gridCol w:w="197"/>
        <w:gridCol w:w="173"/>
        <w:gridCol w:w="173"/>
        <w:gridCol w:w="2826"/>
        <w:gridCol w:w="2826"/>
        <w:gridCol w:w="4010"/>
      </w:tblGrid>
      <w:tr>
        <w:trPr/>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c>
          <w:tcPr>
            <w:tcW w:w="401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(Mark One)</w:t>
            </w:r>
          </w:p>
        </w:tc>
      </w:tr>
      <w:tr>
        <w:trPr/>
        <w:tc>
          <w:tcPr>
            <w:tcW w:w="543"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9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UNDER SECTION 13 OR 15(d) OF THE SECURITIES EXCHANGE ACT OF 1934</w:t>
            </w:r>
          </w:p>
        </w:tc>
      </w:tr>
      <w:tr>
        <w:trPr/>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2023</w:t>
            </w:r>
          </w:p>
        </w:tc>
      </w:tr>
      <w:tr>
        <w:trPr/>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76" w:before="0" w:after="60"/>
        <w:jc w:val="center"/>
        <w:rPr>
          <w:rFonts w:ascii="Times New Roman;sans-serif" w:hAnsi="Times New Roman;sans-serif"/>
          <w:b/>
          <w:color w:val="000000"/>
          <w:sz w:val="20"/>
        </w:rPr>
      </w:pPr>
      <w:r>
        <w:rPr>
          <w:rFonts w:ascii="Times New Roman;sans-serif" w:hAnsi="Times New Roman;sans-serif"/>
          <w:b/>
          <w:color w:val="000000"/>
          <w:sz w:val="20"/>
        </w:rPr>
        <w:t>For the quarterly period from _______ to _______</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001-40440</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w:t>
      </w:r>
    </w:p>
    <w:p>
      <w:pPr>
        <w:pStyle w:val="TextBody"/>
        <w:bidi w:val="0"/>
        <w:spacing w:lineRule="auto" w:line="276" w:before="0" w:after="0"/>
        <w:jc w:val="center"/>
        <w:rPr>
          <w:rFonts w:ascii="Times New Roman;sans-serif" w:hAnsi="Times New Roman;sans-serif"/>
          <w:b/>
          <w:color w:val="000000"/>
          <w:sz w:val="48"/>
        </w:rPr>
      </w:pPr>
      <w:r>
        <w:rPr>
          <w:rFonts w:ascii="Times New Roman;sans-serif" w:hAnsi="Times New Roman;sans-serif"/>
          <w:b/>
          <w:color w:val="000000"/>
          <w:sz w:val="48"/>
        </w:rPr>
        <w:t>Senti Biosciences, Inc.</w:t>
      </w:r>
    </w:p>
    <w:p>
      <w:pPr>
        <w:pStyle w:val="TextBody"/>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bidi w:val="0"/>
        <w:spacing w:lineRule="auto" w:line="276"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w:t>
      </w:r>
    </w:p>
    <w:tbl>
      <w:tblPr>
        <w:tblW w:w="4511" w:type="dxa"/>
        <w:jc w:val="center"/>
        <w:tblInd w:w="0" w:type="dxa"/>
        <w:tblLayout w:type="fixed"/>
        <w:tblCellMar>
          <w:top w:w="28" w:type="dxa"/>
          <w:left w:w="28" w:type="dxa"/>
          <w:bottom w:w="28" w:type="dxa"/>
          <w:right w:w="28" w:type="dxa"/>
        </w:tblCellMar>
      </w:tblPr>
      <w:tblGrid>
        <w:gridCol w:w="859"/>
        <w:gridCol w:w="753"/>
        <w:gridCol w:w="758"/>
        <w:gridCol w:w="109"/>
        <w:gridCol w:w="109"/>
        <w:gridCol w:w="109"/>
        <w:gridCol w:w="528"/>
        <w:gridCol w:w="528"/>
        <w:gridCol w:w="758"/>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86-2437900</w:t>
            </w:r>
          </w:p>
        </w:tc>
      </w:tr>
      <w:tr>
        <w:trPr/>
        <w:tc>
          <w:tcPr>
            <w:tcW w:w="23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p>
            <w:pPr>
              <w:pStyle w:val="TableContents"/>
              <w:bidi w:val="0"/>
              <w:spacing w:lineRule="auto" w:line="276" w:before="0" w:after="180"/>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76" w:before="0" w:after="180"/>
              <w:jc w:val="center"/>
              <w:rPr>
                <w:rFonts w:ascii="Times New Roman;sans-serif" w:hAnsi="Times New Roman;sans-serif"/>
                <w:b/>
                <w:color w:val="000000"/>
                <w:sz w:val="16"/>
              </w:rPr>
            </w:pPr>
            <w:r>
              <w:rPr>
                <w:rFonts w:ascii="Times New Roman;sans-serif" w:hAnsi="Times New Roman;sans-serif"/>
                <w:b/>
                <w:color w:val="000000"/>
                <w:sz w:val="16"/>
              </w:rPr>
              <w:t>Identification Number)</w:t>
            </w:r>
          </w:p>
        </w:tc>
      </w:tr>
    </w:tbl>
    <w:p>
      <w:pPr>
        <w:pStyle w:val="TextBody"/>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2 Corporate Drive, First Floor</w:t>
      </w:r>
    </w:p>
    <w:p>
      <w:pPr>
        <w:pStyle w:val="TextBody"/>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South San Francisco, CA 94080</w:t>
      </w:r>
    </w:p>
    <w:p>
      <w:pPr>
        <w:pStyle w:val="TextBody"/>
        <w:bidi w:val="0"/>
        <w:spacing w:lineRule="auto" w:line="276" w:before="0" w:after="12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and zip code)</w:t>
      </w:r>
    </w:p>
    <w:p>
      <w:pPr>
        <w:pStyle w:val="TextBody"/>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(650) 239-2030</w:t>
      </w:r>
    </w:p>
    <w:p>
      <w:pPr>
        <w:pStyle w:val="TextBody"/>
        <w:bidi w:val="0"/>
        <w:spacing w:lineRule="auto" w:line="276" w:before="0" w:after="12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(Former name, former address and former fiscal year, if changed since last report)</w:t>
      </w:r>
    </w:p>
    <w:p>
      <w:pPr>
        <w:pStyle w:val="TextBody"/>
        <w:bidi w:val="0"/>
        <w:spacing w:lineRule="auto" w:line="276"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w:t>
      </w:r>
    </w:p>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7493" w:type="dxa"/>
        <w:jc w:val="center"/>
        <w:tblInd w:w="0" w:type="dxa"/>
        <w:tblLayout w:type="fixed"/>
        <w:tblCellMar>
          <w:top w:w="28" w:type="dxa"/>
          <w:left w:w="28" w:type="dxa"/>
          <w:bottom w:w="28" w:type="dxa"/>
          <w:right w:w="28" w:type="dxa"/>
        </w:tblCellMar>
      </w:tblPr>
      <w:tblGrid>
        <w:gridCol w:w="1329"/>
        <w:gridCol w:w="1165"/>
        <w:gridCol w:w="1181"/>
        <w:gridCol w:w="109"/>
        <w:gridCol w:w="109"/>
        <w:gridCol w:w="109"/>
        <w:gridCol w:w="274"/>
        <w:gridCol w:w="274"/>
        <w:gridCol w:w="276"/>
        <w:gridCol w:w="109"/>
        <w:gridCol w:w="109"/>
        <w:gridCol w:w="109"/>
        <w:gridCol w:w="685"/>
        <w:gridCol w:w="685"/>
        <w:gridCol w:w="970"/>
      </w:tblGrid>
      <w:tr>
        <w:trPr/>
        <w:tc>
          <w:tcPr>
            <w:tcW w:w="132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w:t>
              <w:br/>
              <w:t>on which registered</w:t>
            </w:r>
          </w:p>
        </w:tc>
      </w:tr>
      <w:tr>
        <w:trPr/>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SNTI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Market</w:t>
            </w:r>
          </w:p>
        </w:tc>
      </w:tr>
    </w:tbl>
    <w:p>
      <w:pPr>
        <w:pStyle w:val="TextBody"/>
        <w:bidi w:val="0"/>
        <w:spacing w:lineRule="auto" w:line="276" w:before="60" w:after="12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76" w:before="0" w:after="12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Yes ☒ No ☐</w:t>
      </w:r>
    </w:p>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389"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r>
    </w:tbl>
    <w:p>
      <w:pPr>
        <w:pStyle w:val="TextBody"/>
        <w:bidi w:val="0"/>
        <w:spacing w:lineRule="auto" w:line="276" w:before="0" w:after="120"/>
        <w:jc w:val="left"/>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lineRule="auto" w:line="276" w:before="0" w:after="12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12b-2 of the Exchange Act). Yes ☐ No ☒</w:t>
      </w:r>
    </w:p>
    <w:p>
      <w:pPr>
        <w:pStyle w:val="TextBody"/>
        <w:bidi w:val="0"/>
        <w:spacing w:lineRule="auto" w:line="276" w:before="0" w:after="60"/>
        <w:jc w:val="left"/>
        <w:rPr>
          <w:rFonts w:ascii="Times New Roman;sans-serif" w:hAnsi="Times New Roman;sans-serif"/>
          <w:b w:val="false"/>
          <w:color w:val="000000"/>
          <w:sz w:val="16"/>
        </w:rPr>
      </w:pPr>
      <w:r>
        <w:rPr>
          <w:rFonts w:ascii="Times New Roman;sans-serif" w:hAnsi="Times New Roman;sans-serif"/>
          <w:b w:val="false"/>
          <w:color w:val="000000"/>
          <w:sz w:val="16"/>
        </w:rPr>
        <w:t>As of November 6, 2023 there were 44,545,186 shares of the registrant’s common stock, par value $0.0001 per share, issued and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before="0" w:after="18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76" w:before="0" w:after="180"/>
        <w:jc w:val="center"/>
        <w:rPr>
          <w:rFonts w:ascii="Times New Roman;sans-serif" w:hAnsi="Times New Roman;sans-serif"/>
          <w:b/>
          <w:color w:val="000000"/>
          <w:sz w:val="20"/>
        </w:rPr>
      </w:pPr>
      <w:r>
        <w:rPr>
          <w:rFonts w:ascii="Times New Roman;sans-serif" w:hAnsi="Times New Roman;sans-serif"/>
          <w:b/>
          <w:color w:val="000000"/>
          <w:sz w:val="20"/>
        </w:rPr>
        <w:t>SENTI BIOSCIENCES, INC.</w:t>
      </w:r>
    </w:p>
    <w:p>
      <w:pPr>
        <w:pStyle w:val="TextBody"/>
        <w:bidi w:val="0"/>
        <w:spacing w:lineRule="auto" w:line="276" w:before="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557"/>
        <w:gridCol w:w="491"/>
        <w:gridCol w:w="491"/>
        <w:gridCol w:w="2744"/>
        <w:gridCol w:w="2689"/>
        <w:gridCol w:w="2659"/>
        <w:gridCol w:w="167"/>
        <w:gridCol w:w="167"/>
        <w:gridCol w:w="240"/>
      </w:tblGrid>
      <w:tr>
        <w:trPr/>
        <w:tc>
          <w:tcPr>
            <w:tcW w:w="55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0b89bcd424b4d2486c3bbf18f8fe9ae_10">
              <w:r>
                <w:rPr>
                  <w:rStyle w:val="InternetLink"/>
                  <w:rFonts w:ascii="Times New Roman;sans-serif" w:hAnsi="Times New Roman;sans-serif"/>
                  <w:b/>
                  <w:color w:val="0000FF"/>
                  <w:sz w:val="20"/>
                  <w:u w:val="single"/>
                </w:rPr>
                <w:t>PART I - FINANCIAL STATEMENTS</w:t>
              </w:r>
            </w:hyperlink>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b89bcd424b4d2486c3bbf18f8fe9ae_13">
              <w:r>
                <w:rPr>
                  <w:rStyle w:val="InternetLink"/>
                  <w:rFonts w:ascii="Times New Roman;sans-serif" w:hAnsi="Times New Roman;sans-serif"/>
                  <w:b w:val="false"/>
                  <w:color w:val="0000FF"/>
                  <w:sz w:val="20"/>
                  <w:u w:val="single"/>
                </w:rPr>
                <w:t>FINANCIAL STATEMENTS (UNAUDITED)</w:t>
              </w:r>
            </w:hyperlink>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b89bcd424b4d2486c3bbf18f8fe9ae_16">
              <w:r>
                <w:rPr>
                  <w:rStyle w:val="InternetLink"/>
                  <w:rFonts w:ascii="Times New Roman;sans-serif" w:hAnsi="Times New Roman;sans-serif"/>
                  <w:b w:val="false"/>
                  <w:color w:val="0000FF"/>
                  <w:sz w:val="20"/>
                  <w:u w:val="single"/>
                </w:rPr>
                <w:t>Condensed Consolidated Balance Sheets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b89bcd424b4d2486c3bbf18f8fe9ae_16">
              <w:r>
                <w:rPr>
                  <w:rStyle w:val="InternetLink"/>
                  <w:rFonts w:ascii="Times New Roman;sans-serif" w:hAnsi="Times New Roman;sans-serif"/>
                  <w:b w:val="false"/>
                  <w:color w:val="0000FF"/>
                  <w:sz w:val="20"/>
                  <w:u w:val="single"/>
                </w:rPr>
                <w:t>1</w:t>
              </w:r>
            </w:hyperlink>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b89bcd424b4d2486c3bbf18f8fe9ae_19">
              <w:r>
                <w:rPr>
                  <w:rStyle w:val="InternetLink"/>
                  <w:rFonts w:ascii="Times New Roman;sans-serif" w:hAnsi="Times New Roman;sans-serif"/>
                  <w:b w:val="false"/>
                  <w:color w:val="0000FF"/>
                  <w:sz w:val="20"/>
                  <w:u w:val="single"/>
                </w:rPr>
                <w:t>Condensed Consolidated Statements of Operations and Comprehensive Loss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b89bcd424b4d2486c3bbf18f8fe9ae_19">
              <w:r>
                <w:rPr>
                  <w:rStyle w:val="InternetLink"/>
                  <w:rFonts w:ascii="Times New Roman;sans-serif" w:hAnsi="Times New Roman;sans-serif"/>
                  <w:b w:val="false"/>
                  <w:color w:val="0000FF"/>
                  <w:sz w:val="20"/>
                  <w:u w:val="single"/>
                </w:rPr>
                <w:t>3</w:t>
              </w:r>
            </w:hyperlink>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b89bcd424b4d2486c3bbf18f8fe9ae_22">
              <w:r>
                <w:rPr>
                  <w:rStyle w:val="InternetLink"/>
                  <w:rFonts w:ascii="Times New Roman;sans-serif" w:hAnsi="Times New Roman;sans-serif"/>
                  <w:b w:val="false"/>
                  <w:color w:val="0000FF"/>
                  <w:sz w:val="20"/>
                  <w:u w:val="single"/>
                </w:rPr>
                <w:t>Condensed Consolidated Statements of Redeemable Convertible Preferred Stock and Stockholders’ Equity (Deficit</w:t>
              </w:r>
            </w:hyperlink>
            <w:r>
              <w:rPr>
                <w:rFonts w:ascii="Times New Roman;sans-serif" w:hAnsi="Times New Roman;sans-serif"/>
                <w:b w:val="false"/>
                <w:color w:val="000000"/>
                <w:sz w:val="20"/>
              </w:rPr>
              <w:t>)</w:t>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b89bcd424b4d2486c3bbf18f8fe9ae_22">
              <w:r>
                <w:rPr>
                  <w:rStyle w:val="InternetLink"/>
                  <w:rFonts w:ascii="Times New Roman;sans-serif" w:hAnsi="Times New Roman;sans-serif"/>
                  <w:b w:val="false"/>
                  <w:color w:val="0000FF"/>
                  <w:sz w:val="20"/>
                  <w:u w:val="single"/>
                </w:rPr>
                <w:t>4</w:t>
              </w:r>
            </w:hyperlink>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b89bcd424b4d2486c3bbf18f8fe9ae_25">
              <w:r>
                <w:rPr>
                  <w:rStyle w:val="InternetLink"/>
                  <w:rFonts w:ascii="Times New Roman;sans-serif" w:hAnsi="Times New Roman;sans-serif"/>
                  <w:b w:val="false"/>
                  <w:color w:val="0000FF"/>
                  <w:sz w:val="20"/>
                  <w:u w:val="single"/>
                </w:rPr>
                <w:t>Condensed Consolidated Statements of Cash Flows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b89bcd424b4d2486c3bbf18f8fe9ae_25">
              <w:r>
                <w:rPr>
                  <w:rStyle w:val="InternetLink"/>
                  <w:rFonts w:ascii="Times New Roman;sans-serif" w:hAnsi="Times New Roman;sans-serif"/>
                  <w:b w:val="false"/>
                  <w:color w:val="0000FF"/>
                  <w:sz w:val="20"/>
                  <w:u w:val="single"/>
                </w:rPr>
                <w:t>6</w:t>
              </w:r>
            </w:hyperlink>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b89bcd424b4d2486c3bbf18f8fe9ae_28">
              <w:r>
                <w:rPr>
                  <w:rStyle w:val="InternetLink"/>
                  <w:rFonts w:ascii="Times New Roman;sans-serif" w:hAnsi="Times New Roman;sans-serif"/>
                  <w:b w:val="false"/>
                  <w:color w:val="0000FF"/>
                  <w:sz w:val="20"/>
                  <w:u w:val="single"/>
                </w:rPr>
                <w:t>Notes to Condensed Consolidated Financial Statements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b89bcd424b4d2486c3bbf18f8fe9ae_28">
              <w:r>
                <w:rPr>
                  <w:rStyle w:val="InternetLink"/>
                  <w:rFonts w:ascii="Times New Roman;sans-serif" w:hAnsi="Times New Roman;sans-serif"/>
                  <w:b w:val="false"/>
                  <w:color w:val="0000FF"/>
                  <w:sz w:val="20"/>
                  <w:u w:val="single"/>
                </w:rPr>
                <w:t>8</w:t>
              </w:r>
            </w:hyperlink>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b89bcd424b4d2486c3bbf18f8fe9ae_8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b89bcd424b4d2486c3bbf18f8fe9ae_82">
              <w:r>
                <w:rPr>
                  <w:rStyle w:val="InternetLink"/>
                  <w:rFonts w:ascii="Times New Roman;sans-serif" w:hAnsi="Times New Roman;sans-serif"/>
                  <w:b w:val="false"/>
                  <w:color w:val="0000FF"/>
                  <w:sz w:val="20"/>
                  <w:u w:val="single"/>
                </w:rPr>
                <w:t>32</w:t>
              </w:r>
            </w:hyperlink>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b89bcd424b4d2486c3bbf18f8fe9ae_121">
              <w:r>
                <w:rPr>
                  <w:rStyle w:val="InternetLink"/>
                  <w:rFonts w:ascii="Times New Roman;sans-serif" w:hAnsi="Times New Roman;sans-serif"/>
                  <w:b w:val="false"/>
                  <w:color w:val="0000FF"/>
                  <w:sz w:val="20"/>
                  <w:u w:val="single"/>
                </w:rPr>
                <w:t>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b89bcd424b4d2486c3bbf18f8fe9ae_121">
              <w:r>
                <w:rPr>
                  <w:rStyle w:val="InternetLink"/>
                  <w:rFonts w:ascii="Times New Roman;sans-serif" w:hAnsi="Times New Roman;sans-serif"/>
                  <w:b w:val="false"/>
                  <w:color w:val="0000FF"/>
                  <w:sz w:val="20"/>
                  <w:u w:val="single"/>
                </w:rPr>
                <w:t>47</w:t>
              </w:r>
            </w:hyperlink>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b89bcd424b4d2486c3bbf18f8fe9ae_124">
              <w:r>
                <w:rPr>
                  <w:rStyle w:val="InternetLink"/>
                  <w:rFonts w:ascii="Times New Roman;sans-serif" w:hAnsi="Times New Roman;sans-serif"/>
                  <w:b w:val="false"/>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b89bcd424b4d2486c3bbf18f8fe9ae_124">
              <w:r>
                <w:rPr>
                  <w:rStyle w:val="InternetLink"/>
                  <w:rFonts w:ascii="Times New Roman;sans-serif" w:hAnsi="Times New Roman;sans-serif"/>
                  <w:b w:val="false"/>
                  <w:color w:val="0000FF"/>
                  <w:sz w:val="20"/>
                  <w:u w:val="single"/>
                </w:rPr>
                <w:t>47</w:t>
              </w:r>
            </w:hyperlink>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0b89bcd424b4d2486c3bbf18f8fe9ae_127">
              <w:r>
                <w:rPr>
                  <w:rStyle w:val="InternetLink"/>
                  <w:rFonts w:ascii="Times New Roman;sans-serif" w:hAnsi="Times New Roman;sans-serif"/>
                  <w:b/>
                  <w:color w:val="0000FF"/>
                  <w:sz w:val="20"/>
                  <w:u w:val="single"/>
                </w:rPr>
                <w:t>PART II - OTHER INFORMATION</w:t>
              </w:r>
            </w:hyperlink>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b89bcd424b4d2486c3bbf18f8fe9ae_130">
              <w:r>
                <w:rPr>
                  <w:rStyle w:val="InternetLink"/>
                  <w:rFonts w:ascii="Times New Roman;sans-serif" w:hAnsi="Times New Roman;sans-serif"/>
                  <w:b w:val="false"/>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b89bcd424b4d2486c3bbf18f8fe9ae_130">
              <w:r>
                <w:rPr>
                  <w:rStyle w:val="InternetLink"/>
                  <w:rFonts w:ascii="Times New Roman;sans-serif" w:hAnsi="Times New Roman;sans-serif"/>
                  <w:b w:val="false"/>
                  <w:color w:val="0000FF"/>
                  <w:sz w:val="20"/>
                  <w:u w:val="single"/>
                </w:rPr>
                <w:t>49</w:t>
              </w:r>
            </w:hyperlink>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b89bcd424b4d2486c3bbf18f8fe9ae_133">
              <w:r>
                <w:rPr>
                  <w:rStyle w:val="InternetLink"/>
                  <w:rFonts w:ascii="Times New Roman;sans-serif" w:hAnsi="Times New Roman;sans-serif"/>
                  <w:b w:val="false"/>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b89bcd424b4d2486c3bbf18f8fe9ae_133">
              <w:r>
                <w:rPr>
                  <w:rStyle w:val="InternetLink"/>
                  <w:rFonts w:ascii="Times New Roman;sans-serif" w:hAnsi="Times New Roman;sans-serif"/>
                  <w:b w:val="false"/>
                  <w:color w:val="0000FF"/>
                  <w:sz w:val="20"/>
                  <w:u w:val="single"/>
                </w:rPr>
                <w:t>49</w:t>
              </w:r>
            </w:hyperlink>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b89bcd424b4d2486c3bbf18f8fe9ae_136">
              <w:r>
                <w:rPr>
                  <w:rStyle w:val="InternetLink"/>
                  <w:rFonts w:ascii="Times New Roman;sans-serif" w:hAnsi="Times New Roman;sans-serif"/>
                  <w:b w:val="false"/>
                  <w:color w:val="0000FF"/>
                  <w:sz w:val="20"/>
                  <w:u w:val="single"/>
                </w:rPr>
                <w:t>UNREGISTERED SALES OF EQUITY SECURITIES AND USE OF PROCEEDS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b89bcd424b4d2486c3bbf18f8fe9ae_136">
              <w:r>
                <w:rPr>
                  <w:rStyle w:val="InternetLink"/>
                  <w:rFonts w:ascii="Times New Roman;sans-serif" w:hAnsi="Times New Roman;sans-serif"/>
                  <w:b w:val="false"/>
                  <w:color w:val="0000FF"/>
                  <w:sz w:val="20"/>
                  <w:u w:val="single"/>
                </w:rPr>
                <w:t>120</w:t>
              </w:r>
            </w:hyperlink>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b89bcd424b4d2486c3bbf18f8fe9ae_139">
              <w:r>
                <w:rPr>
                  <w:rStyle w:val="InternetLink"/>
                  <w:rFonts w:ascii="Times New Roman;sans-serif" w:hAnsi="Times New Roman;sans-serif"/>
                  <w:b w:val="false"/>
                  <w:color w:val="0000FF"/>
                  <w:sz w:val="20"/>
                  <w:u w:val="single"/>
                </w:rPr>
                <w:t>DEFAULTS UPON SENIOR SECURITIES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b89bcd424b4d2486c3bbf18f8fe9ae_139">
              <w:r>
                <w:rPr>
                  <w:rStyle w:val="InternetLink"/>
                  <w:rFonts w:ascii="Times New Roman;sans-serif" w:hAnsi="Times New Roman;sans-serif"/>
                  <w:b w:val="false"/>
                  <w:color w:val="0000FF"/>
                  <w:sz w:val="20"/>
                  <w:u w:val="single"/>
                </w:rPr>
                <w:t>120</w:t>
              </w:r>
            </w:hyperlink>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b89bcd424b4d2486c3bbf18f8fe9ae_142">
              <w:r>
                <w:rPr>
                  <w:rStyle w:val="InternetLink"/>
                  <w:rFonts w:ascii="Times New Roman;sans-serif" w:hAnsi="Times New Roman;sans-serif"/>
                  <w:b w:val="false"/>
                  <w:color w:val="0000FF"/>
                  <w:sz w:val="20"/>
                  <w:u w:val="single"/>
                </w:rPr>
                <w:t>MINE SAFETY DISCLOSURES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b89bcd424b4d2486c3bbf18f8fe9ae_142">
              <w:r>
                <w:rPr>
                  <w:rStyle w:val="InternetLink"/>
                  <w:rFonts w:ascii="Times New Roman;sans-serif" w:hAnsi="Times New Roman;sans-serif"/>
                  <w:b w:val="false"/>
                  <w:color w:val="0000FF"/>
                  <w:sz w:val="20"/>
                  <w:u w:val="single"/>
                </w:rPr>
                <w:t>120</w:t>
              </w:r>
            </w:hyperlink>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b89bcd424b4d2486c3bbf18f8fe9ae_145">
              <w:r>
                <w:rPr>
                  <w:rStyle w:val="InternetLink"/>
                  <w:rFonts w:ascii="Times New Roman;sans-serif" w:hAnsi="Times New Roman;sans-serif"/>
                  <w:b w:val="false"/>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b89bcd424b4d2486c3bbf18f8fe9ae_145">
              <w:r>
                <w:rPr>
                  <w:rStyle w:val="InternetLink"/>
                  <w:rFonts w:ascii="Times New Roman;sans-serif" w:hAnsi="Times New Roman;sans-serif"/>
                  <w:b w:val="false"/>
                  <w:color w:val="0000FF"/>
                  <w:sz w:val="20"/>
                  <w:u w:val="single"/>
                </w:rPr>
                <w:t>120</w:t>
              </w:r>
            </w:hyperlink>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b89bcd424b4d2486c3bbf18f8fe9ae_148">
              <w:r>
                <w:rPr>
                  <w:rStyle w:val="InternetLink"/>
                  <w:rFonts w:ascii="Times New Roman;sans-serif" w:hAnsi="Times New Roman;sans-serif"/>
                  <w:b w:val="false"/>
                  <w:color w:val="0000FF"/>
                  <w:sz w:val="20"/>
                  <w:u w:val="single"/>
                </w:rPr>
                <w:t>EXHIBITS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b89bcd424b4d2486c3bbf18f8fe9ae_148">
              <w:r>
                <w:rPr>
                  <w:rStyle w:val="InternetLink"/>
                  <w:rFonts w:ascii="Times New Roman;sans-serif" w:hAnsi="Times New Roman;sans-serif"/>
                  <w:b w:val="false"/>
                  <w:color w:val="0000FF"/>
                  <w:sz w:val="20"/>
                  <w:u w:val="single"/>
                </w:rPr>
                <w:t>121</w:t>
              </w:r>
            </w:hyperlink>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0b89bcd424b4d2486c3bbf18f8fe9ae_151">
              <w:r>
                <w:rPr>
                  <w:rStyle w:val="InternetLink"/>
                  <w:rFonts w:ascii="Times New Roman;sans-serif" w:hAnsi="Times New Roman;sans-serif"/>
                  <w:b/>
                  <w:color w:val="0000FF"/>
                  <w:sz w:val="20"/>
                  <w:u w:val="single"/>
                </w:rPr>
                <w:t>SIGNATURES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b89bcd424b4d2486c3bbf18f8fe9ae_151">
              <w:r>
                <w:rPr>
                  <w:rStyle w:val="InternetLink"/>
                  <w:rFonts w:ascii="Times New Roman;sans-serif" w:hAnsi="Times New Roman;sans-serif"/>
                  <w:b w:val="false"/>
                  <w:color w:val="0000FF"/>
                  <w:sz w:val="20"/>
                  <w:u w:val="single"/>
                </w:rPr>
                <w:t>122</w:t>
              </w:r>
            </w:hyperlink>
          </w:p>
        </w:tc>
      </w:tr>
    </w:tbl>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180" w:after="180"/>
        <w:jc w:val="center"/>
        <w:rPr/>
      </w:pPr>
      <w:r>
        <w:rPr/>
      </w:r>
    </w:p>
    <w:p>
      <w:pPr>
        <w:pStyle w:val="TextBody"/>
        <w:bidi w:val="0"/>
        <w:spacing w:lineRule="auto" w:line="276" w:before="0" w:after="180"/>
        <w:ind w:left="0" w:right="0" w:firstLine="360"/>
        <w:jc w:val="left"/>
        <w:rPr>
          <w:color w:val="000000"/>
        </w:rPr>
      </w:pPr>
      <w:r>
        <w:rPr>
          <w:color w:val="000000"/>
        </w:rPr>
        <w:t>                    </w:t>
      </w:r>
    </w:p>
    <w:p>
      <w:pPr>
        <w:pStyle w:val="TextBody"/>
        <w:bidi w:val="0"/>
        <w:spacing w:lineRule="auto" w:line="276" w:before="0" w:after="120"/>
        <w:jc w:val="left"/>
        <w:rPr>
          <w:rFonts w:ascii="Times New Roman;sans-serif" w:hAnsi="Times New Roman;sans-serif"/>
          <w:b/>
          <w:color w:val="000000"/>
          <w:sz w:val="20"/>
        </w:rPr>
      </w:pPr>
      <w:r>
        <w:rPr>
          <w:rFonts w:ascii="Times New Roman;sans-serif" w:hAnsi="Times New Roman;sans-serif"/>
          <w:b/>
          <w:color w:val="000000"/>
          <w:sz w:val="20"/>
        </w:rPr>
        <w:t>PART 1 -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20"/>
        <w:jc w:val="left"/>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SENTI BIOSCIENCES,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76" w:before="0" w:after="0"/>
        <w:jc w:val="center"/>
        <w:rPr/>
      </w:pPr>
      <w:r>
        <w:rPr>
          <w:rFonts w:ascii="Times New Roman;sans-serif" w:hAnsi="Times New Roman;sans-serif"/>
          <w:b/>
          <w:i/>
          <w:color w:val="000000"/>
          <w:sz w:val="20"/>
        </w:rPr>
        <w:t>(unaudited)</w:t>
      </w:r>
      <w:r>
        <w:rPr>
          <w:rFonts w:ascii="Times New Roman;sans-serif" w:hAnsi="Times New Roman;sans-serif"/>
          <w:b/>
          <w:color w:val="000000"/>
          <w:sz w:val="20"/>
        </w:rPr>
        <w:br/>
      </w:r>
      <w:r>
        <w:rPr>
          <w:rFonts w:ascii="Times New Roman;sans-serif" w:hAnsi="Times New Roman;sans-serif"/>
          <w:b/>
          <w:i/>
          <w:color w:val="000000"/>
          <w:sz w:val="20"/>
        </w:rPr>
        <w:t>(in thousands, except share and per share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180" w:after="180"/>
        <w:jc w:val="center"/>
        <w:rPr/>
      </w:pPr>
      <w:r>
        <w:rPr/>
      </w:r>
    </w:p>
    <w:p>
      <w:pPr>
        <w:pStyle w:val="TextBody"/>
        <w:bidi w:val="0"/>
        <w:spacing w:lineRule="auto" w:line="276" w:before="0" w:after="180"/>
        <w:ind w:left="0" w:right="0" w:firstLine="36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879"/>
        <w:gridCol w:w="2393"/>
        <w:gridCol w:w="2414"/>
        <w:gridCol w:w="203"/>
        <w:gridCol w:w="765"/>
        <w:gridCol w:w="113"/>
        <w:gridCol w:w="109"/>
        <w:gridCol w:w="109"/>
        <w:gridCol w:w="109"/>
        <w:gridCol w:w="199"/>
        <w:gridCol w:w="751"/>
        <w:gridCol w:w="161"/>
      </w:tblGrid>
      <w:tr>
        <w:trPr/>
        <w:tc>
          <w:tcPr>
            <w:tcW w:w="2879"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GeneFab receivable - related party</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GeneFab prepaid expenses - related party</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 of discontinued operations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79,007 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102,579 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GeneFab receivable - related party, net of current portion</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17,018 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GeneFab Economic Share - related party</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assets of discontinued operations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131,766 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180,792 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Finance lease liabilities - related party, current portion </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Early exercise liability, current portion</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GeneFab sublease deferred income - related party</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 of discontinued operations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18,053 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Finance lease liabilities - related party, net of current portion </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net of current portion</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earnout liability</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GeneFab Option - related party</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Early exercise liability, net of current portion</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48,830 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53,529 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12)</w:t>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$0.0001 par value; 10,000,000 shares authorized at September 30, 2023 and December 31, 2022; zero shares issued and outstanding at September 30, 2023 and December 31, 2022, respectively</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500,000,000 shares authorized at September 30, 2023 and December 31, 2022; 44,477,666 and 44,062,534 shares issued and outstanding at September 30, 2023 and December 31, 2022, respectively</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308,560 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300,544 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(225,628)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(173,286)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82,936 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127,263 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131,766 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180,792 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180" w:after="180"/>
        <w:jc w:val="center"/>
        <w:rPr/>
      </w:pPr>
      <w:r>
        <w:rPr/>
      </w:r>
    </w:p>
    <w:p>
      <w:pPr>
        <w:pStyle w:val="TextBody"/>
        <w:bidi w:val="0"/>
        <w:spacing w:lineRule="auto" w:line="276" w:before="0" w:after="180"/>
        <w:ind w:left="0" w:right="0" w:firstLine="360"/>
        <w:jc w:val="left"/>
        <w:rPr>
          <w:color w:val="000000"/>
        </w:rPr>
      </w:pPr>
      <w:r>
        <w:rPr>
          <w:color w:val="000000"/>
        </w:rPr>
        <w:t>                    </w: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SENTI BIOSCIENCES,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and Comprehensive Loss </w:t>
      </w:r>
    </w:p>
    <w:p>
      <w:pPr>
        <w:pStyle w:val="TextBody"/>
        <w:bidi w:val="0"/>
        <w:spacing w:lineRule="auto" w:line="276" w:before="0" w:after="180"/>
        <w:jc w:val="center"/>
        <w:rPr/>
      </w:pPr>
      <w:r>
        <w:rPr>
          <w:rFonts w:ascii="Times New Roman;sans-serif" w:hAnsi="Times New Roman;sans-serif"/>
          <w:b/>
          <w:i/>
          <w:color w:val="000000"/>
          <w:sz w:val="20"/>
        </w:rPr>
        <w:t>(unaudited)</w:t>
      </w:r>
      <w:r>
        <w:rPr>
          <w:rFonts w:ascii="Times New Roman;sans-serif" w:hAnsi="Times New Roman;sans-serif"/>
          <w:b/>
          <w:color w:val="000000"/>
          <w:sz w:val="20"/>
        </w:rPr>
        <w:br/>
      </w:r>
      <w:r>
        <w:rPr>
          <w:rFonts w:ascii="Times New Roman;sans-serif" w:hAnsi="Times New Roman;sans-serif"/>
          <w:b/>
          <w:i/>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806"/>
        <w:gridCol w:w="1471"/>
        <w:gridCol w:w="1421"/>
        <w:gridCol w:w="221"/>
        <w:gridCol w:w="783"/>
        <w:gridCol w:w="117"/>
        <w:gridCol w:w="117"/>
        <w:gridCol w:w="117"/>
        <w:gridCol w:w="117"/>
        <w:gridCol w:w="221"/>
        <w:gridCol w:w="783"/>
        <w:gridCol w:w="117"/>
        <w:gridCol w:w="109"/>
        <w:gridCol w:w="109"/>
        <w:gridCol w:w="109"/>
        <w:gridCol w:w="213"/>
        <w:gridCol w:w="769"/>
        <w:gridCol w:w="114"/>
        <w:gridCol w:w="114"/>
        <w:gridCol w:w="114"/>
        <w:gridCol w:w="114"/>
        <w:gridCol w:w="213"/>
        <w:gridCol w:w="769"/>
        <w:gridCol w:w="167"/>
      </w:tblGrid>
      <w:tr>
        <w:trPr/>
        <w:tc>
          <w:tcPr>
            <w:tcW w:w="180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revenue</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 income</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4,227 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(included related party cost of $1,186, $–, $1,186 and $–, respectively)</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21,108 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28,409 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property and equipment</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25,691 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25,691 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44,214 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76,590 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49,517 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(43,876)</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(14,748)</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(74,029)</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(45,290)</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net</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contingent earnout liability</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GeneFab Note Receivable - related party</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GeneFab Economic Share - related party</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GeneFab Option - related party</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extinguishment of convertible notes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GeneFab sublease income - related party</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 net</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from continuing operations</w:t>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(36,615)</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(14,303)</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(64,718)</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(34,677)</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from discontinued operations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(14,923)</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(16,640)</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(52,342)</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investments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(14,923)</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(16,640)</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(52,343)</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 per share, basic and diluted</w:t>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from continuing operations, basic and diluted</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per share from discontinued operations, basic and diluted</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basic and diluted</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(0.34)</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(0.38)</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outstanding, basic and diluted</w:t>
            </w:r>
          </w:p>
        </w:tc>
        <w:tc>
          <w:tcPr>
            <w:tcW w:w="100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44,473,400 </w:t>
            </w:r>
          </w:p>
        </w:tc>
        <w:tc>
          <w:tcPr>
            <w:tcW w:w="1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43,424,172 </w:t>
            </w:r>
          </w:p>
        </w:tc>
        <w:tc>
          <w:tcPr>
            <w:tcW w:w="1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44,275,741 </w:t>
            </w:r>
          </w:p>
        </w:tc>
        <w:tc>
          <w:tcPr>
            <w:tcW w:w="1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20,150,459 </w:t>
            </w:r>
          </w:p>
        </w:tc>
        <w:tc>
          <w:tcPr>
            <w:tcW w:w="16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180" w:after="180"/>
        <w:jc w:val="center"/>
        <w:rPr/>
      </w:pPr>
      <w:r>
        <w:rPr/>
      </w:r>
    </w:p>
    <w:p>
      <w:pPr>
        <w:pStyle w:val="TextBody"/>
        <w:bidi w:val="0"/>
        <w:spacing w:lineRule="auto" w:line="276" w:before="0" w:after="180"/>
        <w:ind w:left="0" w:right="0" w:firstLine="360"/>
        <w:jc w:val="left"/>
        <w:rPr>
          <w:color w:val="000000"/>
        </w:rPr>
      </w:pPr>
      <w:r>
        <w:rPr>
          <w:color w:val="000000"/>
        </w:rPr>
        <w:t>                    </w: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SENTI BIOSCIENCES,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Redeemable Convertible Preferred Stock and Stockholders’ Equity (Deficit)</w:t>
      </w:r>
    </w:p>
    <w:p>
      <w:pPr>
        <w:pStyle w:val="TextBody"/>
        <w:bidi w:val="0"/>
        <w:spacing w:lineRule="auto" w:line="276"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pStyle w:val="TextBody"/>
        <w:bidi w:val="0"/>
        <w:spacing w:lineRule="auto" w:line="276" w:before="0" w:after="180"/>
        <w:jc w:val="center"/>
        <w:rPr>
          <w:rFonts w:ascii="Times New Roman;sans-serif" w:hAnsi="Times New Roman;sans-serif"/>
          <w:b/>
          <w:i/>
          <w:color w:val="000000"/>
          <w:sz w:val="20"/>
        </w:rPr>
      </w:pPr>
      <w:r>
        <w:rPr>
          <w:rFonts w:ascii="Times New Roman;sans-serif" w:hAnsi="Times New Roman;sans-serif"/>
          <w:b/>
          <w:i/>
          <w:color w:val="000000"/>
          <w:sz w:val="20"/>
        </w:rPr>
        <w:t>(in thousands, except share data)</w:t>
      </w:r>
    </w:p>
    <w:tbl>
      <w:tblPr>
        <w:tblW w:w="12539" w:type="dxa"/>
        <w:jc w:val="left"/>
        <w:tblInd w:w="0" w:type="dxa"/>
        <w:tblLayout w:type="fixed"/>
        <w:tblCellMar>
          <w:top w:w="28" w:type="dxa"/>
          <w:left w:w="28" w:type="dxa"/>
          <w:bottom w:w="28" w:type="dxa"/>
          <w:right w:w="28" w:type="dxa"/>
        </w:tblCellMar>
      </w:tblPr>
      <w:tblGrid>
        <w:gridCol w:w="682"/>
        <w:gridCol w:w="296"/>
        <w:gridCol w:w="298"/>
        <w:gridCol w:w="488"/>
        <w:gridCol w:w="488"/>
        <w:gridCol w:w="308"/>
        <w:gridCol w:w="109"/>
        <w:gridCol w:w="109"/>
        <w:gridCol w:w="109"/>
        <w:gridCol w:w="196"/>
        <w:gridCol w:w="736"/>
        <w:gridCol w:w="109"/>
        <w:gridCol w:w="109"/>
        <w:gridCol w:w="109"/>
        <w:gridCol w:w="109"/>
        <w:gridCol w:w="109"/>
        <w:gridCol w:w="109"/>
        <w:gridCol w:w="109"/>
        <w:gridCol w:w="479"/>
        <w:gridCol w:w="482"/>
        <w:gridCol w:w="196"/>
        <w:gridCol w:w="109"/>
        <w:gridCol w:w="109"/>
        <w:gridCol w:w="109"/>
        <w:gridCol w:w="196"/>
        <w:gridCol w:w="406"/>
        <w:gridCol w:w="109"/>
        <w:gridCol w:w="109"/>
        <w:gridCol w:w="109"/>
        <w:gridCol w:w="109"/>
        <w:gridCol w:w="196"/>
        <w:gridCol w:w="736"/>
        <w:gridCol w:w="109"/>
        <w:gridCol w:w="109"/>
        <w:gridCol w:w="109"/>
        <w:gridCol w:w="109"/>
        <w:gridCol w:w="335"/>
        <w:gridCol w:w="694"/>
        <w:gridCol w:w="187"/>
        <w:gridCol w:w="109"/>
        <w:gridCol w:w="109"/>
        <w:gridCol w:w="109"/>
        <w:gridCol w:w="196"/>
        <w:gridCol w:w="751"/>
        <w:gridCol w:w="109"/>
        <w:gridCol w:w="109"/>
        <w:gridCol w:w="109"/>
        <w:gridCol w:w="109"/>
        <w:gridCol w:w="196"/>
        <w:gridCol w:w="791"/>
        <w:gridCol w:w="154"/>
      </w:tblGrid>
      <w:tr>
        <w:trPr/>
        <w:tc>
          <w:tcPr>
            <w:tcW w:w="68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Convertible</w:t>
              <w:b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 (Deficit)</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2021</w:t>
            </w:r>
          </w:p>
        </w:tc>
        <w:tc>
          <w:tcPr>
            <w:tcW w:w="12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19,517,988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2,972,409 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(111,457)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common stock options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172,606 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early exercise of common stock options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143,524 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March 31, 2022</w:t>
            </w:r>
          </w:p>
        </w:tc>
        <w:tc>
          <w:tcPr>
            <w:tcW w:w="12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19,517,988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3,288,539 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(121,807)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redeemable convertible preferred stock into common stock in connection with the Reverse Recapitalization, net of transaction cost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(19,517,988)</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19,517,988 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171,835 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Reverse Recapitalization, net of transaction costs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19,975,963 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112,182 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earnout liability recognized upon closing of the Reverse Recapitalization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Cancellation and exchange of convertible note in connection with PIPE financing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517,500 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recognized on fair value of embedded derivative on SPAC merger date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common stock options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early exercise of common stock options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41,047 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June 30, 2022</w:t>
            </w:r>
          </w:p>
        </w:tc>
        <w:tc>
          <w:tcPr>
            <w:tcW w:w="12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43,368,270 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(138,436)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Purchase Agreement fee settled in common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Reverse Recapitalization transaction costs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early exercise of common stock options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170,647 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September 30, 2022</w:t>
            </w:r>
          </w:p>
        </w:tc>
        <w:tc>
          <w:tcPr>
            <w:tcW w:w="128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43,638,917 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295,415 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180" w:after="180"/>
        <w:jc w:val="center"/>
        <w:rPr/>
      </w:pPr>
      <w:r>
        <w:rPr/>
      </w:r>
    </w:p>
    <w:p>
      <w:pPr>
        <w:pStyle w:val="TextBody"/>
        <w:bidi w:val="0"/>
        <w:spacing w:lineRule="auto" w:line="276" w:before="0" w:after="180"/>
        <w:ind w:left="0" w:right="0" w:firstLine="360"/>
        <w:jc w:val="left"/>
        <w:rPr>
          <w:color w:val="000000"/>
        </w:rPr>
      </w:pPr>
      <w:r>
        <w:rPr>
          <w:color w:val="000000"/>
        </w:rPr>
        <w:t>                    </w:t>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left"/>
        <w:rPr/>
      </w:pPr>
      <w:r>
        <w:rPr/>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SENTI BIOSCIENCES,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Redeemable Convertible Preferred Stock and Stockholders’ Equity (Deficit)</w:t>
      </w:r>
    </w:p>
    <w:p>
      <w:pPr>
        <w:pStyle w:val="TextBody"/>
        <w:bidi w:val="0"/>
        <w:spacing w:lineRule="auto" w:line="276"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pStyle w:val="TextBody"/>
        <w:bidi w:val="0"/>
        <w:spacing w:lineRule="auto" w:line="276" w:before="0" w:after="120"/>
        <w:jc w:val="center"/>
        <w:rPr>
          <w:rFonts w:ascii="Times New Roman;sans-serif" w:hAnsi="Times New Roman;sans-serif"/>
          <w:b/>
          <w:i/>
          <w:color w:val="000000"/>
          <w:sz w:val="20"/>
        </w:rPr>
      </w:pPr>
      <w:r>
        <w:rPr>
          <w:rFonts w:ascii="Times New Roman;sans-serif" w:hAnsi="Times New Roman;sans-serif"/>
          <w:b/>
          <w:i/>
          <w:color w:val="000000"/>
          <w:sz w:val="20"/>
        </w:rPr>
        <w:t>(in thousands, except share data)</w:t>
      </w:r>
    </w:p>
    <w:tbl>
      <w:tblPr>
        <w:tblW w:w="11372" w:type="dxa"/>
        <w:jc w:val="center"/>
        <w:tblInd w:w="0" w:type="dxa"/>
        <w:tblLayout w:type="fixed"/>
        <w:tblCellMar>
          <w:top w:w="28" w:type="dxa"/>
          <w:left w:w="28" w:type="dxa"/>
          <w:bottom w:w="28" w:type="dxa"/>
          <w:right w:w="28" w:type="dxa"/>
        </w:tblCellMar>
      </w:tblPr>
      <w:tblGrid>
        <w:gridCol w:w="432"/>
        <w:gridCol w:w="354"/>
        <w:gridCol w:w="355"/>
        <w:gridCol w:w="203"/>
        <w:gridCol w:w="203"/>
        <w:gridCol w:w="196"/>
        <w:gridCol w:w="109"/>
        <w:gridCol w:w="109"/>
        <w:gridCol w:w="109"/>
        <w:gridCol w:w="196"/>
        <w:gridCol w:w="406"/>
        <w:gridCol w:w="109"/>
        <w:gridCol w:w="109"/>
        <w:gridCol w:w="109"/>
        <w:gridCol w:w="109"/>
        <w:gridCol w:w="109"/>
        <w:gridCol w:w="109"/>
        <w:gridCol w:w="109"/>
        <w:gridCol w:w="480"/>
        <w:gridCol w:w="481"/>
        <w:gridCol w:w="196"/>
        <w:gridCol w:w="109"/>
        <w:gridCol w:w="109"/>
        <w:gridCol w:w="109"/>
        <w:gridCol w:w="248"/>
        <w:gridCol w:w="305"/>
        <w:gridCol w:w="138"/>
        <w:gridCol w:w="109"/>
        <w:gridCol w:w="109"/>
        <w:gridCol w:w="109"/>
        <w:gridCol w:w="196"/>
        <w:gridCol w:w="736"/>
        <w:gridCol w:w="109"/>
        <w:gridCol w:w="109"/>
        <w:gridCol w:w="109"/>
        <w:gridCol w:w="109"/>
        <w:gridCol w:w="335"/>
        <w:gridCol w:w="694"/>
        <w:gridCol w:w="187"/>
        <w:gridCol w:w="109"/>
        <w:gridCol w:w="109"/>
        <w:gridCol w:w="109"/>
        <w:gridCol w:w="196"/>
        <w:gridCol w:w="751"/>
        <w:gridCol w:w="109"/>
        <w:gridCol w:w="109"/>
        <w:gridCol w:w="109"/>
        <w:gridCol w:w="109"/>
        <w:gridCol w:w="205"/>
        <w:gridCol w:w="773"/>
        <w:gridCol w:w="163"/>
      </w:tblGrid>
      <w:tr>
        <w:trPr/>
        <w:tc>
          <w:tcPr>
            <w:tcW w:w="43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Convertible</w:t>
              <w:b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 (Deficit)</w:t>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2022</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44,062,534 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127,263 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early exercise of common stock options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3,763 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investments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(18,722)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March 31, 2023</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44,075,194 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(192,008)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112,340 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early exercise of common stock options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Purchase Plan (ESPP)</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377,152 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3,434 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investments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June 30, 2023</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44,465,006 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(210,705)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97,416 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early exercise of common stock options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(14,923)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September 30, 2023</w:t>
            </w:r>
          </w:p>
        </w:tc>
        <w:tc>
          <w:tcPr>
            <w:tcW w:w="60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44,477,666 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308,560 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(225,628)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82,936 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180" w:after="180"/>
        <w:jc w:val="center"/>
        <w:rPr/>
      </w:pPr>
      <w:r>
        <w:rPr/>
      </w:r>
    </w:p>
    <w:p>
      <w:pPr>
        <w:pStyle w:val="TextBody"/>
        <w:bidi w:val="0"/>
        <w:spacing w:lineRule="auto" w:line="276" w:before="0" w:after="180"/>
        <w:ind w:left="0" w:right="0" w:firstLine="360"/>
        <w:jc w:val="left"/>
        <w:rPr>
          <w:color w:val="000000"/>
        </w:rPr>
      </w:pPr>
      <w:r>
        <w:rPr>
          <w:color w:val="000000"/>
        </w:rPr>
        <w:t>                    </w: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SENTI BIOSCIENCES,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76"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pStyle w:val="TextBody"/>
        <w:bidi w:val="0"/>
        <w:spacing w:lineRule="auto" w:line="276"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w:t>
      </w:r>
    </w:p>
    <w:tbl>
      <w:tblPr>
        <w:tblW w:w="8994" w:type="dxa"/>
        <w:jc w:val="center"/>
        <w:tblInd w:w="0" w:type="dxa"/>
        <w:tblLayout w:type="fixed"/>
        <w:tblCellMar>
          <w:top w:w="28" w:type="dxa"/>
          <w:left w:w="28" w:type="dxa"/>
          <w:bottom w:w="28" w:type="dxa"/>
          <w:right w:w="28" w:type="dxa"/>
        </w:tblCellMar>
      </w:tblPr>
      <w:tblGrid>
        <w:gridCol w:w="2303"/>
        <w:gridCol w:w="2020"/>
        <w:gridCol w:w="2036"/>
        <w:gridCol w:w="213"/>
        <w:gridCol w:w="785"/>
        <w:gridCol w:w="118"/>
        <w:gridCol w:w="118"/>
        <w:gridCol w:w="118"/>
        <w:gridCol w:w="118"/>
        <w:gridCol w:w="213"/>
        <w:gridCol w:w="785"/>
        <w:gridCol w:w="167"/>
      </w:tblGrid>
      <w:tr>
        <w:trPr/>
        <w:tc>
          <w:tcPr>
            <w:tcW w:w="2303"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(52,342)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lease right-of-use assets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discount on short-term investments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disposal of business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(21,862)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extinguishment of convertible notes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contingent earnout liability</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GeneFab Note Receivable - related party</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GeneFab Economic Share - related party</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GeneFab Option - related party</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property and equipment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25,691 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12,176 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accrued and not received</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for Common Stock Purchase Agreement fee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charges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Changes in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GeneFab receivable - related party</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GeneFab prepaid expenses - related party</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GeneFab sublease deferred income - related party</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11,161 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from operating activities</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(45,358)</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(25,890)</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short-term investments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Maturities of short-term investments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(12,034)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(32,841)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from investing activities</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29,976 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(32,841)</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Proceeds from Merger and related PIPE financing, net of transaction costs </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111,979 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upon exercise of stock options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under Employee Stock Purchase Plan (ESPP)</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convertible notes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finance lease payments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from financing activities</w:t>
            </w:r>
          </w:p>
        </w:tc>
        <w:tc>
          <w:tcPr>
            <w:tcW w:w="99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117,675 </w:t>
            </w:r>
          </w:p>
        </w:tc>
        <w:tc>
          <w:tcPr>
            <w:tcW w:w="1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180" w:after="180"/>
        <w:jc w:val="center"/>
        <w:rPr/>
      </w:pPr>
      <w:r>
        <w:rPr/>
      </w:r>
    </w:p>
    <w:p>
      <w:pPr>
        <w:pStyle w:val="TextBody"/>
        <w:bidi w:val="0"/>
        <w:spacing w:lineRule="auto" w:line="276" w:before="0" w:after="180"/>
        <w:ind w:left="0" w:right="0" w:firstLine="360"/>
        <w:jc w:val="left"/>
        <w:rPr>
          <w:color w:val="000000"/>
        </w:rPr>
      </w:pPr>
      <w:r>
        <w:rPr>
          <w:color w:val="000000"/>
        </w:rPr>
        <w:t>                    </w:t>
      </w:r>
    </w:p>
    <w:tbl>
      <w:tblPr>
        <w:tblW w:w="8394" w:type="dxa"/>
        <w:jc w:val="center"/>
        <w:tblInd w:w="0" w:type="dxa"/>
        <w:tblLayout w:type="fixed"/>
        <w:tblCellMar>
          <w:top w:w="28" w:type="dxa"/>
          <w:left w:w="28" w:type="dxa"/>
          <w:bottom w:w="28" w:type="dxa"/>
          <w:right w:w="28" w:type="dxa"/>
        </w:tblCellMar>
      </w:tblPr>
      <w:tblGrid>
        <w:gridCol w:w="2088"/>
        <w:gridCol w:w="1829"/>
        <w:gridCol w:w="1842"/>
        <w:gridCol w:w="218"/>
        <w:gridCol w:w="721"/>
        <w:gridCol w:w="121"/>
        <w:gridCol w:w="121"/>
        <w:gridCol w:w="121"/>
        <w:gridCol w:w="121"/>
        <w:gridCol w:w="218"/>
        <w:gridCol w:w="822"/>
        <w:gridCol w:w="172"/>
      </w:tblGrid>
      <w:tr>
        <w:trPr/>
        <w:tc>
          <w:tcPr>
            <w:tcW w:w="2088"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and cash equivalents</w:t>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58,944 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beginning of period</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59,291 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end of period</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45,828 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118,235 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 of cash, cash equivalents and restricted cash</w:t>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114,940 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45,828 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118,235 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of noncash financing and investing items</w:t>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 in accounts payable and accrued expenses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Refer to Note 3, </w:t>
            </w:r>
            <w:r>
              <w:rPr>
                <w:rFonts w:ascii="Times New Roman;sans-serif" w:hAnsi="Times New Roman;sans-serif"/>
                <w:b w:val="false"/>
                <w:i/>
                <w:color w:val="000000"/>
                <w:sz w:val="18"/>
              </w:rPr>
              <w:t>GeneFab Transaction</w:t>
            </w:r>
            <w:r>
              <w:rPr>
                <w:color w:val="000000"/>
              </w:rPr>
              <w:t xml:space="preserve"> </w:t>
            </w:r>
            <w:r>
              <w:rPr>
                <w:rFonts w:ascii="Times New Roman;sans-serif" w:hAnsi="Times New Roman;sans-serif"/>
                <w:b w:val="false"/>
                <w:color w:val="000000"/>
                <w:sz w:val="18"/>
              </w:rPr>
              <w:t>for details of non-cash items</w:t>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20"/>
        <w:jc w:val="center"/>
        <w:rPr>
          <w:rFonts w:ascii="Times New Roman;sans-serif" w:hAnsi="Times New Roman;sans-serif"/>
          <w:b/>
          <w:color w:val="000000"/>
          <w:sz w:val="20"/>
        </w:rPr>
      </w:pPr>
      <w:r>
        <w:rPr>
          <w:rFonts w:ascii="Times New Roman;sans-serif" w:hAnsi="Times New Roman;sans-serif"/>
          <w:b/>
          <w:color w:val="000000"/>
          <w:sz w:val="20"/>
        </w:rPr>
        <w:t>SENTI BIOSCIENCES,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76"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180"/>
        <w:jc w:val="center"/>
        <w:rPr/>
      </w:pPr>
      <w:r>
        <w:rPr/>
      </w:r>
    </w:p>
    <w:p>
      <w:pPr>
        <w:pStyle w:val="TextBody"/>
        <w:bidi w:val="0"/>
        <w:spacing w:before="18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 Organization and Description of Business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Senti Biosciences, Inc. and its subsidiaries (the “Company” or “Senti”), is a biotechnology company that was founded to create a new generation of smarter medicines that outmaneuver complex diseases using novel and unprecedented approaches. Senti has built a synthetic biology platform that enables it to program next-generation cell and gene therapies with what the Company refers to as “gene circuits.” These gene circuits, which are created from novel and proprietary combinations of DNA sequences, reprogram cells with biological logic to sense inputs, compute decisions and respond to their cellular environments. The Company is headquartered in South San Francisco, California.</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June 8, 2022 (the “Closing Date”), Dynamics Special Purpose Acquisition Corp. (“Dynamics” or “DYNS”) consummated a merger pursuant to which Explore Merger Sub, Inc. (“Merger Sub”), a Delaware corporation and wholly owned subsidiary of Dynamics, merged with and into Senti Sub I, Inc., formerly named Senti Biosciences, Inc. (“Legacy Senti”), with Legacy Senti surviving as a wholly-owned subsidiary of Dynamics (such transactions, the “Merger,” and, collectively with the other transactions described in the merger agreement (as defined below, the “Reverse Recapitalization”)). As a result of the Merger, Dynamics was renamed Senti Biosciences, Inc.</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7, 2023, the Company completed a transaction with GeneFab, LLC (“GeneFab”), a new independent contract manufacturing and synthetic biology biofoundry focused on next-generation cell and gene therapies. As part of that transaction, the Company disposed of its non-oncology business and in-house manufacturing services and subleased its manufacturing facility to GeneFab.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Liquidity and Going Concern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have been prepared in accordance with U.S. generally accepted accounting principles (GAAP) assuming the Company will continue as a going concern. The going concern assumption contemplates the realization of assets and satisfaction of liabilities in the normal course of business. The consolidated financial statements do not include any adjustments to the carrying amounts and classification of assets, liabilities, and reported expenses that may be necessary if the Company were unable to continue as a going concern.</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The Company has devoted substantially all of its efforts to organizing and staffing, business planning, raising capital, and conducting preclinical studies and has not realized substantial revenues from its planned principal operations.</w:t>
      </w:r>
      <w:r>
        <w:rPr>
          <w:color w:val="000000"/>
          <w:shd w:fill="FFFFFF" w:val="clear"/>
        </w:rPr>
        <w:t xml:space="preserve"> </w:t>
      </w:r>
      <w:r>
        <w:rPr>
          <w:rFonts w:ascii="Times New Roman;sans-serif" w:hAnsi="Times New Roman;sans-serif"/>
          <w:b w:val="false"/>
          <w:color w:val="000000"/>
          <w:sz w:val="20"/>
          <w:shd w:fill="FFFFFF" w:val="clear"/>
        </w:rPr>
        <w:t xml:space="preserve">To date, the Company has raised aggregate gross proceeds of </w:t>
      </w:r>
      <w:r>
        <w:rPr>
          <w:rFonts w:ascii="Times New Roman;sans-serif" w:hAnsi="Times New Roman;sans-serif"/>
          <w:b w:val="false"/>
          <w:color w:val="000000"/>
          <w:sz w:val="20"/>
        </w:rPr>
        <w:t>$299.5 million</w:t>
      </w:r>
      <w:r>
        <w:rPr>
          <w:color w:val="000000"/>
          <w:shd w:fill="FFFFFF" w:val="clear"/>
        </w:rPr>
        <w:t xml:space="preserve"> </w:t>
      </w:r>
      <w:r>
        <w:rPr>
          <w:rFonts w:ascii="Times New Roman;sans-serif" w:hAnsi="Times New Roman;sans-serif"/>
          <w:b w:val="false"/>
          <w:color w:val="000000"/>
          <w:sz w:val="20"/>
          <w:shd w:fill="FFFFFF" w:val="clear"/>
        </w:rPr>
        <w:t>from the Merger and PIPE Financing, the issuance of shares of its common stock, the issuance of shares of our redeemable convertible preferred stock, the issuance of convertible notes and, to a lesser extent, through collaboration agreements and government grants.</w:t>
      </w:r>
    </w:p>
    <w:p>
      <w:pPr>
        <w:pStyle w:val="TextBody"/>
        <w:bidi w:val="0"/>
        <w:spacing w:lineRule="auto" w:line="276" w:before="0" w:after="180"/>
        <w:ind w:left="0" w:right="0" w:firstLine="360"/>
        <w:jc w:val="left"/>
        <w:rPr/>
      </w:pPr>
      <w:r>
        <w:rPr>
          <w:rFonts w:ascii="Times New Roman;sans-serif" w:hAnsi="Times New Roman;sans-serif"/>
          <w:b w:val="false"/>
          <w:color w:val="000000"/>
          <w:sz w:val="20"/>
          <w:shd w:fill="FFFFFF" w:val="clear"/>
        </w:rPr>
        <w:t xml:space="preserve">At September 30, 2023 and December 31, 2022, the Company had an accumulated deficit of </w:t>
      </w:r>
      <w:r>
        <w:rPr>
          <w:rFonts w:ascii="Times New Roman;sans-serif" w:hAnsi="Times New Roman;sans-serif"/>
          <w:b w:val="false"/>
          <w:color w:val="000000"/>
          <w:sz w:val="20"/>
        </w:rPr>
        <w:t>$225.6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$173.3 million</w:t>
      </w:r>
      <w:r>
        <w:rPr>
          <w:rFonts w:ascii="Times New Roman;sans-serif" w:hAnsi="Times New Roman;sans-serif"/>
          <w:b w:val="false"/>
          <w:color w:val="000000"/>
          <w:sz w:val="20"/>
          <w:shd w:fill="FFFFFF" w:val="clear"/>
        </w:rPr>
        <w:t xml:space="preserve">, respectively. The Company’s net losses were </w:t>
      </w:r>
      <w:r>
        <w:rPr>
          <w:rFonts w:ascii="Times New Roman;sans-serif" w:hAnsi="Times New Roman;sans-serif"/>
          <w:b w:val="false"/>
          <w:color w:val="000000"/>
          <w:sz w:val="20"/>
        </w:rPr>
        <w:t>$52.3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$40.0 million</w:t>
      </w:r>
      <w:r>
        <w:rPr>
          <w:color w:val="000000"/>
          <w:shd w:fill="FFFFFF" w:val="clear"/>
        </w:rPr>
        <w:t xml:space="preserve"> </w:t>
      </w:r>
      <w:r>
        <w:rPr>
          <w:rFonts w:ascii="Times New Roman;sans-serif" w:hAnsi="Times New Roman;sans-serif"/>
          <w:b w:val="false"/>
          <w:color w:val="000000"/>
          <w:sz w:val="20"/>
          <w:shd w:fill="FFFFFF" w:val="clear"/>
        </w:rPr>
        <w:t>for the nine months ended September 30, 2023 and 2022, respectively. Substantially all of the Company’s net losses resulted from costs incurred in connection with the Company’s research and development programs and from general and administrative costs associated with the Company’s operations including impairment of property and equipment. The Company expects to incur substantial operating losses and negative cash flows from operations for the foreseeable future as the Company advances its</w:t>
      </w:r>
      <w:r>
        <w:rPr>
          <w:color w:val="000000"/>
        </w:rPr>
        <w:t xml:space="preserve"> </w:t>
      </w:r>
      <w:r>
        <w:rPr>
          <w:rFonts w:ascii="Times New Roman;sans-serif" w:hAnsi="Times New Roman;sans-serif"/>
          <w:b w:val="false"/>
          <w:color w:val="000000"/>
          <w:sz w:val="20"/>
        </w:rPr>
        <w:t>preclinical activities and clinical trials for its product candidates in development</w:t>
      </w:r>
      <w:r>
        <w:rPr>
          <w:rFonts w:ascii="Times New Roman;sans-serif" w:hAnsi="Times New Roman;sans-serif"/>
          <w:b w:val="false"/>
          <w:color w:val="000000"/>
          <w:sz w:val="20"/>
          <w:shd w:fill="FFFFFF" w:val="clear"/>
        </w:rPr>
        <w:t>.</w:t>
      </w:r>
    </w:p>
    <w:p>
      <w:pPr>
        <w:pStyle w:val="TextBody"/>
        <w:bidi w:val="0"/>
        <w:spacing w:lineRule="auto" w:line="276" w:before="0" w:after="180"/>
        <w:ind w:left="0" w:right="0" w:firstLine="360"/>
        <w:jc w:val="left"/>
        <w:rPr/>
      </w:pPr>
      <w:r>
        <w:rPr>
          <w:rFonts w:ascii="Times New Roman;sans-serif" w:hAnsi="Times New Roman;sans-serif"/>
          <w:b w:val="false"/>
          <w:color w:val="000000"/>
          <w:sz w:val="20"/>
          <w:shd w:fill="FFFFFF" w:val="clear"/>
        </w:rPr>
        <w:t xml:space="preserve">As of September 30, 2023 and December 31, 2022, the Company had cash, cash equivalents and short-term investments of </w:t>
      </w:r>
      <w:r>
        <w:rPr>
          <w:rFonts w:ascii="Times New Roman;sans-serif" w:hAnsi="Times New Roman;sans-serif"/>
          <w:b w:val="false"/>
          <w:color w:val="000000"/>
          <w:sz w:val="20"/>
        </w:rPr>
        <w:t xml:space="preserve">$39.4 million and $98.6 million, respectively. As of November 13, 2023, the issuance date of the condensed consolidated financial statements as of and for the three and nine months ended </w:t>
      </w:r>
      <w:r>
        <w:rPr>
          <w:rFonts w:ascii="Times New Roman;sans-serif" w:hAnsi="Times New Roman;sans-serif"/>
          <w:b w:val="false"/>
          <w:color w:val="000000"/>
          <w:sz w:val="20"/>
          <w:shd w:fill="FFFFFF" w:val="clear"/>
        </w:rPr>
        <w:t>September 30, 2023, there is uncertainty about whether the Company’s combined cash, cash equivalents, and short-term investments will be sufficient to fund operations, including clinical trial expenses and capital expenditure requirements, beyond twelve months from the issuance date of these financial statements and therefore the Company concluded that substantial doubt existed about the Company’s ability to continue as a going concern.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transaction with GeneFab provided the Company with additional capital in the form of a note receivable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20"/>
        <w:jc w:val="center"/>
        <w:rPr>
          <w:rFonts w:ascii="Times New Roman;sans-serif" w:hAnsi="Times New Roman;sans-serif"/>
          <w:b/>
          <w:color w:val="000000"/>
          <w:sz w:val="20"/>
        </w:rPr>
      </w:pPr>
      <w:r>
        <w:rPr>
          <w:rFonts w:ascii="Times New Roman;sans-serif" w:hAnsi="Times New Roman;sans-serif"/>
          <w:b/>
          <w:color w:val="000000"/>
          <w:sz w:val="20"/>
        </w:rPr>
        <w:t>SENTI BIOSCIENCES,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76"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180"/>
        <w:jc w:val="center"/>
        <w:rPr/>
      </w:pPr>
      <w:r>
        <w:rPr/>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 xml:space="preserve">and rights to future manufacturing and research activities and reduced longer-term operating expenses. Refer to Note 3. </w:t>
      </w:r>
      <w:r>
        <w:rPr>
          <w:rFonts w:ascii="Times New Roman;sans-serif" w:hAnsi="Times New Roman;sans-serif"/>
          <w:b w:val="false"/>
          <w:i/>
          <w:color w:val="000000"/>
          <w:sz w:val="20"/>
        </w:rPr>
        <w:t>GeneFab Transaction</w:t>
      </w:r>
      <w:r>
        <w:rPr>
          <w:rFonts w:ascii="Times New Roman;sans-serif" w:hAnsi="Times New Roman;sans-serif"/>
          <w:b w:val="false"/>
          <w:color w:val="000000"/>
          <w:sz w:val="20"/>
        </w:rPr>
        <w:t>, for further details of the GeneFab transaction.</w:t>
      </w:r>
    </w:p>
    <w:p>
      <w:pPr>
        <w:pStyle w:val="TextBody"/>
        <w:bidi w:val="0"/>
        <w:spacing w:lineRule="auto" w:line="276" w:before="0" w:after="180"/>
        <w:ind w:left="0" w:right="0" w:firstLine="360"/>
        <w:jc w:val="left"/>
        <w:rPr/>
      </w:pPr>
      <w:r>
        <w:rPr>
          <w:rFonts w:ascii="Times New Roman;sans-serif" w:hAnsi="Times New Roman;sans-serif"/>
          <w:b w:val="false"/>
          <w:color w:val="000000"/>
          <w:sz w:val="20"/>
          <w:shd w:fill="FFFFFF" w:val="clear"/>
        </w:rPr>
        <w:t>The Company’s continued existence is dependent upon management’s ability to raise capital and develop profitable op</w:t>
      </w:r>
      <w:r>
        <w:rPr>
          <w:rFonts w:ascii="Times New Roman;sans-serif" w:hAnsi="Times New Roman;sans-serif"/>
          <w:b w:val="false"/>
          <w:color w:val="000000"/>
          <w:sz w:val="20"/>
        </w:rPr>
        <w:t>erations. Management is devoting substantially all of its efforts to developing its business and raising capital, which included the framework agreement with GeneFab, and there can be no assurance that the Company’s efforts will be successful. No assurance can be given that management’s actions will result in profitable operations or the meeting of ongoing liquidity needs.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NASDAQ Bid Price Compliance Notice</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August 7, 2023, the Company received written notice from the Listing Qualifications Department of The Nasdaq Stock Market LLC notifying the Company that, for the last 30 consecutive trading days, the closing bid price of the Company’s common stock had closed below the minimum bid price requirement of $1.00 per share for continued listing on The Nasdaq Global Market. The Company has been provided an initial compliance period of 180 calendar days, or until February 5, 2024, to regain compliance with the minimum bid price requirement.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have been prepared in conformity with generally accepted accounting principles in the United States of America (“U.S. GAAP”) and the rules and regulations of the Securities and Exchange Commission (“SEC”). Any reference in these notes to applicable guidance is meant to refer to the authoritative U.S. GAAP as found in the Accounting Standards Codification (“ASC”) and as amended by Accounting Standards Updates (“ASU”) of the Financial Accounting Standards Board (“FASB”). The condensed consolidated financial statements include the accounts of Senti Biosciences, Inc., and its wholly-owned subsidiaries. All intercompany balances and transactions have been eliminated in consolidation. We have one business activity and operate in one reportable segment.</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Unless otherwise noted, the Company has retroactively adjusted all common and preferred share and related price information to give effect to the exchange ratio established in the Merger Agreement.</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 xml:space="preserve">The Company determined that the assets sold to GeneFab met the criteria for presentation as a discontinued operation. As a result, the Company has retrospectively restated its condensed consolidated balance sheet at December 31, 2022 and condensed consolidated statements of operations for the three and nine months ended September 30, 2022 to reflect the assets and liabilities and operating results, respectively, related to the disposed business in discontinued operations. The Company has chosen not to segregate the cash flows of the disposed business in the condensed consolidated statements of cash flows. Supplemental disclosures related to discontinued operations for the statements of cash flows have been provided in Note 3. </w:t>
      </w:r>
      <w:r>
        <w:rPr>
          <w:rFonts w:ascii="Times New Roman;sans-serif" w:hAnsi="Times New Roman;sans-serif"/>
          <w:b w:val="false"/>
          <w:i/>
          <w:color w:val="000000"/>
          <w:sz w:val="20"/>
        </w:rPr>
        <w:t>GeneFab Transaction</w:t>
      </w:r>
      <w:r>
        <w:rPr>
          <w:rFonts w:ascii="Times New Roman;sans-serif" w:hAnsi="Times New Roman;sans-serif"/>
          <w:b w:val="false"/>
          <w:color w:val="000000"/>
          <w:sz w:val="20"/>
        </w:rPr>
        <w:t xml:space="preserve">. Unless otherwise specified, the disclosures in these condensed consolidated financial statements refer to continuing operations only. </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Significant estimates and assumptions reflected in these consolidated financial statements include, but are not limited to, the valuation of stock-based awards, the accrual for research and development expenses, the valuation of contingent earnout, the valuation of GeneFab Option, the valuation of GeneFab Economic Share, the valuation of the GeneFab Note Receivable, the valuation of convertible notes, the valuation of common and redeemable convertible preferred stock, standalone selling price (“SSP”), the discount rate used to discount future cash flows for the impairment of long-lived assets, and the determination of the incremental borrowing rate. The Company evaluates its estimates and assumptions on an ongoing basis using historical experience and other factors and adjusts those estimates and assumptions when facts and circumstances dictate. Actual results could differ from those estimates.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Unaudited Interim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20"/>
        <w:jc w:val="center"/>
        <w:rPr>
          <w:rFonts w:ascii="Times New Roman;sans-serif" w:hAnsi="Times New Roman;sans-serif"/>
          <w:b/>
          <w:color w:val="000000"/>
          <w:sz w:val="20"/>
        </w:rPr>
      </w:pPr>
      <w:r>
        <w:rPr>
          <w:rFonts w:ascii="Times New Roman;sans-serif" w:hAnsi="Times New Roman;sans-serif"/>
          <w:b/>
          <w:color w:val="000000"/>
          <w:sz w:val="20"/>
        </w:rPr>
        <w:t>SENTI BIOSCIENCES,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76"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180"/>
        <w:jc w:val="center"/>
        <w:rPr/>
      </w:pPr>
      <w:r>
        <w:rPr/>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interim condensed consolidated financial statements and the related footnote disclosures are unaudited. These unaudited interim financial statements have been prepared on the same basis as the audited financial statements, and in management’s opinion, include all adjustments, consisting of only normal recurring adjustments, necessary for the fair statement of the Company’s financial position as of September 30, 2023 and its results of operations for the three and nine months ended September 30, 2023 and 2022, and cash flows for the nine months ended September 30, 2023 and 2022. The results of operations for the three and nine months ended September 30, 2023 are not necessarily indicative of the results to be expected for the year ending December 31, 2023 or any other period. The December 31, 2022 year-end condensed consolidated balance sheet was derived from audited annual financial statements but does not include all disclosures from the annual financial statements.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Certain information and footnote disclosures normally included in consolidated financial statements prepared in accordance with U.S. GAAP have been condensed or omitted pursuant to such rules and regulations. Accordingly, these condensed consolidated financial statements should be read in conjunction with the audited consolidated financial statements for the year ended December 31, 2022 and the related notes included in the Company’s Form 10-K, filed with the SEC on March 22, 2023, which provides a more complete discussion of the Company’s accounting policies and certain other information. Other than the policies included below, there have been no material changes to the Company’s significant accounting policies as of and for the three and nine months ended September 30, 2023, as compared to the significant accounting policies described in the Company’s audited annual consolidated financial statements as of and for the year ended December 31, 2022.</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Fair Value Option</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 xml:space="preserve">The Company elected to account for the deferred consideration (GeneFab Note Receivable) and contingent consideration receivable (GeneFab Economic Share) from the GeneFab transaction under the fair value option in ASC 825, </w:t>
      </w:r>
      <w:r>
        <w:rPr>
          <w:rFonts w:ascii="Times New Roman;sans-serif" w:hAnsi="Times New Roman;sans-serif"/>
          <w:b w:val="false"/>
          <w:i/>
          <w:color w:val="000000"/>
          <w:sz w:val="20"/>
        </w:rPr>
        <w:t>Financial Instruments</w:t>
      </w:r>
      <w:r>
        <w:rPr>
          <w:rFonts w:ascii="Times New Roman;sans-serif" w:hAnsi="Times New Roman;sans-serif"/>
          <w:b w:val="false"/>
          <w:color w:val="000000"/>
          <w:sz w:val="20"/>
        </w:rPr>
        <w:t xml:space="preserve">. Accordingly, these instruments were recognized at their fair value at the closing of the transaction and are subsequently remeasured each reporting period with changes in fair value recorded in other income (expense) in the condensed consolidated statements of operations and comprehensive loss until settlement. The fair value of the GeneFab Note Receivable was determined by discounting future payments under multiple probability-weighted scenarios using the Company’s cost of borrowing. The fair value of the GeneFab Option was determined using an option pricing method. Refer to Note 3. </w:t>
      </w:r>
      <w:r>
        <w:rPr>
          <w:rFonts w:ascii="Times New Roman;sans-serif" w:hAnsi="Times New Roman;sans-serif"/>
          <w:b w:val="false"/>
          <w:i/>
          <w:color w:val="000000"/>
          <w:sz w:val="20"/>
        </w:rPr>
        <w:t>GeneFab Transaction</w:t>
      </w:r>
      <w:r>
        <w:rPr>
          <w:rFonts w:ascii="Times New Roman;sans-serif" w:hAnsi="Times New Roman;sans-serif"/>
          <w:b w:val="false"/>
          <w:color w:val="000000"/>
          <w:sz w:val="20"/>
        </w:rPr>
        <w:t xml:space="preserve">, for further details of the GeneFab transaction. </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GeneFab Option</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 xml:space="preserve">The option granted to GeneFab as part of the GeneFab transaction meets the definition of a derivative under ASC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and does not meet the criteria for equity classification. The derivative liability is recorded at its fair value on issuance and subsequently remeasured each reporting period with changes in fair value recorded in other income (expense) in the condensed consolidated statements of operations and comprehensive loss until settlement. The fair value of the derivative liability was determined using a Black-Scholes option pricing model.</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Recent Accounting Standards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the impact of recently issued accounting standards that are not yet effective will not have a material impact on its financial position or results of operations upon adoption.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3. GeneFab Transaction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August 7, 2023, the Company entered into a framework agreement with GeneFab and Valere Bio, Inc., a Delaware corporation and the parent company of GeneFab, which is wholly owned by Celadon Partners, LLC, pursuant to which the Company, subject to the terms and conditions therein, sold, assigned and transferred its rights, title and interest in certain of the assets and contractual rights, including all of the Company’s equipment at the Company’s facilities in Alameda and certain of the Company’s non-oncology license, intellectual property related to the schematics for and design of the Alameda facility, and subleased to GeneFab its premises under the lease for the Alameda facility. The transaction will provide the Company with additional capital in the form of a note receivable and rights to future manufacturing and research activities and reduced longer term operating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20"/>
        <w:jc w:val="center"/>
        <w:rPr>
          <w:rFonts w:ascii="Times New Roman;sans-serif" w:hAnsi="Times New Roman;sans-serif"/>
          <w:b/>
          <w:color w:val="000000"/>
          <w:sz w:val="20"/>
        </w:rPr>
      </w:pPr>
      <w:r>
        <w:rPr>
          <w:rFonts w:ascii="Times New Roman;sans-serif" w:hAnsi="Times New Roman;sans-serif"/>
          <w:b/>
          <w:color w:val="000000"/>
          <w:sz w:val="20"/>
        </w:rPr>
        <w:t>SENTI BIOSCIENCES,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76"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180"/>
        <w:jc w:val="center"/>
        <w:rPr/>
      </w:pPr>
      <w:r>
        <w:rPr/>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Concurrently with the transaction, the Company and GeneFab entered into a development and manufacturing services agreement (the “services agreement”), pursuant to which GeneFab will provide certain services to the Company using the subleased Alameda facility and acquired equipment. As part of this transaction, the Company entered into a transition services agreement with GeneFab whereby certain services are to be provided by each party to the other party during a transition period beginning on the closing of the transaction.</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 xml:space="preserve">Under the terms of the transaction, the Company is entitled to receive total consideration of $37.8 million before the end of 2025, of which $18.9 million was payable at closing and was netted against prepayment due to GeneFab for future manufacturing and research activities. The remaining $18.9 million will be paid to the Company in installments in 2024 and 2025 (the “Note Receivable”), subject to satisfaction of certain conditions. The Company elected to account for the Note Receivable under the fair value option and recorded the Note Receivable at its fair value of $16.6 million at the closing date of the transaction. The Note Receivable will be remeasured each reporting period with changes from remeasurement included in other income (expense) in the condensed consolidated statements of operations and comprehensive loss. Refer to Note 4.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entitled to $18.9 million in future manufacturing and research activities to be rendered under the services agreement, which are recorded in GeneFab prepaid expenses on the condensed consolidated balance sheet. The Company determined that the $18.9 million for future manufacturing and research activities, inclusive of the volume discount provided, was executed at market terms and does not result in any impact to the total consideration received from GeneFab for the disposal of the business.</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 xml:space="preserve">As part of the transaction, the Company subleased the facility in Alameda, California to GeneFab which will support the clinical manufacturing of the Company’s chimeric antigen receptor natural killer (CAR-NK) programs, including SENTI-202. Refer to Note 6. </w:t>
      </w:r>
      <w:r>
        <w:rPr>
          <w:rFonts w:ascii="Times New Roman;sans-serif" w:hAnsi="Times New Roman;sans-serif"/>
          <w:b w:val="false"/>
          <w:i/>
          <w:color w:val="000000"/>
          <w:sz w:val="20"/>
        </w:rPr>
        <w:t>Operating Leases</w:t>
      </w:r>
      <w:r>
        <w:rPr>
          <w:color w:val="000000"/>
        </w:rPr>
        <w:t xml:space="preserve"> </w:t>
      </w:r>
      <w:r>
        <w:rPr>
          <w:rFonts w:ascii="Times New Roman;sans-serif" w:hAnsi="Times New Roman;sans-serif"/>
          <w:b w:val="false"/>
          <w:color w:val="000000"/>
          <w:sz w:val="20"/>
        </w:rPr>
        <w:t>for additional information on the sublease.</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agreed to grant a license to GeneFab under certain of its intellectual property rights to conduct manufacturing services and to research, develop, manufacture and commercialize products outside of oncology, pursuant to a license agreement under negotiation (the “non-oncology license”).</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transaction, Philip Lee, Ph.D., former Co-Founder and Chief Technology Officer of the Company, assumed the role of Chief Executive Officer of GeneFab. Additionally, GeneFab extended offers of employment to 45 of the Company's employees formerly employed in its research and development and manufacturing functions. All 45 employees accepted the offers of employment and are actively engaged in providing manufacturing and research activities to the Company. </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 xml:space="preserve">GeneFab was granted an option to purchase up to 19,633,444 shares (i.e. up to $20.0 million worth) of the Company’s common stock at a purchase price of $1.01867 (the “GeneFab Option”). The GeneFab Option is exercisable for a period of 36 months following the execution of the license agreement. The GeneFab Option may be exercised in installments of common stock equal to no more than 19.9% of the Company’s outstanding shares of common stock as of the closing date of the transaction. The purchase of the remaining shares under the GeneFab Option require stockholder approval. The Company determined that the GeneFab Option was a derivative as the terms of the instrument contain certain provisions that preclude equity classification in accordance with ASC 815-40, </w:t>
      </w:r>
      <w:r>
        <w:rPr>
          <w:rFonts w:ascii="Times New Roman;sans-serif" w:hAnsi="Times New Roman;sans-serif"/>
          <w:b w:val="false"/>
          <w:i/>
          <w:color w:val="000000"/>
          <w:sz w:val="20"/>
        </w:rPr>
        <w:t>Derivatives and Hedging—Contracts in Entity’s Own Equity</w:t>
      </w:r>
      <w:r>
        <w:rPr>
          <w:rFonts w:ascii="Times New Roman;sans-serif" w:hAnsi="Times New Roman;sans-serif"/>
          <w:b w:val="false"/>
          <w:color w:val="000000"/>
          <w:sz w:val="20"/>
        </w:rPr>
        <w:t xml:space="preserve">. As such, the GeneFab Option was recorded as a liability at its fair value of $9.6 million at the closing date of the transaction and subsequently remeasured with changes in fair value recorded in other income (expense) in the condensed consolidated statements of operations and comprehensive loss. Refer to Note 4.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 xml:space="preserve">As additional consideration for the transaction, the Company and GeneFab entered into a seller economic share agreement (the “GeneFab Economic Share”), pursuant to which the Company will be entitled to receive ten percent of the realized gains of GeneFab’s parent company arising and resulting from any cash or in-kind distributions from GeneFab in connection with a dividend or sale event, subject to the terms and conditions of the GeneFab Economic Share. The Company elected to account for the GeneFab Economic Share under the fair value option and recorded the GeneFab Economic Share at its fair value of $1.8 million at the date of the transaction. The GeneFab Economic Share will be remeasured each reporting period with changes from remeasurement included in other income (expense) in the condensed consolidated statements of operations and comprehensive loss. Refer to Note 4.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w:t>
      </w:r>
    </w:p>
    <w:p>
      <w:pPr>
        <w:pStyle w:val="TextBody"/>
        <w:bidi w:val="0"/>
        <w:spacing w:lineRule="auto" w:line="276"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Gain on the Disposal of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20"/>
        <w:jc w:val="center"/>
        <w:rPr>
          <w:rFonts w:ascii="Times New Roman;sans-serif" w:hAnsi="Times New Roman;sans-serif"/>
          <w:b/>
          <w:color w:val="000000"/>
          <w:sz w:val="20"/>
        </w:rPr>
      </w:pPr>
      <w:r>
        <w:rPr>
          <w:rFonts w:ascii="Times New Roman;sans-serif" w:hAnsi="Times New Roman;sans-serif"/>
          <w:b/>
          <w:color w:val="000000"/>
          <w:sz w:val="20"/>
        </w:rPr>
        <w:t>SENTI BIOSCIENCES,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76"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180"/>
        <w:jc w:val="center"/>
        <w:rPr/>
      </w:pPr>
      <w:r>
        <w:rPr/>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As the assets and contractual rights transferred to GeneFab were determined to constitute a business as defined in ASC 805,</w:t>
      </w:r>
      <w:r>
        <w:rPr>
          <w:color w:val="000000"/>
        </w:rPr>
        <w:t xml:space="preserve">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xml:space="preserve">, the Company accounted for the disposal by applying the derecognition guidance in ASC 810, </w:t>
      </w:r>
      <w:r>
        <w:rPr>
          <w:rFonts w:ascii="Times New Roman;sans-serif" w:hAnsi="Times New Roman;sans-serif"/>
          <w:b w:val="false"/>
          <w:i/>
          <w:color w:val="000000"/>
          <w:sz w:val="20"/>
        </w:rPr>
        <w:t>Consolidation</w:t>
      </w:r>
      <w:r>
        <w:rPr>
          <w:rFonts w:ascii="Times New Roman;sans-serif" w:hAnsi="Times New Roman;sans-serif"/>
          <w:b w:val="false"/>
          <w:color w:val="000000"/>
          <w:sz w:val="20"/>
        </w:rPr>
        <w:t>, which requires that a gain or loss be recognized for the difference between the carrying value of the assets sold and the fair value of the consideration received (or receivable).</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total fair value of the consideration was determined to be $37.3 million, including the GeneFab prepaid expenses of $18.9 million, the estimated fair value of the Note Receivable of $16.6 million and the estimated fair value of the GeneFab Economic Share of $1.8 million. Out of the total consideration, $9.6 million was allocated to the GeneFab Option, representing its estimated fair value as of the closing date.</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sale, the Company recognized a gain on disposal in the amount of $21.9 million in net income from discontinued operations during the three and nine months ended September 30, 2023, representing the excess of the fair value of the consideration (net of the portion allocated to the GeneFab Option) over the carrying value of the assets sold of $5.5 million. The gain on disposal was primarily related to the transfer of the non-oncology intellectual property to GeneFab which had no carrying value. </w:t>
      </w:r>
    </w:p>
    <w:p>
      <w:pPr>
        <w:pStyle w:val="TextBody"/>
        <w:bidi w:val="0"/>
        <w:spacing w:lineRule="auto" w:line="276"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Discontinued Operations</w:t>
      </w:r>
    </w:p>
    <w:p>
      <w:pPr>
        <w:pStyle w:val="TextBody"/>
        <w:bidi w:val="0"/>
        <w:spacing w:lineRule="auto" w:line="288" w:before="0" w:after="180"/>
        <w:jc w:val="left"/>
        <w:rPr/>
      </w:pPr>
      <w:r>
        <w:rPr>
          <w:rFonts w:ascii="Times New Roman;sans-serif" w:hAnsi="Times New Roman;sans-serif"/>
          <w:b w:val="false"/>
          <w:color w:val="000000"/>
          <w:sz w:val="20"/>
        </w:rPr>
        <w:t xml:space="preserve">In accordance with ASC 205, </w:t>
      </w:r>
      <w:r>
        <w:rPr>
          <w:rFonts w:ascii="Times New Roman;sans-serif" w:hAnsi="Times New Roman;sans-serif"/>
          <w:b w:val="false"/>
          <w:i/>
          <w:color w:val="000000"/>
          <w:sz w:val="20"/>
        </w:rPr>
        <w:t>Presentation of Financial Statements</w:t>
      </w:r>
      <w:r>
        <w:rPr>
          <w:color w:val="000000"/>
        </w:rPr>
        <w:t xml:space="preserve"> </w:t>
      </w:r>
      <w:r>
        <w:rPr>
          <w:rFonts w:ascii="Times New Roman;sans-serif" w:hAnsi="Times New Roman;sans-serif"/>
          <w:b w:val="false"/>
          <w:color w:val="000000"/>
          <w:sz w:val="20"/>
        </w:rPr>
        <w:t xml:space="preserve">(“ASC 205”), the Company determined that the sale of the non-oncology business, including the equipment and transfer of in-house manufacturing activities in the Alameda facility, to GeneFab represented a strategic shift that will have a major effect on the Company’s operations and financial results, thus meeting the criteria to be reported as discontinued operations. Discontinued operations include the cost and depreciation of equipment and related deposits or liabilities, manufacturing personnel-related costs including costs arising as a result of the disposal such as equity award modifications and severance,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20"/>
        <w:jc w:val="center"/>
        <w:rPr>
          <w:rFonts w:ascii="Times New Roman;sans-serif" w:hAnsi="Times New Roman;sans-serif"/>
          <w:b/>
          <w:color w:val="000000"/>
          <w:sz w:val="20"/>
        </w:rPr>
      </w:pPr>
      <w:r>
        <w:rPr>
          <w:rFonts w:ascii="Times New Roman;sans-serif" w:hAnsi="Times New Roman;sans-serif"/>
          <w:b/>
          <w:color w:val="000000"/>
          <w:sz w:val="20"/>
        </w:rPr>
        <w:t>SENTI BIOSCIENCES,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76"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180"/>
        <w:jc w:val="center"/>
        <w:rPr/>
      </w:pPr>
      <w:r>
        <w:rPr/>
      </w:r>
    </w:p>
    <w:p>
      <w:pPr>
        <w:pStyle w:val="TextBody"/>
        <w:bidi w:val="0"/>
        <w:spacing w:lineRule="auto" w:line="288" w:before="0" w:after="180"/>
        <w:jc w:val="left"/>
        <w:rPr/>
      </w:pPr>
      <w:r>
        <w:rPr>
          <w:rFonts w:ascii="Times New Roman;sans-serif" w:hAnsi="Times New Roman;sans-serif"/>
          <w:b w:val="false"/>
          <w:color w:val="000000"/>
          <w:sz w:val="20"/>
        </w:rPr>
        <w:t>gain from the disposal of the business. Refer to Note 9,</w:t>
      </w:r>
      <w:r>
        <w:rPr>
          <w:color w:val="000000"/>
        </w:rPr>
        <w:t xml:space="preserve"> </w:t>
      </w:r>
      <w:r>
        <w:rPr>
          <w:rFonts w:ascii="Times New Roman;sans-serif" w:hAnsi="Times New Roman;sans-serif"/>
          <w:b w:val="false"/>
          <w:i/>
          <w:color w:val="000000"/>
          <w:sz w:val="20"/>
        </w:rPr>
        <w:t>Stock-Based Compensation,</w:t>
      </w:r>
      <w:r>
        <w:rPr>
          <w:color w:val="000000"/>
        </w:rPr>
        <w:t xml:space="preserve"> </w:t>
      </w:r>
      <w:r>
        <w:rPr>
          <w:rFonts w:ascii="Times New Roman;sans-serif" w:hAnsi="Times New Roman;sans-serif"/>
          <w:b w:val="false"/>
          <w:color w:val="000000"/>
          <w:sz w:val="20"/>
        </w:rPr>
        <w:t>for further details of the award modifications.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major classes of assets and liabilities of the discontinued operations (in thousands):</w:t>
      </w:r>
    </w:p>
    <w:tbl>
      <w:tblPr>
        <w:tblW w:w="6880" w:type="dxa"/>
        <w:jc w:val="left"/>
        <w:tblInd w:w="0" w:type="dxa"/>
        <w:tblLayout w:type="fixed"/>
        <w:tblCellMar>
          <w:top w:w="28" w:type="dxa"/>
          <w:left w:w="28" w:type="dxa"/>
          <w:bottom w:w="28" w:type="dxa"/>
          <w:right w:w="28" w:type="dxa"/>
        </w:tblCellMar>
      </w:tblPr>
      <w:tblGrid>
        <w:gridCol w:w="1548"/>
        <w:gridCol w:w="1358"/>
        <w:gridCol w:w="1368"/>
        <w:gridCol w:w="305"/>
        <w:gridCol w:w="675"/>
        <w:gridCol w:w="159"/>
        <w:gridCol w:w="109"/>
        <w:gridCol w:w="109"/>
        <w:gridCol w:w="109"/>
        <w:gridCol w:w="245"/>
        <w:gridCol w:w="716"/>
        <w:gridCol w:w="179"/>
      </w:tblGrid>
      <w:tr>
        <w:trPr/>
        <w:tc>
          <w:tcPr>
            <w:tcW w:w="154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 of discontinued operations</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assets of discontinued operations</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 of discontinued operations</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condensed operating results of the discontinued operations (in thousands):</w:t>
      </w:r>
    </w:p>
    <w:tbl>
      <w:tblPr>
        <w:tblW w:w="9417" w:type="dxa"/>
        <w:jc w:val="left"/>
        <w:tblInd w:w="0" w:type="dxa"/>
        <w:tblLayout w:type="fixed"/>
        <w:tblCellMar>
          <w:top w:w="28" w:type="dxa"/>
          <w:left w:w="28" w:type="dxa"/>
          <w:bottom w:w="28" w:type="dxa"/>
          <w:right w:w="28" w:type="dxa"/>
        </w:tblCellMar>
      </w:tblPr>
      <w:tblGrid>
        <w:gridCol w:w="1434"/>
        <w:gridCol w:w="1260"/>
        <w:gridCol w:w="1266"/>
        <w:gridCol w:w="109"/>
        <w:gridCol w:w="109"/>
        <w:gridCol w:w="109"/>
        <w:gridCol w:w="211"/>
        <w:gridCol w:w="721"/>
        <w:gridCol w:w="109"/>
        <w:gridCol w:w="109"/>
        <w:gridCol w:w="109"/>
        <w:gridCol w:w="109"/>
        <w:gridCol w:w="211"/>
        <w:gridCol w:w="691"/>
        <w:gridCol w:w="109"/>
        <w:gridCol w:w="109"/>
        <w:gridCol w:w="109"/>
        <w:gridCol w:w="109"/>
        <w:gridCol w:w="211"/>
        <w:gridCol w:w="721"/>
        <w:gridCol w:w="109"/>
        <w:gridCol w:w="109"/>
        <w:gridCol w:w="109"/>
        <w:gridCol w:w="109"/>
        <w:gridCol w:w="211"/>
        <w:gridCol w:w="691"/>
        <w:gridCol w:w="154"/>
      </w:tblGrid>
      <w:tr>
        <w:trPr/>
        <w:tc>
          <w:tcPr>
            <w:tcW w:w="1434"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r>
          </w:p>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Nine Months 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disposal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80"/>
        <w:ind w:left="0" w:right="0" w:firstLine="360"/>
        <w:jc w:val="left"/>
        <w:rPr/>
      </w:pPr>
      <w:r>
        <w:rPr>
          <w:rFonts w:ascii="Times New Roman;sans-serif" w:hAnsi="Times New Roman;sans-serif"/>
          <w:b w:val="false"/>
          <w:color w:val="000000"/>
          <w:sz w:val="20"/>
        </w:rPr>
        <w:t xml:space="preserve">General and administrative expenses were negative for the three and nine months ended September 30, 2023 due to the reversal of compensation expense for unvested awards that were cancelled due to the termination of employees subsequently hired by GeneFab. See Note 9. </w:t>
      </w:r>
      <w:r>
        <w:rPr>
          <w:rFonts w:ascii="Times New Roman;sans-serif" w:hAnsi="Times New Roman;sans-serif"/>
          <w:b w:val="false"/>
          <w:i/>
          <w:color w:val="000000"/>
          <w:sz w:val="20"/>
        </w:rPr>
        <w:t>Stock-Based Compensation.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condensed cash flow information of the discontinued operations (in thousands):</w:t>
      </w:r>
    </w:p>
    <w:tbl>
      <w:tblPr>
        <w:tblW w:w="8509" w:type="dxa"/>
        <w:jc w:val="left"/>
        <w:tblInd w:w="0" w:type="dxa"/>
        <w:tblLayout w:type="fixed"/>
        <w:tblCellMar>
          <w:top w:w="28" w:type="dxa"/>
          <w:left w:w="28" w:type="dxa"/>
          <w:bottom w:w="28" w:type="dxa"/>
          <w:right w:w="28" w:type="dxa"/>
        </w:tblCellMar>
      </w:tblPr>
      <w:tblGrid>
        <w:gridCol w:w="2385"/>
        <w:gridCol w:w="2097"/>
        <w:gridCol w:w="2102"/>
        <w:gridCol w:w="247"/>
        <w:gridCol w:w="548"/>
        <w:gridCol w:w="109"/>
        <w:gridCol w:w="109"/>
        <w:gridCol w:w="109"/>
        <w:gridCol w:w="109"/>
        <w:gridCol w:w="244"/>
        <w:gridCol w:w="296"/>
        <w:gridCol w:w="154"/>
      </w:tblGrid>
      <w:tr>
        <w:trPr/>
        <w:tc>
          <w:tcPr>
            <w:tcW w:w="2385"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Nine Months Ended</w:t>
            </w:r>
          </w:p>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16"/>
              </w:rPr>
              <w:t>September 30,</w:t>
            </w:r>
          </w:p>
        </w:tc>
      </w:tr>
      <w:tr>
        <w:trPr/>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activities (noncash adjustments to net income): </w:t>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disposal of business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noncash investing items:</w:t>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 in accounts payable and accrued expenses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20"/>
        <w:jc w:val="center"/>
        <w:rPr>
          <w:rFonts w:ascii="Times New Roman;sans-serif" w:hAnsi="Times New Roman;sans-serif"/>
          <w:b/>
          <w:color w:val="000000"/>
          <w:sz w:val="20"/>
        </w:rPr>
      </w:pPr>
      <w:r>
        <w:rPr>
          <w:rFonts w:ascii="Times New Roman;sans-serif" w:hAnsi="Times New Roman;sans-serif"/>
          <w:b/>
          <w:color w:val="000000"/>
          <w:sz w:val="20"/>
        </w:rPr>
        <w:t>SENTI BIOSCIENCES,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76"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180"/>
        <w:jc w:val="center"/>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4. Fair Value Measurements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estimated value of cash equivalents and restricted cash (in thousands):</w:t>
      </w:r>
    </w:p>
    <w:tbl>
      <w:tblPr>
        <w:tblW w:w="10205" w:type="dxa"/>
        <w:jc w:val="left"/>
        <w:tblInd w:w="0" w:type="dxa"/>
        <w:tblLayout w:type="fixed"/>
        <w:tblCellMar>
          <w:top w:w="28" w:type="dxa"/>
          <w:left w:w="28" w:type="dxa"/>
          <w:bottom w:w="28" w:type="dxa"/>
          <w:right w:w="28" w:type="dxa"/>
        </w:tblCellMar>
      </w:tblPr>
      <w:tblGrid>
        <w:gridCol w:w="425"/>
        <w:gridCol w:w="276"/>
        <w:gridCol w:w="241"/>
        <w:gridCol w:w="213"/>
        <w:gridCol w:w="728"/>
        <w:gridCol w:w="110"/>
        <w:gridCol w:w="109"/>
        <w:gridCol w:w="109"/>
        <w:gridCol w:w="109"/>
        <w:gridCol w:w="272"/>
        <w:gridCol w:w="525"/>
        <w:gridCol w:w="142"/>
        <w:gridCol w:w="109"/>
        <w:gridCol w:w="109"/>
        <w:gridCol w:w="109"/>
        <w:gridCol w:w="271"/>
        <w:gridCol w:w="522"/>
        <w:gridCol w:w="141"/>
        <w:gridCol w:w="109"/>
        <w:gridCol w:w="109"/>
        <w:gridCol w:w="109"/>
        <w:gridCol w:w="227"/>
        <w:gridCol w:w="778"/>
        <w:gridCol w:w="117"/>
        <w:gridCol w:w="109"/>
        <w:gridCol w:w="109"/>
        <w:gridCol w:w="109"/>
        <w:gridCol w:w="237"/>
        <w:gridCol w:w="810"/>
        <w:gridCol w:w="122"/>
        <w:gridCol w:w="109"/>
        <w:gridCol w:w="109"/>
        <w:gridCol w:w="109"/>
        <w:gridCol w:w="218"/>
        <w:gridCol w:w="639"/>
        <w:gridCol w:w="113"/>
        <w:gridCol w:w="109"/>
        <w:gridCol w:w="109"/>
        <w:gridCol w:w="109"/>
        <w:gridCol w:w="302"/>
        <w:gridCol w:w="581"/>
        <w:gridCol w:w="233"/>
      </w:tblGrid>
      <w:tr>
        <w:trPr/>
        <w:tc>
          <w:tcPr>
            <w:tcW w:w="42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3"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cash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 investments</w:t>
            </w:r>
          </w:p>
        </w:tc>
      </w:tr>
      <w:tr>
        <w:trPr/>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942"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942"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942"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942"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942"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45,828 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45,828 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39,430 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92"/>
        <w:gridCol w:w="231"/>
        <w:gridCol w:w="188"/>
        <w:gridCol w:w="211"/>
        <w:gridCol w:w="826"/>
        <w:gridCol w:w="109"/>
        <w:gridCol w:w="109"/>
        <w:gridCol w:w="109"/>
        <w:gridCol w:w="109"/>
        <w:gridCol w:w="257"/>
        <w:gridCol w:w="495"/>
        <w:gridCol w:w="134"/>
        <w:gridCol w:w="109"/>
        <w:gridCol w:w="109"/>
        <w:gridCol w:w="109"/>
        <w:gridCol w:w="257"/>
        <w:gridCol w:w="495"/>
        <w:gridCol w:w="134"/>
        <w:gridCol w:w="109"/>
        <w:gridCol w:w="109"/>
        <w:gridCol w:w="109"/>
        <w:gridCol w:w="211"/>
        <w:gridCol w:w="826"/>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59"/>
      </w:tblGrid>
      <w:tr>
        <w:trPr/>
        <w:tc>
          <w:tcPr>
            <w:tcW w:w="69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cash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 investments</w:t>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 securities have contractual maturities of longer than one year. There were no transfers between Levels 1, 2, or 3 for any of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20"/>
        <w:jc w:val="center"/>
        <w:rPr>
          <w:rFonts w:ascii="Times New Roman;sans-serif" w:hAnsi="Times New Roman;sans-serif"/>
          <w:b/>
          <w:color w:val="000000"/>
          <w:sz w:val="20"/>
        </w:rPr>
      </w:pPr>
      <w:r>
        <w:rPr>
          <w:rFonts w:ascii="Times New Roman;sans-serif" w:hAnsi="Times New Roman;sans-serif"/>
          <w:b/>
          <w:color w:val="000000"/>
          <w:sz w:val="20"/>
        </w:rPr>
        <w:t>SENTI BIOSCIENCES,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76"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180"/>
        <w:jc w:val="center"/>
        <w:rPr/>
      </w:pPr>
      <w:r>
        <w:rPr/>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Contingent Earnout Liability</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the changes in the fair value of the Contingent Earnout Liability (in thousands):</w:t>
      </w:r>
    </w:p>
    <w:tbl>
      <w:tblPr>
        <w:tblW w:w="7271" w:type="dxa"/>
        <w:jc w:val="left"/>
        <w:tblInd w:w="0" w:type="dxa"/>
        <w:tblLayout w:type="fixed"/>
        <w:tblCellMar>
          <w:top w:w="28" w:type="dxa"/>
          <w:left w:w="28" w:type="dxa"/>
          <w:bottom w:w="28" w:type="dxa"/>
          <w:right w:w="28" w:type="dxa"/>
        </w:tblCellMar>
      </w:tblPr>
      <w:tblGrid>
        <w:gridCol w:w="1695"/>
        <w:gridCol w:w="1490"/>
        <w:gridCol w:w="1494"/>
        <w:gridCol w:w="109"/>
        <w:gridCol w:w="109"/>
        <w:gridCol w:w="109"/>
        <w:gridCol w:w="563"/>
        <w:gridCol w:w="1287"/>
        <w:gridCol w:w="415"/>
      </w:tblGrid>
      <w:tr>
        <w:trPr/>
        <w:tc>
          <w:tcPr>
            <w:tcW w:w="169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Contingent Earnout Liability</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5"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included in 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as of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Contingent Earnout Liability is based on significant unobservable inputs, which represent Level 3 measurements within the fair value hierarchy.</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 xml:space="preserve">In determining the fair value of the Contingent Earnout Liability, the Company used a Monte Carlo simulation value model using a distribution of potential outcomes. The assumptions utilized in the calculation were based on the achievement of certain stock price milestones, including the current Company common stock price, expected volatility, risk-free rate, expected term and expected dividend yield. Refer to Note 7. </w:t>
      </w:r>
      <w:r>
        <w:rPr>
          <w:rFonts w:ascii="Times New Roman;sans-serif" w:hAnsi="Times New Roman;sans-serif"/>
          <w:b w:val="false"/>
          <w:i/>
          <w:color w:val="000000"/>
          <w:sz w:val="20"/>
        </w:rPr>
        <w:t>Stockholders’ Equity (Deficit)</w:t>
      </w:r>
      <w:r>
        <w:rPr>
          <w:rFonts w:ascii="Times New Roman;sans-serif" w:hAnsi="Times New Roman;sans-serif"/>
          <w:b w:val="false"/>
          <w:color w:val="000000"/>
          <w:sz w:val="20"/>
        </w:rPr>
        <w:t>, for further details of the Contingent Earnout Liability.</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GeneFab Note Receivable</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the changes in the fair value of the GeneFab Note Receivable (in thousands):</w:t>
      </w:r>
    </w:p>
    <w:tbl>
      <w:tblPr>
        <w:tblW w:w="6326" w:type="dxa"/>
        <w:jc w:val="left"/>
        <w:tblInd w:w="0" w:type="dxa"/>
        <w:tblLayout w:type="fixed"/>
        <w:tblCellMar>
          <w:top w:w="28" w:type="dxa"/>
          <w:left w:w="28" w:type="dxa"/>
          <w:bottom w:w="28" w:type="dxa"/>
          <w:right w:w="28" w:type="dxa"/>
        </w:tblCellMar>
      </w:tblPr>
      <w:tblGrid>
        <w:gridCol w:w="1694"/>
        <w:gridCol w:w="1488"/>
        <w:gridCol w:w="1497"/>
        <w:gridCol w:w="109"/>
        <w:gridCol w:w="109"/>
        <w:gridCol w:w="109"/>
        <w:gridCol w:w="256"/>
        <w:gridCol w:w="877"/>
        <w:gridCol w:w="187"/>
      </w:tblGrid>
      <w:tr>
        <w:trPr/>
        <w:tc>
          <w:tcPr>
            <w:tcW w:w="1694"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Note Receivable</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Initial recognition as of August 7,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included in 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as of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16,901 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GeneFab Note Receivable is based on significant unobservable inputs, which represent Level 3 measurements within the fair value hierarchy. The GeneFab Note Receivable is presented within GeneFab receivable on the condensed consolidated balance sheet.</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 xml:space="preserve">The Company has elected to account for the GeneFab Note Receivable under the fair value option in ASC 825, </w:t>
      </w:r>
      <w:r>
        <w:rPr>
          <w:rFonts w:ascii="Times New Roman;sans-serif" w:hAnsi="Times New Roman;sans-serif"/>
          <w:b w:val="false"/>
          <w:i/>
          <w:color w:val="000000"/>
          <w:sz w:val="20"/>
        </w:rPr>
        <w:t>Financial Instruments</w:t>
      </w:r>
      <w:r>
        <w:rPr>
          <w:color w:val="000000"/>
        </w:rPr>
        <w:t xml:space="preserve"> </w:t>
      </w:r>
      <w:r>
        <w:rPr>
          <w:rFonts w:ascii="Times New Roman;sans-serif" w:hAnsi="Times New Roman;sans-serif"/>
          <w:b w:val="false"/>
          <w:color w:val="000000"/>
          <w:sz w:val="20"/>
        </w:rPr>
        <w:t>with changes in fair value reported as a component of other income (expense) in the consolidated statements of operations and comprehensive loss. The fair value of the GeneFab Note Receivable was determined by discounting future payments under multiple probability-weighted scenarios using the Company’s cost of borrowing, which was estimated at 13.72% as of the initial recognition date, to 13.97% as of September 30, 2023 based on published CCC-rated corporate bond yields.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GeneFab Option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the changes in the fair value of the GeneFab Option (in thousands):</w:t>
      </w:r>
    </w:p>
    <w:tbl>
      <w:tblPr>
        <w:tblW w:w="6370" w:type="dxa"/>
        <w:jc w:val="left"/>
        <w:tblInd w:w="0" w:type="dxa"/>
        <w:tblLayout w:type="fixed"/>
        <w:tblCellMar>
          <w:top w:w="28" w:type="dxa"/>
          <w:left w:w="28" w:type="dxa"/>
          <w:bottom w:w="28" w:type="dxa"/>
          <w:right w:w="28" w:type="dxa"/>
        </w:tblCellMar>
      </w:tblPr>
      <w:tblGrid>
        <w:gridCol w:w="1694"/>
        <w:gridCol w:w="1488"/>
        <w:gridCol w:w="1497"/>
        <w:gridCol w:w="109"/>
        <w:gridCol w:w="109"/>
        <w:gridCol w:w="109"/>
        <w:gridCol w:w="272"/>
        <w:gridCol w:w="893"/>
        <w:gridCol w:w="199"/>
      </w:tblGrid>
      <w:tr>
        <w:trPr/>
        <w:tc>
          <w:tcPr>
            <w:tcW w:w="1694"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GeneFab Option</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Initial recognition as of August 7,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(9,649)</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included in 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as of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(4,020)</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GeneFab Option is based on significant unobservable inputs, which represent Level 3 measurements within the fair value hierarchy.</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determining the fair value of the GeneFab Option, the Company used a Black-Scholes option pricing model.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20"/>
        <w:jc w:val="center"/>
        <w:rPr>
          <w:rFonts w:ascii="Times New Roman;sans-serif" w:hAnsi="Times New Roman;sans-serif"/>
          <w:b/>
          <w:color w:val="000000"/>
          <w:sz w:val="20"/>
        </w:rPr>
      </w:pPr>
      <w:r>
        <w:rPr>
          <w:rFonts w:ascii="Times New Roman;sans-serif" w:hAnsi="Times New Roman;sans-serif"/>
          <w:b/>
          <w:color w:val="000000"/>
          <w:sz w:val="20"/>
        </w:rPr>
        <w:t>SENTI BIOSCIENCES,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76"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180"/>
        <w:jc w:val="center"/>
        <w:rPr/>
      </w:pPr>
      <w:r>
        <w:rPr/>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significant assumptions utilized in the valuation are described below:</w:t>
      </w:r>
    </w:p>
    <w:tbl>
      <w:tblPr>
        <w:tblW w:w="4706" w:type="dxa"/>
        <w:jc w:val="left"/>
        <w:tblInd w:w="0" w:type="dxa"/>
        <w:tblLayout w:type="fixed"/>
        <w:tblCellMar>
          <w:top w:w="28" w:type="dxa"/>
          <w:left w:w="28" w:type="dxa"/>
          <w:bottom w:w="28" w:type="dxa"/>
          <w:right w:w="28" w:type="dxa"/>
        </w:tblCellMar>
      </w:tblPr>
      <w:tblGrid>
        <w:gridCol w:w="679"/>
        <w:gridCol w:w="595"/>
        <w:gridCol w:w="600"/>
        <w:gridCol w:w="109"/>
        <w:gridCol w:w="109"/>
        <w:gridCol w:w="109"/>
        <w:gridCol w:w="242"/>
        <w:gridCol w:w="587"/>
        <w:gridCol w:w="311"/>
        <w:gridCol w:w="109"/>
        <w:gridCol w:w="109"/>
        <w:gridCol w:w="109"/>
        <w:gridCol w:w="211"/>
        <w:gridCol w:w="511"/>
        <w:gridCol w:w="316"/>
      </w:tblGrid>
      <w:tr>
        <w:trPr/>
        <w:tc>
          <w:tcPr>
            <w:tcW w:w="67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August 7</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stock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r>
    </w:tbl>
    <w:p>
      <w:pPr>
        <w:pStyle w:val="TextBody"/>
        <w:bidi w:val="0"/>
        <w:spacing w:before="0" w:after="180"/>
        <w:ind w:left="0" w:right="0" w:firstLine="360"/>
        <w:jc w:val="left"/>
        <w:rPr/>
      </w:pPr>
      <w:r>
        <w:rPr/>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GeneFab Economic Share</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the changes in the fair value of the GeneFab Economic Share (in thousands):</w:t>
      </w:r>
    </w:p>
    <w:tbl>
      <w:tblPr>
        <w:tblW w:w="7031" w:type="dxa"/>
        <w:jc w:val="left"/>
        <w:tblInd w:w="0" w:type="dxa"/>
        <w:tblLayout w:type="fixed"/>
        <w:tblCellMar>
          <w:top w:w="28" w:type="dxa"/>
          <w:left w:w="28" w:type="dxa"/>
          <w:bottom w:w="28" w:type="dxa"/>
          <w:right w:w="28" w:type="dxa"/>
        </w:tblCellMar>
      </w:tblPr>
      <w:tblGrid>
        <w:gridCol w:w="1694"/>
        <w:gridCol w:w="1488"/>
        <w:gridCol w:w="1497"/>
        <w:gridCol w:w="109"/>
        <w:gridCol w:w="109"/>
        <w:gridCol w:w="109"/>
        <w:gridCol w:w="435"/>
        <w:gridCol w:w="1272"/>
        <w:gridCol w:w="318"/>
      </w:tblGrid>
      <w:tr>
        <w:trPr/>
        <w:tc>
          <w:tcPr>
            <w:tcW w:w="1694"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GeneFab Economic Share</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Initial recognition as of August 7,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included in 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as of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1,677 </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GeneFab Economic Share is based on significant unobservable inputs, which represent Level 3 measurements within the fair value hierarchy. </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 xml:space="preserve">The Company has elected to account for the GeneFab Economic Share under the fair value option in ASC 825, </w:t>
      </w:r>
      <w:r>
        <w:rPr>
          <w:rFonts w:ascii="Times New Roman;sans-serif" w:hAnsi="Times New Roman;sans-serif"/>
          <w:b w:val="false"/>
          <w:i/>
          <w:color w:val="000000"/>
          <w:sz w:val="20"/>
        </w:rPr>
        <w:t>Financial Instruments</w:t>
      </w:r>
      <w:r>
        <w:rPr>
          <w:color w:val="000000"/>
        </w:rPr>
        <w:t xml:space="preserve"> </w:t>
      </w:r>
      <w:r>
        <w:rPr>
          <w:rFonts w:ascii="Times New Roman;sans-serif" w:hAnsi="Times New Roman;sans-serif"/>
          <w:b w:val="false"/>
          <w:color w:val="000000"/>
          <w:sz w:val="20"/>
        </w:rPr>
        <w:t xml:space="preserve">with changes in fair value reported as a component of other income (expense) in the consolidated statements of operations and comprehensive loss. In determining the fair value of the GeneFab Economic Share, the Company used the option pricing method, which allocates total estimated enterprise value to various classes of equity using the Backsolve method.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significant assumptions utilized in the valuation are described below:</w:t>
      </w:r>
    </w:p>
    <w:tbl>
      <w:tblPr>
        <w:tblW w:w="5009" w:type="dxa"/>
        <w:jc w:val="left"/>
        <w:tblInd w:w="0" w:type="dxa"/>
        <w:tblLayout w:type="fixed"/>
        <w:tblCellMar>
          <w:top w:w="28" w:type="dxa"/>
          <w:left w:w="28" w:type="dxa"/>
          <w:bottom w:w="28" w:type="dxa"/>
          <w:right w:w="28" w:type="dxa"/>
        </w:tblCellMar>
      </w:tblPr>
      <w:tblGrid>
        <w:gridCol w:w="688"/>
        <w:gridCol w:w="607"/>
        <w:gridCol w:w="609"/>
        <w:gridCol w:w="109"/>
        <w:gridCol w:w="109"/>
        <w:gridCol w:w="109"/>
        <w:gridCol w:w="211"/>
        <w:gridCol w:w="721"/>
        <w:gridCol w:w="271"/>
        <w:gridCol w:w="109"/>
        <w:gridCol w:w="109"/>
        <w:gridCol w:w="109"/>
        <w:gridCol w:w="211"/>
        <w:gridCol w:w="721"/>
        <w:gridCol w:w="316"/>
      </w:tblGrid>
      <w:tr>
        <w:trPr/>
        <w:tc>
          <w:tcPr>
            <w:tcW w:w="68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August 7</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GeneFab equity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r>
    </w:tbl>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20"/>
        <w:jc w:val="center"/>
        <w:rPr>
          <w:rFonts w:ascii="Times New Roman;sans-serif" w:hAnsi="Times New Roman;sans-serif"/>
          <w:b/>
          <w:color w:val="000000"/>
          <w:sz w:val="20"/>
        </w:rPr>
      </w:pPr>
      <w:r>
        <w:rPr>
          <w:rFonts w:ascii="Times New Roman;sans-serif" w:hAnsi="Times New Roman;sans-serif"/>
          <w:b/>
          <w:color w:val="000000"/>
          <w:sz w:val="20"/>
        </w:rPr>
        <w:t>SENTI BIOSCIENCES,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76"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180"/>
        <w:jc w:val="center"/>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5. Other Financial Statement information</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Prepaid Expenses and Other Current Assets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 (in thousands):</w:t>
      </w:r>
    </w:p>
    <w:tbl>
      <w:tblPr>
        <w:tblW w:w="6536" w:type="dxa"/>
        <w:jc w:val="left"/>
        <w:tblInd w:w="0" w:type="dxa"/>
        <w:tblLayout w:type="fixed"/>
        <w:tblCellMar>
          <w:top w:w="28" w:type="dxa"/>
          <w:left w:w="28" w:type="dxa"/>
          <w:bottom w:w="28" w:type="dxa"/>
          <w:right w:w="28" w:type="dxa"/>
        </w:tblCellMar>
      </w:tblPr>
      <w:tblGrid>
        <w:gridCol w:w="1422"/>
        <w:gridCol w:w="1252"/>
        <w:gridCol w:w="1256"/>
        <w:gridCol w:w="257"/>
        <w:gridCol w:w="750"/>
        <w:gridCol w:w="132"/>
        <w:gridCol w:w="109"/>
        <w:gridCol w:w="109"/>
        <w:gridCol w:w="109"/>
        <w:gridCol w:w="245"/>
        <w:gridCol w:w="716"/>
        <w:gridCol w:w="179"/>
      </w:tblGrid>
      <w:tr>
        <w:trPr/>
        <w:tc>
          <w:tcPr>
            <w:tcW w:w="142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(including prepaid rent)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current assets</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 (in thousands):</w:t>
      </w:r>
    </w:p>
    <w:tbl>
      <w:tblPr>
        <w:tblW w:w="5516" w:type="dxa"/>
        <w:jc w:val="left"/>
        <w:tblInd w:w="0" w:type="dxa"/>
        <w:tblLayout w:type="fixed"/>
        <w:tblCellMar>
          <w:top w:w="28" w:type="dxa"/>
          <w:left w:w="28" w:type="dxa"/>
          <w:bottom w:w="28" w:type="dxa"/>
          <w:right w:w="28" w:type="dxa"/>
        </w:tblCellMar>
      </w:tblPr>
      <w:tblGrid>
        <w:gridCol w:w="1054"/>
        <w:gridCol w:w="926"/>
        <w:gridCol w:w="930"/>
        <w:gridCol w:w="231"/>
        <w:gridCol w:w="790"/>
        <w:gridCol w:w="119"/>
        <w:gridCol w:w="109"/>
        <w:gridCol w:w="109"/>
        <w:gridCol w:w="109"/>
        <w:gridCol w:w="221"/>
        <w:gridCol w:w="757"/>
        <w:gridCol w:w="161"/>
      </w:tblGrid>
      <w:tr>
        <w:trPr/>
        <w:tc>
          <w:tcPr>
            <w:tcW w:w="10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 equipment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at cost</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54,316 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26,433 </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51,361 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Buildout of the current good manufacturing practice (cGMP) facility in Alameda was completed in June 2023 and the assets were placed in service.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change in the manner in which the Company expects to recover the assets associated with the lease on the Alameda facility (refer to Note 3. GeneFab Transaction), the ROU asset and the related leasehold improvements became a separate asset group for the purposes of long-lived asset impairment assessment as of August 7, 2023. This asset group reassessment triggered a need to perform an impairment analysis. The Company concluded that the asset group was not recoverable, as the carrying value of the asset group was less than the sum of undiscounted net cash flows expected to be generated from the use of the asset group.</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 xml:space="preserve">The Company tested the asset group for impairment and recognized an impairment loss in the amount of $25.7 million during the three and nine months ended September 30, 2023, representing the difference between the carrying value of the asset group of $54.6 million and its estimated fair value of $28.9 million, determined based on the discounted cash flows expected to be generated from the use of the asset group through the sublease. Further, the Company determined that the individual fair value of the ROU asset within the asset group exceeded its carrying value as of the impairment testing date. Accordingly, the Company allocated the entire impairment loss to the leasehold improvements associated with the Alameda lease. The adjusted carrying value of the leasehold improvements of $20.1 million will be amortized under the existing accounting policy under ASC 842, </w:t>
      </w:r>
      <w:r>
        <w:rPr>
          <w:rFonts w:ascii="Times New Roman;sans-serif" w:hAnsi="Times New Roman;sans-serif"/>
          <w:b w:val="false"/>
          <w:i/>
          <w:color w:val="000000"/>
          <w:sz w:val="20"/>
        </w:rPr>
        <w:t xml:space="preserve">Leases </w:t>
      </w:r>
      <w:r>
        <w:rPr>
          <w:rFonts w:ascii="Times New Roman;sans-serif" w:hAnsi="Times New Roman;sans-serif"/>
          <w:b w:val="false"/>
          <w:color w:val="000000"/>
          <w:sz w:val="20"/>
        </w:rPr>
        <w:t>on a straight-line basis over the remaining lease term.</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totaled $1.3 million and $0.4 million for the three months ended September 30, 2023 and 2022, respectively, and $2.4 million and $0.9 million for the nine months ended September 30,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20"/>
        <w:jc w:val="center"/>
        <w:rPr>
          <w:rFonts w:ascii="Times New Roman;sans-serif" w:hAnsi="Times New Roman;sans-serif"/>
          <w:b/>
          <w:color w:val="000000"/>
          <w:sz w:val="20"/>
        </w:rPr>
      </w:pPr>
      <w:r>
        <w:rPr>
          <w:rFonts w:ascii="Times New Roman;sans-serif" w:hAnsi="Times New Roman;sans-serif"/>
          <w:b/>
          <w:color w:val="000000"/>
          <w:sz w:val="20"/>
        </w:rPr>
        <w:t>SENTI BIOSCIENCES,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76"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180"/>
        <w:jc w:val="center"/>
        <w:rPr/>
      </w:pPr>
      <w:r>
        <w:rPr/>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Accrued Expenses and Other Liabilities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 consisted of the following (in thousands):</w:t>
      </w:r>
    </w:p>
    <w:tbl>
      <w:tblPr>
        <w:tblW w:w="8259" w:type="dxa"/>
        <w:jc w:val="left"/>
        <w:tblInd w:w="0" w:type="dxa"/>
        <w:tblLayout w:type="fixed"/>
        <w:tblCellMar>
          <w:top w:w="28" w:type="dxa"/>
          <w:left w:w="28" w:type="dxa"/>
          <w:bottom w:w="28" w:type="dxa"/>
          <w:right w:w="28" w:type="dxa"/>
        </w:tblCellMar>
      </w:tblPr>
      <w:tblGrid>
        <w:gridCol w:w="2049"/>
        <w:gridCol w:w="1799"/>
        <w:gridCol w:w="1806"/>
        <w:gridCol w:w="257"/>
        <w:gridCol w:w="750"/>
        <w:gridCol w:w="132"/>
        <w:gridCol w:w="109"/>
        <w:gridCol w:w="109"/>
        <w:gridCol w:w="109"/>
        <w:gridCol w:w="221"/>
        <w:gridCol w:w="757"/>
        <w:gridCol w:w="161"/>
      </w:tblGrid>
      <w:tr>
        <w:trPr/>
        <w:tc>
          <w:tcPr>
            <w:tcW w:w="2049"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employee-related expenses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and service fees related to facility construction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and service fees 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 and other current liabilities</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6. Operating Leases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Lessee Accounting</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The Company’s operating leases are primarily for its corporate headquarters located in South San Francisco, California (“HQ lease”) and for additional office and laboratory space located in Alameda, California (“Alameda lease”). The corporate headquarters lease has an initial term of eight years expiring in 2027, with an option to renew for an additional eight years unless canceled by either party thereafter. The Alameda lease has an initial term of eleven years expiring in 2032, with an option to renew the lease for up to two additional terms of five years. The exercise of these renewal options is not recognized as part of the ROU assets and lease liabilities, as the Company did not conclude, at the commencement date of the leases, that the exercise of renewal options or termination options was reasonably certain. The Alameda lease provides for a tenant improvement allowance of up to $17.5 million for the costs relating to the design, permitting and construction of the improvements, to be disbursed by the landlord no later than December 31, 2023. The Company was deemed to be the accounting owner of the tenant improvements primarily because the Company is the principal in the construction and design of the assets, is responsible for costs overruns and retains substantially all economic benefits from the leasehold improvements over their economic lives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Accordingly, the tenant improvement allowance was considered an incentive and was deducted from the initial measurement of the ROU asset and lease liability. The Company estimated the timing of tenant improvement reimbursements at the lease commencement date and upon receipt of the cash incentives, the Company recognized the cash received as an increase in the lease liability.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total lease costs and other information for the period relating to the Company’s operating leases is as follows:</w:t>
      </w:r>
    </w:p>
    <w:tbl>
      <w:tblPr>
        <w:tblW w:w="7773" w:type="dxa"/>
        <w:jc w:val="left"/>
        <w:tblInd w:w="0" w:type="dxa"/>
        <w:tblLayout w:type="fixed"/>
        <w:tblCellMar>
          <w:top w:w="28" w:type="dxa"/>
          <w:left w:w="28" w:type="dxa"/>
          <w:bottom w:w="28" w:type="dxa"/>
          <w:right w:w="28" w:type="dxa"/>
        </w:tblCellMar>
      </w:tblPr>
      <w:tblGrid>
        <w:gridCol w:w="651"/>
        <w:gridCol w:w="572"/>
        <w:gridCol w:w="576"/>
        <w:gridCol w:w="109"/>
        <w:gridCol w:w="109"/>
        <w:gridCol w:w="109"/>
        <w:gridCol w:w="257"/>
        <w:gridCol w:w="752"/>
        <w:gridCol w:w="133"/>
        <w:gridCol w:w="133"/>
        <w:gridCol w:w="133"/>
        <w:gridCol w:w="133"/>
        <w:gridCol w:w="257"/>
        <w:gridCol w:w="752"/>
        <w:gridCol w:w="133"/>
        <w:gridCol w:w="109"/>
        <w:gridCol w:w="109"/>
        <w:gridCol w:w="109"/>
        <w:gridCol w:w="248"/>
        <w:gridCol w:w="724"/>
        <w:gridCol w:w="128"/>
        <w:gridCol w:w="128"/>
        <w:gridCol w:w="128"/>
        <w:gridCol w:w="128"/>
        <w:gridCol w:w="248"/>
        <w:gridCol w:w="724"/>
        <w:gridCol w:w="181"/>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4,910 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4,563 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20"/>
        <w:jc w:val="center"/>
        <w:rPr>
          <w:rFonts w:ascii="Times New Roman;sans-serif" w:hAnsi="Times New Roman;sans-serif"/>
          <w:b/>
          <w:color w:val="000000"/>
          <w:sz w:val="20"/>
        </w:rPr>
      </w:pPr>
      <w:r>
        <w:rPr>
          <w:rFonts w:ascii="Times New Roman;sans-serif" w:hAnsi="Times New Roman;sans-serif"/>
          <w:b/>
          <w:color w:val="000000"/>
          <w:sz w:val="20"/>
        </w:rPr>
        <w:t>SENTI BIOSCIENCES,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76"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180"/>
        <w:jc w:val="center"/>
        <w:rPr/>
      </w:pPr>
      <w:r>
        <w:rPr/>
      </w:r>
    </w:p>
    <w:p>
      <w:pPr>
        <w:pStyle w:val="TextBody"/>
        <w:bidi w:val="0"/>
        <w:spacing w:before="0" w:after="18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2871"/>
        <w:gridCol w:w="2271"/>
        <w:gridCol w:w="2285"/>
        <w:gridCol w:w="109"/>
        <w:gridCol w:w="109"/>
        <w:gridCol w:w="109"/>
        <w:gridCol w:w="340"/>
        <w:gridCol w:w="328"/>
        <w:gridCol w:w="329"/>
        <w:gridCol w:w="165"/>
        <w:gridCol w:w="165"/>
        <w:gridCol w:w="165"/>
        <w:gridCol w:w="340"/>
        <w:gridCol w:w="255"/>
        <w:gridCol w:w="364"/>
      </w:tblGrid>
      <w:tr>
        <w:trPr/>
        <w:tc>
          <w:tcPr>
            <w:tcW w:w="2871"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7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net inflows and (outflows) from operating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9,225</w:t>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 obtained in exchange for operating lease obligations (including remeasurement of ROU and lease liabilities due to changes in the timing of receipt of lease incentives)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years</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years</w:t>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r>
      <w:tr>
        <w:trPr/>
        <w:tc>
          <w:tcPr>
            <w:tcW w:w="7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September 30, 2023 and 2022, the Company received no cash and $3.2 million, respectively, of $17.5 million tenant improvement allowance. For the nine months ended September 30, 2023 and 2022, the Company received $2.0 million and $11.3 million, respectively, of the $17.5 million tenant improvement allowance. Through September 30, 2023, the Company received $16.2 million of the tenant improvement allowance inception-to-date.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2022, amounts disclosed for ROU assets obtained in exchange for lease obligations include amounts added to the carrying amount of ROU assets resulting from lease modifications and reassessments.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the Company’s lease liabilities as of September 30, 2023, were as follows (in thousands):</w:t>
      </w:r>
    </w:p>
    <w:tbl>
      <w:tblPr>
        <w:tblW w:w="4641" w:type="dxa"/>
        <w:jc w:val="left"/>
        <w:tblInd w:w="0" w:type="dxa"/>
        <w:tblLayout w:type="fixed"/>
        <w:tblCellMar>
          <w:top w:w="28" w:type="dxa"/>
          <w:left w:w="28" w:type="dxa"/>
          <w:bottom w:w="28" w:type="dxa"/>
          <w:right w:w="28" w:type="dxa"/>
        </w:tblCellMar>
      </w:tblPr>
      <w:tblGrid>
        <w:gridCol w:w="1287"/>
        <w:gridCol w:w="1130"/>
        <w:gridCol w:w="1138"/>
        <w:gridCol w:w="211"/>
        <w:gridCol w:w="721"/>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for the remainder of the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improvement allowance remaining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Lessor Accounting</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GeneFab transaction, on August 7, 2023, the Company entered into a sublease with GeneFab to sublease the facility included in the Alameda lease, expiring in August 2032. Total sublease income to be earned from this operating lease, in aggregate, will be approximately $44.1 million over the remaining term of the sublease agreement. Sublease income was $0.8 million for the three and nine months ended September 30, 2023. Variable sublease income was $0.1 million for the three and nine months ended September 30, 2023. The Company records sublease income in other income (expense) in the condensed consolidated statement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the Company’s sublease payments from GeneFab as of September 30, 2023, were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20"/>
        <w:jc w:val="center"/>
        <w:rPr>
          <w:rFonts w:ascii="Times New Roman;sans-serif" w:hAnsi="Times New Roman;sans-serif"/>
          <w:b/>
          <w:color w:val="000000"/>
          <w:sz w:val="20"/>
        </w:rPr>
      </w:pPr>
      <w:r>
        <w:rPr>
          <w:rFonts w:ascii="Times New Roman;sans-serif" w:hAnsi="Times New Roman;sans-serif"/>
          <w:b/>
          <w:color w:val="000000"/>
          <w:sz w:val="20"/>
        </w:rPr>
        <w:t>SENTI BIOSCIENCES,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76"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180"/>
        <w:jc w:val="center"/>
        <w:rPr/>
      </w:pPr>
      <w:r>
        <w:rPr/>
      </w:r>
    </w:p>
    <w:tbl>
      <w:tblPr>
        <w:tblW w:w="4356" w:type="dxa"/>
        <w:jc w:val="left"/>
        <w:tblInd w:w="0" w:type="dxa"/>
        <w:tblLayout w:type="fixed"/>
        <w:tblCellMar>
          <w:top w:w="28" w:type="dxa"/>
          <w:left w:w="28" w:type="dxa"/>
          <w:bottom w:w="28" w:type="dxa"/>
          <w:right w:w="28" w:type="dxa"/>
        </w:tblCellMar>
      </w:tblPr>
      <w:tblGrid>
        <w:gridCol w:w="1184"/>
        <w:gridCol w:w="1040"/>
        <w:gridCol w:w="1046"/>
        <w:gridCol w:w="211"/>
        <w:gridCol w:w="721"/>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for the remainder of the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sublease payments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7. Stockholders’ Equity</w:t>
      </w:r>
    </w:p>
    <w:p>
      <w:pPr>
        <w:pStyle w:val="TextBody"/>
        <w:bidi w:val="0"/>
        <w:spacing w:lineRule="auto" w:line="276" w:before="0" w:after="180"/>
        <w:jc w:val="left"/>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Holders of common stock are entitled to one vote per share, and to receive dividends and, upon liquidation or dissolution, are entitled to receive all assets available for distribution to stockholders. The holders have no preemptive or other subscription rights, and there are no redemption or sinking fund provisions with respect to such shares. Common stock is subordinate to the preferred stock with respect to dividend rights and rights upon liquidation, winding up, and dissolution of the Company; although, no preferred stock is outstanding as of September 30, 2023 and December 31, 2022. Through September 30, 2023, no cash dividends have been declared or paid.</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and December 31, 2022, the Company was authorized to issue 500,000,000 shares of common stock, all at a par value of $0.0001 per share, and had reserved the following shares for future issuance:</w:t>
      </w:r>
    </w:p>
    <w:tbl>
      <w:tblPr>
        <w:tblW w:w="10205" w:type="dxa"/>
        <w:jc w:val="left"/>
        <w:tblInd w:w="0" w:type="dxa"/>
        <w:tblLayout w:type="fixed"/>
        <w:tblCellMar>
          <w:top w:w="28" w:type="dxa"/>
          <w:left w:w="28" w:type="dxa"/>
          <w:bottom w:w="28" w:type="dxa"/>
          <w:right w:w="28" w:type="dxa"/>
        </w:tblCellMar>
      </w:tblPr>
      <w:tblGrid>
        <w:gridCol w:w="2770"/>
        <w:gridCol w:w="2421"/>
        <w:gridCol w:w="2436"/>
        <w:gridCol w:w="379"/>
        <w:gridCol w:w="376"/>
        <w:gridCol w:w="364"/>
        <w:gridCol w:w="109"/>
        <w:gridCol w:w="109"/>
        <w:gridCol w:w="109"/>
        <w:gridCol w:w="334"/>
        <w:gridCol w:w="334"/>
        <w:gridCol w:w="464"/>
      </w:tblGrid>
      <w:tr>
        <w:trPr/>
        <w:tc>
          <w:tcPr>
            <w:tcW w:w="2770"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7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6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Purchase Agreement</w:t>
            </w:r>
          </w:p>
        </w:tc>
        <w:tc>
          <w:tcPr>
            <w:tcW w:w="1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8,327,049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8,327,049</w:t>
            </w:r>
          </w:p>
        </w:tc>
      </w:tr>
      <w:tr>
        <w:trPr/>
        <w:tc>
          <w:tcPr>
            <w:tcW w:w="7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options issued and outstanding </w:t>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11,916,927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9,875,675</w:t>
            </w:r>
          </w:p>
        </w:tc>
      </w:tr>
      <w:tr>
        <w:trPr/>
        <w:tc>
          <w:tcPr>
            <w:tcW w:w="7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(RSUs) issued and outstanding</w:t>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447,948</w:t>
            </w:r>
          </w:p>
        </w:tc>
      </w:tr>
      <w:tr>
        <w:trPr/>
        <w:tc>
          <w:tcPr>
            <w:tcW w:w="7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shares available for future issuance under equity plans </w:t>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3,310,849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2,948,472</w:t>
            </w:r>
          </w:p>
        </w:tc>
      </w:tr>
      <w:tr>
        <w:trPr/>
        <w:tc>
          <w:tcPr>
            <w:tcW w:w="7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shares available for future issuance under the 2022 Employee Stock Purchase Plan (the "ESPP") </w:t>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481,627</w:t>
            </w:r>
          </w:p>
        </w:tc>
      </w:tr>
      <w:tr>
        <w:trPr/>
        <w:tc>
          <w:tcPr>
            <w:tcW w:w="7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common stock</w:t>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2,000,000</w:t>
            </w:r>
          </w:p>
        </w:tc>
      </w:tr>
      <w:tr>
        <w:trPr/>
        <w:tc>
          <w:tcPr>
            <w:tcW w:w="76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GeneFab Option</w:t>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19,633,444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Unvested early exercised common stock </w:t>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105,500</w:t>
            </w:r>
          </w:p>
        </w:tc>
      </w:tr>
      <w:tr>
        <w:trPr/>
        <w:tc>
          <w:tcPr>
            <w:tcW w:w="7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46,054,664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24,186,271</w:t>
            </w:r>
          </w:p>
        </w:tc>
      </w:tr>
    </w:tbl>
    <w:p>
      <w:pPr>
        <w:pStyle w:val="TextBody"/>
        <w:bidi w:val="0"/>
        <w:spacing w:lineRule="auto" w:line="276"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close of the Merger, the Company’s Amended and Restated Certificate of Incorporation provides the Company’s board of directors with the authority to issue $0.0001 par value preferred stock in one or more series and to establish from time to time the number of shares to be included in each such series, by adopting a resolution and filing a certification of designations. Voting powers, designations, powers, preferences and relative, participating, optional, special and other rights shall be stated and expressed in such resolutions. There were 10,000,000 shares designated as preferred stock and none were outstanding as of September 30, 2023 and December 31, 2022.</w:t>
      </w:r>
    </w:p>
    <w:p>
      <w:pPr>
        <w:pStyle w:val="TextBody"/>
        <w:bidi w:val="0"/>
        <w:spacing w:lineRule="auto" w:line="276"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Common Stock Purchase Agreement</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31, 2022, the Company entered into a Common Stock Purchase Agreement and a Registration Rights Agreement (collectively referred to as the “Purchase Agreement”) with Chardan Capital Markets LLC (“Chardan”). Pursuant to the Purchase Agreement, the Company has the right, in its sole discretion, to sell to Chardan up to the lesser of (i) $50.0 million of newly issued shares of the Company’s common stock, and (ii)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20"/>
        <w:jc w:val="center"/>
        <w:rPr>
          <w:rFonts w:ascii="Times New Roman;sans-serif" w:hAnsi="Times New Roman;sans-serif"/>
          <w:b/>
          <w:color w:val="000000"/>
          <w:sz w:val="20"/>
        </w:rPr>
      </w:pPr>
      <w:r>
        <w:rPr>
          <w:rFonts w:ascii="Times New Roman;sans-serif" w:hAnsi="Times New Roman;sans-serif"/>
          <w:b/>
          <w:color w:val="000000"/>
          <w:sz w:val="20"/>
        </w:rPr>
        <w:t>SENTI BIOSCIENCES,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76"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180"/>
        <w:jc w:val="center"/>
        <w:rPr/>
      </w:pPr>
      <w:r>
        <w:rPr/>
      </w:r>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Exchange Cap (as defined below) (subject to certain conditions and limitations), from time to time during the 36-month term of the Purchase Agreement. Under the applicable NASDAQ rules, the Company may not issue to Chardan under the Purchase Agreement more than 8,727,049 shares of common stock, which number of shares is equal to 19.99% of the common shares outstanding immediately prior to the execution of the Purchase Agreement unless certain exceptions are met (the “Exchange Cap”). The purchase price of the shares of common stock will be determined by reference to the Volume Weighted Average Price (“VWAP”) of the common stock during the applicable purchase date, less a fixed 3% discount to such VWAP. However, the total shares to be purchased on any day may not exceed 20% of the trading volume, and the total purchase price on any day may not exceed $3.0 million. As consideration for Chardan’s commitment to purchase shares of common stock at the Company’s direction upon the terms and subject to the conditions set forth in the Purchase Agreement, upon execution of the Purchase Agreement, the Company issued 100,000 shares of its common stock to Chardan and paid a $0.4 million document preparation fee. Upon execution of the Purchase Agreement, the Company recognized an expense of $0.7 million within general and administrative expenses in the Company’s Condensed Consolidated Statements of Operations and Comprehensive Loss for the Chardan related costs and legal fees incurred in connection with the agreement.</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than the issuance of the commitment shares of the Company’s common stock to Chardan, the Company issued 300,000 common stock shares up until December 31, 2022 aggregating to net proceeds of $0.7 million, under the Purchase Agreement. There were no shares issued within nine months ended September 30, 2023.</w:t>
      </w:r>
    </w:p>
    <w:p>
      <w:pPr>
        <w:pStyle w:val="TextBody"/>
        <w:bidi w:val="0"/>
        <w:spacing w:lineRule="auto" w:line="276"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Contingent Earnout Equity</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closing of the Merger, former holders of Legacy Senti common stock and preferred stock may receive up to 2,000,000 additional shares of the Company’s common stock in the aggregate, in two equal tranches of 1,000,000 shares of common stock per tranche. The first and second tranches are issuable if the closing volume weighted average price (“VWAP”) per share of common stock quoted on the Nasdaq (or the exchange on which the shares of common stock are then listed) is greater or equal to $15.00 and $20.00, respectively over any twenty trading days within any thirty-day trading period. The first and second tranche term is two and three years, respectively, from the closing of the Merger. If there is a change of control within the three-year period following the closing of the Merger that results in a per share price equal to or in excess of the $15.00 and $20.00 share price milestones not previously met, then Company shall issue the earnout shares to the holders of Legacy Senti common stock and preferred stock.</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total Contingent Earnout Shares at the Closing on June 8, 2022, was $9.8 million based on a Monte Carlo simulation valuation model. Of this amount, $9.7 million was accounted for as a Contingent Earnout Liability because the triggering events that determine the number of Contingent Earnout Shares required to be issued include events that are not solely indexed to the common stock of the Company. The remaining balance of $0.1 million relates to holders of Legacy Senti common stock that are subject to repurchase were accounted for as stock-based compensation expense and recorded as an expense, as there was no remaining service period.</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Contingent Earnout Liability was remeasured to fair value as of September 30, 2023, resulting in no change for the three months ended September 30, 2023, and a non-cash gain of $0.2 million for the nine months ended September 30, 2023, classified within change in fair value of contingent earnout liability in the condensed consolidated statements of operations and comprehensive loss.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Assumptions used in the valuation are described below:</w:t>
      </w:r>
    </w:p>
    <w:tbl>
      <w:tblPr>
        <w:tblW w:w="5542" w:type="dxa"/>
        <w:jc w:val="left"/>
        <w:tblInd w:w="0" w:type="dxa"/>
        <w:tblLayout w:type="fixed"/>
        <w:tblCellMar>
          <w:top w:w="28" w:type="dxa"/>
          <w:left w:w="28" w:type="dxa"/>
          <w:bottom w:w="28" w:type="dxa"/>
          <w:right w:w="28" w:type="dxa"/>
        </w:tblCellMar>
      </w:tblPr>
      <w:tblGrid>
        <w:gridCol w:w="944"/>
        <w:gridCol w:w="829"/>
        <w:gridCol w:w="837"/>
        <w:gridCol w:w="109"/>
        <w:gridCol w:w="109"/>
        <w:gridCol w:w="109"/>
        <w:gridCol w:w="560"/>
        <w:gridCol w:w="289"/>
        <w:gridCol w:w="290"/>
        <w:gridCol w:w="109"/>
        <w:gridCol w:w="109"/>
        <w:gridCol w:w="109"/>
        <w:gridCol w:w="506"/>
        <w:gridCol w:w="261"/>
        <w:gridCol w:w="372"/>
      </w:tblGrid>
      <w:tr>
        <w:trPr/>
        <w:tc>
          <w:tcPr>
            <w:tcW w:w="94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stock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share price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20"/>
        <w:jc w:val="center"/>
        <w:rPr>
          <w:rFonts w:ascii="Times New Roman;sans-serif" w:hAnsi="Times New Roman;sans-serif"/>
          <w:b/>
          <w:color w:val="000000"/>
          <w:sz w:val="20"/>
        </w:rPr>
      </w:pPr>
      <w:r>
        <w:rPr>
          <w:rFonts w:ascii="Times New Roman;sans-serif" w:hAnsi="Times New Roman;sans-serif"/>
          <w:b/>
          <w:color w:val="000000"/>
          <w:sz w:val="20"/>
        </w:rPr>
        <w:t>SENTI BIOSCIENCES,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76"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180"/>
        <w:jc w:val="center"/>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8. Revenue</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revenue consists of amounts received related to research services provided to customers.</w:t>
      </w:r>
    </w:p>
    <w:p>
      <w:pPr>
        <w:pStyle w:val="TextBody"/>
        <w:bidi w:val="0"/>
        <w:spacing w:lineRule="auto" w:line="276"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Contract Revenue</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2021, the Company entered into a research collaboration and license agreement with Spark Therapeutics, Inc. (“Spark”). Under the agreement, the Company will be responsible for a research program, which includes designing, building and testing five cell type specific-synthetic promoters for use in developing certain gene therapies using the Company’s proprietary technology. The Company received an upfront payment from Spark of $3.0 million and Spark is obligated to reimburse the Company for costs and expenses incurred for the research program. The Company expected to complete the research program over a two-year period. </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 xml:space="preserve">The Company assessed this agreement in accordance with ASC 606, </w:t>
      </w:r>
      <w:r>
        <w:rPr>
          <w:rFonts w:ascii="Times New Roman;sans-serif" w:hAnsi="Times New Roman;sans-serif"/>
          <w:b w:val="false"/>
          <w:i/>
          <w:color w:val="000000"/>
          <w:sz w:val="20"/>
        </w:rPr>
        <w:t xml:space="preserve">Revenue Recognition </w:t>
      </w:r>
      <w:r>
        <w:rPr>
          <w:rFonts w:ascii="Times New Roman;sans-serif" w:hAnsi="Times New Roman;sans-serif"/>
          <w:b w:val="false"/>
          <w:color w:val="000000"/>
          <w:sz w:val="20"/>
        </w:rPr>
        <w:t xml:space="preserve">(“ASC 606”) and concluded that the contract counterparty, Spark, is a customer. The Company identified only one combined performance obligation in the agreement, which is to perform research services, the related joint research plan and committees for the five specified promoters. The Company determined that the research activities for each of the five promoters are not distinct given there is one single research plan that is performed by the same research team and research results for one promoter may provide insights for other promoters.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agreement, once the research program is completed and the Company delivers a data package to Spark, Spark has 24 months (the “Evaluation Period”) to determine whether Spark will exercise its options to obtain field-limited, royalty-bearing licenses to develop, manufacture and commercialize promoters corresponding to each of the five specified promoters being researched. For each licensed promoter option that is exercised, the Company is eligible to receive a license fee, potential research, development and commercial milestone payments and royalties on product sales. Spark may generally terminate the agreement upon 90 days prior written notice or 180 days prior written notice if the licensed promoter is in clinical trials or is being commercialized at the time of termination.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evaluated Spark’s optional rights to license, develop, manufacture and commercialize each of the promoter profiles to determine whether they provide Spark with any material rights to purchase the promoter licenses at an incremental discount. The Company’s proprietary technology used to develop the promoters is in the early stages of development, so technological feasibility and probability of developing a product is highly uncertain. As a result, determining the SSP for the optional rights is subject to significant judgment. Given the subjectivity associated with determining the SSP for the right to a future license related to unproven technology at contract inception, the Company also evaluated whether the contract consideration associated with the research services represents the SSP for those services. The Company determined the transaction price, inclusive of the upfront payment and reimbursement of costs and expenses incurred for the research program, is commensurate with SSP for the research being conducted given the specialized nature and reliance on proprietary technology. Based on the Company’s assessment of the optional consideration and the qualitative factors of feasibility and probability of development combined with the quantitative assessment that research services are priced at their SSP, the Company concluded that the license option does not provide Spark with an incremental discount and therefore does not constitute a material right. The transaction price associated with the research services in this agreement consists of the fixed upfront amount of $3.0 million and variable consideration.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Spark collaboration agreement, the Company will recognize the transaction price as research and development services are provided, using a cost-based input method to measure the progress toward completion of its performance obligation and to calculate the corresponding amount of revenue to recognize each period. The Company believes that the cost-based input method is the best measure of progress because other measurements would not reflect how the Company transfers the control related to the performance obligation to our customers.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2022, the Company amended the research collaboration and license agreement with Spark to allow for an increase in budget and a two-month extension of the research program. As there were no changes to performance obligations and the services to be provided are not distinct from those already transferred, the transaction was accounted for as a contract modification and a cumulative catch-up of $(0.7) million was recognized in December 2022.</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2023, the Company amended the research collaboration and license agreement with Spark to allow for an increase in budget and additional two-month extension of the research program. As there were no changes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20"/>
        <w:jc w:val="center"/>
        <w:rPr>
          <w:rFonts w:ascii="Times New Roman;sans-serif" w:hAnsi="Times New Roman;sans-serif"/>
          <w:b/>
          <w:color w:val="000000"/>
          <w:sz w:val="20"/>
        </w:rPr>
      </w:pPr>
      <w:r>
        <w:rPr>
          <w:rFonts w:ascii="Times New Roman;sans-serif" w:hAnsi="Times New Roman;sans-serif"/>
          <w:b/>
          <w:color w:val="000000"/>
          <w:sz w:val="20"/>
        </w:rPr>
        <w:t>SENTI BIOSCIENCES,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76"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180"/>
        <w:jc w:val="center"/>
        <w:rPr/>
      </w:pPr>
      <w:r>
        <w:rPr/>
      </w:r>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obligations and the services to be provided are not distinct from those already transferred, the transaction was accounted for as a contract modification with no cumulative catch-up necessary.</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July 2023, the Company completed the research collaboration with Spark and the remaining upfront payment was recognized.</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there was a total of zero and $0.8 million, respectively, remaining of the upfront payment to be recognized over the remaining period of the research program.</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September 30, 2023 and 2022, the Company recorded revenue, which was previously included in deferred revenue at the beginning of each period, of $0.2 million and $0.7 million, respectively. For the nine months ended September 30, 2023 and 2022, the Company recorded revenue, which was previously included in the deferred revenue at the beginning of each period, of $0.8 million and $1.7 million, respectively. Contract asset balances related to unbilled revenue for our collaboration agreements were zero as of September 30, 2023 and 2022, and are presented within prepaid expenses and other current assets on the condensed consolidated balance sheets. </w:t>
      </w:r>
    </w:p>
    <w:p>
      <w:pPr>
        <w:pStyle w:val="TextBody"/>
        <w:bidi w:val="0"/>
        <w:spacing w:lineRule="auto" w:line="276"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Grant Income</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2021, the Small Business Innovation Research (“SBIR”) awarded the Company a grant in the amount of $2.0 million over two years subject to meeting certain terms and conditions. The purpose of the grant is to support the further development of SENTI-202 for acute myeloid leukemia towards clinical development.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Grant income was recognized when qualified research and development costs were incurred and the Company obtained reasonable assurance that the terms and conditions of the grant were met.</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2023, the Company completed the research and development project which was the subject of the SBIR grant.</w:t>
      </w:r>
    </w:p>
    <w:p>
      <w:pPr>
        <w:pStyle w:val="TextBody"/>
        <w:bidi w:val="0"/>
        <w:spacing w:lineRule="auto" w:line="276"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Entity-wide information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September 30, 2023, Customers A and B accounted for 75% and 25%, respectively, of revenue. During the three months ended September 30, 2022, Customers A and B accounted for 86% and 14%, respectively, of revenue. During the nine months ended September 30, 2023, Customers A and B accounted for 77% and 23%, respectively, of revenue. During the nine months ended September 30, 2022, Customers A and B accounted for 82% and 18%, respectively, of revenue.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All revenues were generated in the United States for the three and nine months ended September 30,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9. Stock-Based Compensation</w:t>
      </w:r>
    </w:p>
    <w:p>
      <w:pPr>
        <w:pStyle w:val="TextBody"/>
        <w:bidi w:val="0"/>
        <w:spacing w:lineRule="auto" w:line="276"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2016 Stock Incentive Plan (as Amended and Restated)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2016 Stock Incentive Plan (the “2016 Plan”) provides for the grant of incentive stock options, non-qualified stock options and restricted stock awards to employees, directors, and consultants of the Company.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granted under the 2016 Plan generally vest over four years and expire no later than ten years after the grant date.</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Merger, the 2016 Plan was terminated. No additional stock awards will be granted under the 2016 Plan. All awards previously granted and outstanding as of the effective date of the Merger, were adjusted to reflect the impact of the Merger, but otherwise remain in effect pursuant to their original terms. The shares underlying any award granted under the 2016 Plan that are forfeited back to or repurchased or reacquired by the Company, will revert to and again become available for issuance under the 2022 Plan.</w:t>
      </w:r>
    </w:p>
    <w:p>
      <w:pPr>
        <w:pStyle w:val="TextBody"/>
        <w:bidi w:val="0"/>
        <w:spacing w:lineRule="auto" w:line="276"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2022 Stock Incentive Plan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8, 2022, upon the Merger, the Company adopted a 2022 Stock Incentive Plan (the “2022 Plan”). The 2022 Plan provides for the grant of incentive stock options to employees, and for the grant of non-statutory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20"/>
        <w:jc w:val="center"/>
        <w:rPr>
          <w:rFonts w:ascii="Times New Roman;sans-serif" w:hAnsi="Times New Roman;sans-serif"/>
          <w:b/>
          <w:color w:val="000000"/>
          <w:sz w:val="20"/>
        </w:rPr>
      </w:pPr>
      <w:r>
        <w:rPr>
          <w:rFonts w:ascii="Times New Roman;sans-serif" w:hAnsi="Times New Roman;sans-serif"/>
          <w:b/>
          <w:color w:val="000000"/>
          <w:sz w:val="20"/>
        </w:rPr>
        <w:t>SENTI BIOSCIENCES,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76"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180"/>
        <w:jc w:val="center"/>
        <w:rPr/>
      </w:pPr>
      <w:r>
        <w:rPr/>
      </w:r>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stock appreciation rights, restricted stock awards, restricted stock unit awards, performance awards and other forms of awards to employees, directors and consultants.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exercise price of an option granted under the 2022 Plan shall not be less than the fair market value of a common stock share on the date of grant. With respect to a 10% stockholder, the exercise price of an option granted shall not be less than 110% of the fair value of the common stock share on the date of grant.</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options granted under the 2022 Plan generally vest over four years and expire no later than ten years after the grant date.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initially reserved 2,492,735 shares of common stock for issuance under the 2022 Plan. On the first day of each year commencing January 1, 2023, the 2022 Plan will automatically increase by 5% of the outstanding number of shares of common stock of the Company on the last day of the preceding calendar year or such lesser number of shares as approved by the Company’s Board of Directors prior to the effective date of the annual increase. In addition, the shares underlying any award granted under the 2016 Plan that are forfeited back to or repurchased or reacquired by the Company, will revert to and again become available for issuance under the 2022 Plan.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total number of shares of common stock available for issuance under the 2022 Plan is 2,134,033.</w:t>
      </w:r>
    </w:p>
    <w:p>
      <w:pPr>
        <w:pStyle w:val="TextBody"/>
        <w:bidi w:val="0"/>
        <w:spacing w:lineRule="auto" w:line="276"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2022 Inducement Equity Plan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5, 2022, the Company adopted a 2022 Inducement Equity Plan (the “2022 Inducement Plan”). The 2022 Plan provides for the grant of non-statutory stock options, stock appreciation rights, restricted stock awards, restricted stock unit awards, performance awards and other forms of awards to persons not previously an employee of the Company and its affiliates.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exercise price of an option granted under the 2022 Inducement Plan shall not be less than the fair market value of a common stock share on the date of grant.</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options granted under the 2022 Inducement Plan generally vest over four years and expire no later than ten years after the grant date.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initially reserved 2,000,000 shares of common stock for issuance under the 2022 Inducement Plan.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total number of shares of common stock available for issuance under the 2022 Inducement Plan is 1,176,816.</w:t>
      </w:r>
    </w:p>
    <w:p>
      <w:pPr>
        <w:pStyle w:val="TextBody"/>
        <w:bidi w:val="0"/>
        <w:spacing w:lineRule="auto" w:line="276"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2022 Employee Stock Purchase Plan</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 xml:space="preserve">On June 8, 2022, upon the Merger, the Company adopted a 2022 Employee Stock Purchase Plan (the “ESPP”). The ESPP allows eligible employees to purchase shares of the Company's common stock at a price equal to 85% of the lower of the fair market values of the stock on the first day of an offering or on the date of purchase. </w:t>
      </w:r>
      <w:r>
        <w:rPr>
          <w:rFonts w:ascii="Times New Roman;sans-serif" w:hAnsi="Times New Roman;sans-serif"/>
          <w:b w:val="false"/>
          <w:color w:val="000000"/>
          <w:sz w:val="20"/>
          <w:shd w:fill="FFFFFF" w:val="clear"/>
        </w:rPr>
        <w:t xml:space="preserve">The Company’s ESPP operates with rolling offering periods, </w:t>
      </w:r>
      <w:r>
        <w:rPr>
          <w:rFonts w:ascii="Times New Roman;sans-serif" w:hAnsi="Times New Roman;sans-serif"/>
          <w:b w:val="false"/>
          <w:color w:val="000000"/>
          <w:sz w:val="20"/>
        </w:rPr>
        <w:t>which are generally 24 months.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initially reserved 592,584 shares of common stock for issuance under the ESPP. On the first day of each year commencing January 1, 2023, the 2022 Plan will automatically increase by 1% of the outstanding number of shares of common stock of the Company on the last day of the preceding calendar year or such lesser number of shares as approved by the Company’s Board of Directors prior to the effective date of the annual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20"/>
        <w:jc w:val="center"/>
        <w:rPr>
          <w:rFonts w:ascii="Times New Roman;sans-serif" w:hAnsi="Times New Roman;sans-serif"/>
          <w:b/>
          <w:color w:val="000000"/>
          <w:sz w:val="20"/>
        </w:rPr>
      </w:pPr>
      <w:r>
        <w:rPr>
          <w:rFonts w:ascii="Times New Roman;sans-serif" w:hAnsi="Times New Roman;sans-serif"/>
          <w:b/>
          <w:color w:val="000000"/>
          <w:sz w:val="20"/>
        </w:rPr>
        <w:t>SENTI BIOSCIENCES,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76"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180"/>
        <w:jc w:val="center"/>
        <w:rPr/>
      </w:pPr>
      <w:r>
        <w:rPr/>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total number of shares of common stock available for issuance under the ESPP is 546,155.</w:t>
      </w:r>
    </w:p>
    <w:p>
      <w:pPr>
        <w:pStyle w:val="TextBody"/>
        <w:bidi w:val="0"/>
        <w:spacing w:lineRule="auto" w:line="276"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stock option activity and related information under all equity plans, excluding performance and market awards:</w:t>
      </w:r>
    </w:p>
    <w:tbl>
      <w:tblPr>
        <w:tblW w:w="10205" w:type="dxa"/>
        <w:jc w:val="left"/>
        <w:tblInd w:w="0" w:type="dxa"/>
        <w:tblLayout w:type="fixed"/>
        <w:tblCellMar>
          <w:top w:w="28" w:type="dxa"/>
          <w:left w:w="28" w:type="dxa"/>
          <w:bottom w:w="28" w:type="dxa"/>
          <w:right w:w="28" w:type="dxa"/>
        </w:tblCellMar>
      </w:tblPr>
      <w:tblGrid>
        <w:gridCol w:w="804"/>
        <w:gridCol w:w="680"/>
        <w:gridCol w:w="682"/>
        <w:gridCol w:w="109"/>
        <w:gridCol w:w="109"/>
        <w:gridCol w:w="109"/>
        <w:gridCol w:w="499"/>
        <w:gridCol w:w="484"/>
        <w:gridCol w:w="324"/>
        <w:gridCol w:w="109"/>
        <w:gridCol w:w="109"/>
        <w:gridCol w:w="109"/>
        <w:gridCol w:w="466"/>
        <w:gridCol w:w="1131"/>
        <w:gridCol w:w="242"/>
        <w:gridCol w:w="109"/>
        <w:gridCol w:w="109"/>
        <w:gridCol w:w="109"/>
        <w:gridCol w:w="635"/>
        <w:gridCol w:w="635"/>
        <w:gridCol w:w="637"/>
        <w:gridCol w:w="109"/>
        <w:gridCol w:w="109"/>
        <w:gridCol w:w="109"/>
        <w:gridCol w:w="456"/>
        <w:gridCol w:w="879"/>
        <w:gridCol w:w="343"/>
      </w:tblGrid>
      <w:tr>
        <w:trPr/>
        <w:tc>
          <w:tcPr>
            <w:tcW w:w="80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 (in thousands)</w:t>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4,191,426 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2,850,196 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(542,863)</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6,498,759 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at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1,853,574 </w:t>
            </w:r>
          </w:p>
        </w:tc>
        <w:tc>
          <w:tcPr>
            <w:tcW w:w="3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ans-serif" w:hAnsi="Times New Roman;sans-serif"/>
          <w:b w:val="false"/>
          <w:color w:val="000000"/>
          <w:sz w:val="20"/>
        </w:rPr>
        <w:t>The weighted-averag</w:t>
      </w:r>
      <w:r>
        <w:rPr>
          <w:rFonts w:ascii="Times New Roman;sans-serif" w:hAnsi="Times New Roman;sans-serif"/>
          <w:b w:val="false"/>
          <w:color w:val="000000"/>
          <w:sz w:val="20"/>
          <w:shd w:fill="FFFFFF" w:val="clear"/>
        </w:rPr>
        <w:t>e gra</w:t>
      </w:r>
      <w:r>
        <w:rPr>
          <w:rFonts w:ascii="Times New Roman;sans-serif" w:hAnsi="Times New Roman;sans-serif"/>
          <w:b w:val="false"/>
          <w:color w:val="000000"/>
          <w:sz w:val="20"/>
        </w:rPr>
        <w:t>nt date fair values of stock options granted during the nine months ended September 30, 2023 and 2022 were</w:t>
      </w:r>
      <w:r>
        <w:rPr>
          <w:color w:val="000000"/>
          <w:shd w:fill="FFFFFF" w:val="clear"/>
        </w:rPr>
        <w:t xml:space="preserve"> </w:t>
      </w:r>
      <w:r>
        <w:rPr>
          <w:rFonts w:ascii="Times New Roman;sans-serif" w:hAnsi="Times New Roman;sans-serif"/>
          <w:b w:val="false"/>
          <w:color w:val="000000"/>
          <w:sz w:val="20"/>
          <w:shd w:fill="FFFFFF" w:val="clear"/>
        </w:rPr>
        <w:t xml:space="preserve">$1.17 </w:t>
      </w:r>
      <w:r>
        <w:rPr>
          <w:rFonts w:ascii="Times New Roman;sans-serif" w:hAnsi="Times New Roman;sans-serif"/>
          <w:b w:val="false"/>
          <w:color w:val="000000"/>
          <w:sz w:val="20"/>
        </w:rPr>
        <w:t>and $1.27, respectively. The aggregate intrinsic values of stock options exercised during the nine months ended September 30, 2023 and 2022 were none and $2.4 million, respectively.</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unrecognized stock-based compensation expense related to stock options was approximately $6.5 million, expected to be recognized over a weighted-average period of 2.4 years.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Early Exercise of Stock Options into Restricted Stock</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For the nine months ended September 30, 2023 and 2022, the Company issued zero shares of common stock upon exercise of unvested stock options. As of September 30, 2023 and December 31, 2022, 67,520 and 105,500 shares were held by employees subject to repurchase at an aggregate price of</w:t>
      </w:r>
      <w:r>
        <w:rPr>
          <w:color w:val="000000"/>
          <w:shd w:fill="FFFFFF" w:val="clear"/>
        </w:rPr>
        <w:t xml:space="preserve"> </w:t>
      </w:r>
      <w:r>
        <w:rPr>
          <w:rFonts w:ascii="Times New Roman;sans-serif" w:hAnsi="Times New Roman;sans-serif"/>
          <w:b w:val="false"/>
          <w:color w:val="000000"/>
          <w:sz w:val="20"/>
          <w:shd w:fill="FFFFFF" w:val="clear"/>
        </w:rPr>
        <w:t>$0.2 million a</w:t>
      </w:r>
      <w:r>
        <w:rPr>
          <w:rFonts w:ascii="Times New Roman;sans-serif" w:hAnsi="Times New Roman;sans-serif"/>
          <w:b w:val="false"/>
          <w:color w:val="000000"/>
          <w:sz w:val="20"/>
        </w:rPr>
        <w:t>nd $0.3 million, respectively.</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Performance Awards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In connection with the Merger, on December 19, 2021, Legacy Senti approved 8,400,892 performance award options to existing employees that vest contingent upon the satisfaction of both a four-year service condition and a performance condition tied to the consummation of the Merger. The awards and the associated recognition of stock-based compensation were contingent on the Merger being consummated. As of the approval date of the performance awards, Legacy Senti did not have sufficient common stock available for issuance. Upon the Merger, the Company increased the number of shares authorized and 6,796,074 awards were granted on June 8, 2022. Refer to Note 7, </w:t>
      </w:r>
      <w:r>
        <w:rPr>
          <w:rFonts w:ascii="Times New Roman;sans-serif" w:hAnsi="Times New Roman;sans-serif"/>
          <w:b w:val="false"/>
          <w:i/>
          <w:color w:val="000000"/>
          <w:sz w:val="20"/>
        </w:rPr>
        <w:t>Stockholders’ Equity (Deficit),</w:t>
      </w:r>
      <w:r>
        <w:rPr>
          <w:color w:val="000000"/>
        </w:rPr>
        <w:t xml:space="preserve"> </w:t>
      </w:r>
      <w:r>
        <w:rPr>
          <w:rFonts w:ascii="Times New Roman;sans-serif" w:hAnsi="Times New Roman;sans-serif"/>
          <w:b w:val="false"/>
          <w:color w:val="000000"/>
          <w:sz w:val="20"/>
        </w:rPr>
        <w:t>for further details of the shares of common stock authorized.</w:t>
      </w:r>
    </w:p>
    <w:tbl>
      <w:tblPr>
        <w:tblW w:w="10205" w:type="dxa"/>
        <w:jc w:val="left"/>
        <w:tblInd w:w="0" w:type="dxa"/>
        <w:tblLayout w:type="fixed"/>
        <w:tblCellMar>
          <w:top w:w="28" w:type="dxa"/>
          <w:left w:w="28" w:type="dxa"/>
          <w:bottom w:w="28" w:type="dxa"/>
          <w:right w:w="28" w:type="dxa"/>
        </w:tblCellMar>
      </w:tblPr>
      <w:tblGrid>
        <w:gridCol w:w="804"/>
        <w:gridCol w:w="680"/>
        <w:gridCol w:w="682"/>
        <w:gridCol w:w="109"/>
        <w:gridCol w:w="109"/>
        <w:gridCol w:w="109"/>
        <w:gridCol w:w="499"/>
        <w:gridCol w:w="484"/>
        <w:gridCol w:w="324"/>
        <w:gridCol w:w="109"/>
        <w:gridCol w:w="109"/>
        <w:gridCol w:w="109"/>
        <w:gridCol w:w="466"/>
        <w:gridCol w:w="1131"/>
        <w:gridCol w:w="242"/>
        <w:gridCol w:w="109"/>
        <w:gridCol w:w="109"/>
        <w:gridCol w:w="109"/>
        <w:gridCol w:w="635"/>
        <w:gridCol w:w="635"/>
        <w:gridCol w:w="637"/>
        <w:gridCol w:w="109"/>
        <w:gridCol w:w="109"/>
        <w:gridCol w:w="109"/>
        <w:gridCol w:w="456"/>
        <w:gridCol w:w="879"/>
        <w:gridCol w:w="343"/>
      </w:tblGrid>
      <w:tr>
        <w:trPr/>
        <w:tc>
          <w:tcPr>
            <w:tcW w:w="80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 (in thousands)</w:t>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5,368,501 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2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(266,081)</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5,102,420 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at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1,699,129 </w:t>
            </w:r>
          </w:p>
        </w:tc>
        <w:tc>
          <w:tcPr>
            <w:tcW w:w="3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20"/>
        <w:jc w:val="center"/>
        <w:rPr>
          <w:rFonts w:ascii="Times New Roman;sans-serif" w:hAnsi="Times New Roman;sans-serif"/>
          <w:b/>
          <w:color w:val="000000"/>
          <w:sz w:val="20"/>
        </w:rPr>
      </w:pPr>
      <w:r>
        <w:rPr>
          <w:rFonts w:ascii="Times New Roman;sans-serif" w:hAnsi="Times New Roman;sans-serif"/>
          <w:b/>
          <w:color w:val="000000"/>
          <w:sz w:val="20"/>
        </w:rPr>
        <w:t>SENTI BIOSCIENCES,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76"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180"/>
        <w:jc w:val="center"/>
        <w:rPr/>
      </w:pPr>
      <w:r>
        <w:rPr/>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performance based options granted or exercised during the nine months ended September 30, 2023, and there were 6,796,074 performance based options granted and no performance based options exercised during the nine months ended September 30, 2022.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unrecognized stock-based compensation expense related to performance based options was approximately $4.7 million, expected to be recognized over a weighted-average period of 1.7 years.</w:t>
      </w:r>
    </w:p>
    <w:p>
      <w:pPr>
        <w:pStyle w:val="TextBody"/>
        <w:bidi w:val="0"/>
        <w:spacing w:lineRule="auto" w:line="276" w:before="0" w:after="180"/>
        <w:ind w:left="0" w:right="0" w:firstLine="360"/>
        <w:jc w:val="left"/>
        <w:rPr/>
      </w:pPr>
      <w:r>
        <w:rPr>
          <w:rFonts w:ascii="Times New Roman;sans-serif" w:hAnsi="Times New Roman;sans-serif"/>
          <w:b/>
          <w:i/>
          <w:color w:val="000000"/>
          <w:sz w:val="20"/>
        </w:rPr>
        <w:t>Market</w:t>
      </w:r>
      <w:r>
        <w:rPr>
          <w:color w:val="000000"/>
        </w:rPr>
        <w:t xml:space="preserve"> </w:t>
      </w:r>
      <w:r>
        <w:rPr>
          <w:rFonts w:ascii="Times New Roman;sans-serif" w:hAnsi="Times New Roman;sans-serif"/>
          <w:b/>
          <w:i/>
          <w:color w:val="000000"/>
          <w:sz w:val="20"/>
        </w:rPr>
        <w:t xml:space="preserve">Awards </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In connection with the Business Combination Agreement with DYNS, on December 19, 2021, Legacy Senti approved 605,451 market award options to its co-founder and Chief Executive Officer, Dr. Timothy Lu, that vest contingent upon the satisfaction of all three of the following conditions: a service condition, a performance condition tied to the consummation of the Merger, and market conditions. The market condition is achieved in four tranches, where 25% of the options will vest when the trading price of the Company’s stock is above various thresholds of price per share. The award and the associated recognition of stock-based compensation were contingent on the Merger being consummated. The estimated fair value of the market awards at the grant date was based on a Monte Carlo simulation valuation model. As of the approval date, Legacy Senti did not have sufficient common stock available for issuance to allow for exercise of the stock options. Upon the Merger, the Company increased the number of shares authorized and 315,748 awards were granted on June 8, 2022. Through September 30, 2023</w:t>
      </w:r>
      <w:r>
        <w:rPr>
          <w:rFonts w:ascii="Times New Roman;sans-serif" w:hAnsi="Times New Roman;sans-serif"/>
          <w:b w:val="false"/>
          <w:color w:val="000000"/>
          <w:sz w:val="20"/>
          <w:shd w:fill="FFFFFF" w:val="clear"/>
        </w:rPr>
        <w:t xml:space="preserve">, these market awards did not meet the vesting thresholds. </w:t>
      </w:r>
      <w:r>
        <w:rPr>
          <w:rFonts w:ascii="Times New Roman;sans-serif" w:hAnsi="Times New Roman;sans-serif"/>
          <w:b w:val="false"/>
          <w:color w:val="000000"/>
          <w:sz w:val="20"/>
        </w:rPr>
        <w:t xml:space="preserve">Refer to Note 7, </w:t>
      </w:r>
      <w:r>
        <w:rPr>
          <w:rFonts w:ascii="Times New Roman;sans-serif" w:hAnsi="Times New Roman;sans-serif"/>
          <w:b w:val="false"/>
          <w:i/>
          <w:color w:val="000000"/>
          <w:sz w:val="20"/>
        </w:rPr>
        <w:t>Stockholders’ Equity (Deficit),</w:t>
      </w:r>
      <w:r>
        <w:rPr>
          <w:color w:val="000000"/>
        </w:rPr>
        <w:t xml:space="preserve"> </w:t>
      </w:r>
      <w:r>
        <w:rPr>
          <w:rFonts w:ascii="Times New Roman;sans-serif" w:hAnsi="Times New Roman;sans-serif"/>
          <w:b w:val="false"/>
          <w:color w:val="000000"/>
          <w:sz w:val="20"/>
        </w:rPr>
        <w:t xml:space="preserve">for further details of the shares of common stock authorized.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were no market based options granted or exercised during the nine months ended September 30, 2023, and there were 315,748 market based options granted and no market based options exercised during the nine months ended September 30, 2022. </w:t>
      </w:r>
    </w:p>
    <w:p>
      <w:pPr>
        <w:pStyle w:val="TextBody"/>
        <w:bidi w:val="0"/>
        <w:spacing w:lineRule="auto" w:line="276"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September 30, 2023, the unrecognized stock-based compensation expense related to market based options was approximately $0.3 million, expected to be recognized over a weighted-average period of 0.7 years.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Restricted Stock Units </w:t>
      </w:r>
    </w:p>
    <w:p>
      <w:pPr>
        <w:pStyle w:val="TextBody"/>
        <w:bidi w:val="0"/>
        <w:spacing w:lineRule="auto" w:line="276"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Company’s restricted stock units activity and related information under all equity plans:</w:t>
      </w:r>
    </w:p>
    <w:tbl>
      <w:tblPr>
        <w:tblW w:w="9399" w:type="dxa"/>
        <w:jc w:val="left"/>
        <w:tblInd w:w="0" w:type="dxa"/>
        <w:tblLayout w:type="fixed"/>
        <w:tblCellMar>
          <w:top w:w="28" w:type="dxa"/>
          <w:left w:w="28" w:type="dxa"/>
          <w:bottom w:w="28" w:type="dxa"/>
          <w:right w:w="28" w:type="dxa"/>
        </w:tblCellMar>
      </w:tblPr>
      <w:tblGrid>
        <w:gridCol w:w="1082"/>
        <w:gridCol w:w="950"/>
        <w:gridCol w:w="953"/>
        <w:gridCol w:w="109"/>
        <w:gridCol w:w="109"/>
        <w:gridCol w:w="109"/>
        <w:gridCol w:w="844"/>
        <w:gridCol w:w="844"/>
        <w:gridCol w:w="847"/>
        <w:gridCol w:w="109"/>
        <w:gridCol w:w="109"/>
        <w:gridCol w:w="109"/>
        <w:gridCol w:w="776"/>
        <w:gridCol w:w="1881"/>
        <w:gridCol w:w="568"/>
      </w:tblGrid>
      <w:tr>
        <w:trPr/>
        <w:tc>
          <w:tcPr>
            <w:tcW w:w="108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447,948 </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5"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5"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(195,228)</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252,720 </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September 30, 2023, the unrecognized stock-based compensation expense related to restricted stock units was approximately $0.3 million, expected to be recognized over a weighted-average period of 1.0 years.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estimates the fair value of stock options using a Black-Scholes option-pricing model. The fair value of restricted stock is based on the fair value of the Company’s common stock on the grant date.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the assumptions below for the Black-Scholes option pricing model, which are subjective and generally require significant judgment. </w:t>
      </w:r>
    </w:p>
    <w:p>
      <w:pPr>
        <w:pStyle w:val="TextBody"/>
        <w:bidi w:val="0"/>
        <w:spacing w:lineRule="auto" w:line="276" w:before="0" w:after="180"/>
        <w:jc w:val="left"/>
        <w:rPr/>
      </w:pPr>
      <w:r>
        <w:rPr>
          <w:rFonts w:ascii="Times New Roman;sans-serif" w:hAnsi="Times New Roman;sans-serif"/>
          <w:b w:val="false"/>
          <w:i/>
          <w:color w:val="000000"/>
          <w:sz w:val="20"/>
        </w:rPr>
        <w:t xml:space="preserve">Fair Value of Common Stock </w:t>
      </w:r>
      <w:r>
        <w:rPr>
          <w:color w:val="000000"/>
        </w:rPr>
        <w:t>— </w:t>
      </w:r>
      <w:r>
        <w:rPr>
          <w:rFonts w:ascii="Times New Roman;sans-serif" w:hAnsi="Times New Roman;sans-serif"/>
          <w:b w:val="false"/>
          <w:color w:val="000000"/>
          <w:sz w:val="20"/>
        </w:rPr>
        <w:t xml:space="preserve">The fair value of the shares of common stock has historically been determined by the Company’s board of directors as there was no public market for the common stock. The board of directors determined the fair value of the common stock by considering a number of objective and subjective factors, including: third-party valuations of the Company’s common stock, the valuation of comparable companies, the Company’s operating and financial performance, and general and industry-specific economic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20"/>
        <w:jc w:val="center"/>
        <w:rPr>
          <w:rFonts w:ascii="Times New Roman;sans-serif" w:hAnsi="Times New Roman;sans-serif"/>
          <w:b/>
          <w:color w:val="000000"/>
          <w:sz w:val="20"/>
        </w:rPr>
      </w:pPr>
      <w:r>
        <w:rPr>
          <w:rFonts w:ascii="Times New Roman;sans-serif" w:hAnsi="Times New Roman;sans-serif"/>
          <w:b/>
          <w:color w:val="000000"/>
          <w:sz w:val="20"/>
        </w:rPr>
        <w:t>SENTI BIOSCIENCES,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76"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180"/>
        <w:jc w:val="center"/>
        <w:rPr/>
      </w:pPr>
      <w:r>
        <w:rPr/>
      </w:r>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outlook, amongst other factors. As of the closing of the Merger and going forward, the fair value of common stock will be based on the publicly traded market value.</w:t>
      </w:r>
    </w:p>
    <w:p>
      <w:pPr>
        <w:pStyle w:val="TextBody"/>
        <w:bidi w:val="0"/>
        <w:spacing w:lineRule="auto" w:line="276" w:before="0" w:after="180"/>
        <w:jc w:val="left"/>
        <w:rPr/>
      </w:pPr>
      <w:r>
        <w:rPr>
          <w:rFonts w:ascii="Times New Roman;sans-serif" w:hAnsi="Times New Roman;sans-serif"/>
          <w:b w:val="false"/>
          <w:i/>
          <w:color w:val="000000"/>
          <w:sz w:val="20"/>
        </w:rPr>
        <w:t>Expected Term</w:t>
      </w:r>
      <w:r>
        <w:rPr>
          <w:color w:val="000000"/>
        </w:rPr>
        <w:t xml:space="preserve"> — </w:t>
      </w:r>
      <w:r>
        <w:rPr>
          <w:rFonts w:ascii="Times New Roman;sans-serif" w:hAnsi="Times New Roman;sans-serif"/>
          <w:b w:val="false"/>
          <w:color w:val="000000"/>
          <w:sz w:val="20"/>
        </w:rPr>
        <w:t>The expected term represents the period that the Company’s stock options are expected to be outstanding and is determined using the simplified method (based on the mid-point between the vesting date and the end of the contractual term). The expected term for the ESPP purchase rights is the length of the purchase period.</w:t>
      </w:r>
    </w:p>
    <w:p>
      <w:pPr>
        <w:pStyle w:val="TextBody"/>
        <w:bidi w:val="0"/>
        <w:spacing w:lineRule="auto" w:line="276" w:before="0" w:after="180"/>
        <w:jc w:val="left"/>
        <w:rPr/>
      </w:pPr>
      <w:r>
        <w:rPr>
          <w:rFonts w:ascii="Times New Roman;sans-serif" w:hAnsi="Times New Roman;sans-serif"/>
          <w:b w:val="false"/>
          <w:i/>
          <w:color w:val="000000"/>
          <w:sz w:val="20"/>
        </w:rPr>
        <w:t>Volatility</w:t>
      </w:r>
      <w:r>
        <w:rPr>
          <w:color w:val="000000"/>
        </w:rPr>
        <w:t xml:space="preserve"> — </w:t>
      </w:r>
      <w:r>
        <w:rPr>
          <w:rFonts w:ascii="Times New Roman;sans-serif" w:hAnsi="Times New Roman;sans-serif"/>
          <w:b w:val="false"/>
          <w:color w:val="000000"/>
          <w:sz w:val="20"/>
        </w:rPr>
        <w:t xml:space="preserve">The expected volatility is based on the average historical volatility of comparable publicly-traded peer companies, over a period equal to the expected term of the stock option grants, as the Company was not publicly traded prior to the Merger and does not have a trading history for its common stock for a sufficient period of time subsequent to the Merger. </w:t>
      </w:r>
    </w:p>
    <w:p>
      <w:pPr>
        <w:pStyle w:val="TextBody"/>
        <w:bidi w:val="0"/>
        <w:spacing w:lineRule="auto" w:line="276" w:before="0" w:after="180"/>
        <w:jc w:val="left"/>
        <w:rPr/>
      </w:pPr>
      <w:r>
        <w:rPr>
          <w:rFonts w:ascii="Times New Roman;sans-serif" w:hAnsi="Times New Roman;sans-serif"/>
          <w:b w:val="false"/>
          <w:i/>
          <w:color w:val="000000"/>
          <w:sz w:val="20"/>
        </w:rPr>
        <w:t>Risk-free Rate</w:t>
      </w:r>
      <w:r>
        <w:rPr>
          <w:color w:val="000000"/>
        </w:rPr>
        <w:t xml:space="preserve"> — </w:t>
      </w:r>
      <w:r>
        <w:rPr>
          <w:rFonts w:ascii="Times New Roman;sans-serif" w:hAnsi="Times New Roman;sans-serif"/>
          <w:b w:val="false"/>
          <w:color w:val="000000"/>
          <w:sz w:val="20"/>
        </w:rPr>
        <w:t>The risk-free rate assumption is based on the U.S. Treasury zero-coupon issues in effect at the time of grant for periods corresponding with the expected term of the option.</w:t>
      </w:r>
    </w:p>
    <w:p>
      <w:pPr>
        <w:pStyle w:val="TextBody"/>
        <w:bidi w:val="0"/>
        <w:spacing w:lineRule="auto" w:line="276" w:before="0" w:after="180"/>
        <w:jc w:val="left"/>
        <w:rPr/>
      </w:pPr>
      <w:r>
        <w:rPr>
          <w:rFonts w:ascii="Times New Roman;sans-serif" w:hAnsi="Times New Roman;sans-serif"/>
          <w:b w:val="false"/>
          <w:i/>
          <w:color w:val="000000"/>
          <w:sz w:val="20"/>
        </w:rPr>
        <w:t>Dividends</w:t>
      </w:r>
      <w:r>
        <w:rPr>
          <w:color w:val="000000"/>
        </w:rPr>
        <w:t xml:space="preserve"> — </w:t>
      </w:r>
      <w:r>
        <w:rPr>
          <w:rFonts w:ascii="Times New Roman;sans-serif" w:hAnsi="Times New Roman;sans-serif"/>
          <w:b w:val="false"/>
          <w:color w:val="000000"/>
          <w:sz w:val="20"/>
        </w:rPr>
        <w:t>The Company has never paid dividends on its common stock and does not anticipate paying dividends on common stock. Therefore, the Company uses an expected dividend yield of zero.</w:t>
      </w:r>
    </w:p>
    <w:p>
      <w:pPr>
        <w:pStyle w:val="TextBody"/>
        <w:bidi w:val="0"/>
        <w:spacing w:lineRule="auto" w:line="276"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assumptions used to determine the grant date fair value of non-market based, stock options granted were as follows, presented on a weighted-average basis:</w:t>
      </w:r>
    </w:p>
    <w:tbl>
      <w:tblPr>
        <w:tblW w:w="5047" w:type="dxa"/>
        <w:jc w:val="left"/>
        <w:tblInd w:w="0" w:type="dxa"/>
        <w:tblLayout w:type="fixed"/>
        <w:tblCellMar>
          <w:top w:w="28" w:type="dxa"/>
          <w:left w:w="28" w:type="dxa"/>
          <w:bottom w:w="28" w:type="dxa"/>
          <w:right w:w="28" w:type="dxa"/>
        </w:tblCellMar>
      </w:tblPr>
      <w:tblGrid>
        <w:gridCol w:w="755"/>
        <w:gridCol w:w="663"/>
        <w:gridCol w:w="666"/>
        <w:gridCol w:w="109"/>
        <w:gridCol w:w="109"/>
        <w:gridCol w:w="109"/>
        <w:gridCol w:w="280"/>
        <w:gridCol w:w="280"/>
        <w:gridCol w:w="280"/>
        <w:gridCol w:w="280"/>
        <w:gridCol w:w="280"/>
        <w:gridCol w:w="280"/>
        <w:gridCol w:w="280"/>
        <w:gridCol w:w="280"/>
        <w:gridCol w:w="396"/>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76"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Total stock-based compensation expense was as follows (in thousands):</w:t>
      </w:r>
    </w:p>
    <w:tbl>
      <w:tblPr>
        <w:tblW w:w="9423" w:type="dxa"/>
        <w:jc w:val="left"/>
        <w:tblInd w:w="0" w:type="dxa"/>
        <w:tblLayout w:type="fixed"/>
        <w:tblCellMar>
          <w:top w:w="28" w:type="dxa"/>
          <w:left w:w="28" w:type="dxa"/>
          <w:bottom w:w="28" w:type="dxa"/>
          <w:right w:w="28" w:type="dxa"/>
        </w:tblCellMar>
      </w:tblPr>
      <w:tblGrid>
        <w:gridCol w:w="1250"/>
        <w:gridCol w:w="1098"/>
        <w:gridCol w:w="1101"/>
        <w:gridCol w:w="109"/>
        <w:gridCol w:w="109"/>
        <w:gridCol w:w="109"/>
        <w:gridCol w:w="257"/>
        <w:gridCol w:w="752"/>
        <w:gridCol w:w="133"/>
        <w:gridCol w:w="133"/>
        <w:gridCol w:w="133"/>
        <w:gridCol w:w="133"/>
        <w:gridCol w:w="257"/>
        <w:gridCol w:w="752"/>
        <w:gridCol w:w="133"/>
        <w:gridCol w:w="109"/>
        <w:gridCol w:w="109"/>
        <w:gridCol w:w="109"/>
        <w:gridCol w:w="237"/>
        <w:gridCol w:w="692"/>
        <w:gridCol w:w="122"/>
        <w:gridCol w:w="122"/>
        <w:gridCol w:w="122"/>
        <w:gridCol w:w="122"/>
        <w:gridCol w:w="237"/>
        <w:gridCol w:w="810"/>
        <w:gridCol w:w="173"/>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9,628 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11,590 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76" w:before="0" w:after="180"/>
        <w:ind w:left="0" w:right="0" w:firstLine="360"/>
        <w:jc w:val="left"/>
        <w:rPr/>
      </w:pPr>
      <w:r>
        <w:rPr>
          <w:rFonts w:ascii="Times New Roman;sans-serif" w:hAnsi="Times New Roman;sans-serif"/>
          <w:b w:val="false"/>
          <w:color w:val="000000"/>
          <w:sz w:val="20"/>
          <w:shd w:fill="FFFFFF" w:val="clear"/>
        </w:rPr>
        <w:t>In August 2023, in connection with the GeneFab transaction, the Board of Directors approved the modification of equity awards as part of termination of employment for the Co</w:t>
      </w:r>
      <w:r>
        <w:rPr>
          <w:rFonts w:ascii="Times New Roman;sans-serif" w:hAnsi="Times New Roman;sans-serif"/>
          <w:b w:val="false"/>
          <w:color w:val="000000"/>
          <w:sz w:val="20"/>
        </w:rPr>
        <w:t xml:space="preserve">mpany's employees transferred to GeneFab, including the Company’s Chief Technology Officer. The award modifications included the acceleration of certain non-vested stock options and the extension of the post-termination exercise period of certain vested stock options. The Company accounted for the award modifications under ASC 718, </w:t>
      </w:r>
      <w:r>
        <w:rPr>
          <w:rFonts w:ascii="Times New Roman;sans-serif" w:hAnsi="Times New Roman;sans-serif"/>
          <w:b w:val="false"/>
          <w:i/>
          <w:color w:val="000000"/>
          <w:sz w:val="20"/>
        </w:rPr>
        <w:t>Compensation – Stock Compensation</w:t>
      </w:r>
      <w:r>
        <w:rPr>
          <w:rFonts w:ascii="Times New Roman;sans-serif" w:hAnsi="Times New Roman;sans-serif"/>
          <w:b w:val="false"/>
          <w:color w:val="000000"/>
          <w:sz w:val="20"/>
        </w:rPr>
        <w:t xml:space="preserve">. During the three and nine months ended September 30, 2023, the Company recorded a one-time, noncash incremental compensation expense net of the required reversal of previously recognized compensation attributed to non-vested awards in the amount of </w:t>
      </w:r>
      <w:r>
        <w:rPr>
          <w:rFonts w:ascii="Times New Roman;sans-serif" w:hAnsi="Times New Roman;sans-serif"/>
          <w:b w:val="false"/>
          <w:color w:val="000000"/>
          <w:sz w:val="20"/>
          <w:shd w:fill="FFFFFF" w:val="clear"/>
        </w:rPr>
        <w:t>$(2.0) million</w:t>
      </w:r>
      <w:r>
        <w:rPr>
          <w:color w:val="000000"/>
        </w:rPr>
        <w:t xml:space="preserve"> </w:t>
      </w:r>
      <w:r>
        <w:rPr>
          <w:rFonts w:ascii="Times New Roman;sans-serif" w:hAnsi="Times New Roman;sans-serif"/>
          <w:b w:val="false"/>
          <w:color w:val="000000"/>
          <w:sz w:val="20"/>
        </w:rPr>
        <w:t xml:space="preserve">related to the equity awards modifications of the employees that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20"/>
        <w:jc w:val="center"/>
        <w:rPr>
          <w:rFonts w:ascii="Times New Roman;sans-serif" w:hAnsi="Times New Roman;sans-serif"/>
          <w:b/>
          <w:color w:val="000000"/>
          <w:sz w:val="20"/>
        </w:rPr>
      </w:pPr>
      <w:r>
        <w:rPr>
          <w:rFonts w:ascii="Times New Roman;sans-serif" w:hAnsi="Times New Roman;sans-serif"/>
          <w:b/>
          <w:color w:val="000000"/>
          <w:sz w:val="20"/>
        </w:rPr>
        <w:t>SENTI BIOSCIENCES,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76"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180"/>
        <w:jc w:val="center"/>
        <w:rPr/>
      </w:pPr>
      <w:r>
        <w:rPr/>
      </w:r>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extended offers of employment by GeneFab which was included in net income from discontinued operations in the condensed consolidated statement of operations. </w:t>
      </w:r>
    </w:p>
    <w:p>
      <w:pPr>
        <w:pStyle w:val="TextBody"/>
        <w:bidi w:val="0"/>
        <w:spacing w:lineRule="auto" w:line="276"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Total stock-based compensation expense from discontinued operations was $(2.1) million and $0.2 million for the three months ended September 30, 2023 and 2022, respectively, and $(2.0) million and $0.6 million for the nine months ended September 30, 2023 and 2022, respectively. </w:t>
      </w:r>
    </w:p>
    <w:p>
      <w:pPr>
        <w:pStyle w:val="TextBody"/>
        <w:bidi w:val="0"/>
        <w:spacing w:before="0" w:after="180"/>
        <w:ind w:left="0" w:right="0" w:firstLine="3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10. Income Tax</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 provision for income taxes was recorded for the three and nine months ended September 30, 2023 and 2022, respectively. Deferred tax assets generated from the Company’s net operating losses have been fully reserved, as the Company believes it is not more likely than not that the benefit will be realized due to the Company’s cumulative losses generated to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11. Net Loss Per Share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net loss available to common stockholders and the number of shares in the calculation of basic and diluted loss per share is as follows:</w:t>
      </w:r>
    </w:p>
    <w:tbl>
      <w:tblPr>
        <w:tblW w:w="10205" w:type="dxa"/>
        <w:jc w:val="center"/>
        <w:tblInd w:w="0" w:type="dxa"/>
        <w:tblLayout w:type="fixed"/>
        <w:tblCellMar>
          <w:top w:w="28" w:type="dxa"/>
          <w:left w:w="28" w:type="dxa"/>
          <w:bottom w:w="28" w:type="dxa"/>
          <w:right w:w="28" w:type="dxa"/>
        </w:tblCellMar>
      </w:tblPr>
      <w:tblGrid>
        <w:gridCol w:w="1666"/>
        <w:gridCol w:w="1202"/>
        <w:gridCol w:w="1206"/>
        <w:gridCol w:w="109"/>
        <w:gridCol w:w="109"/>
        <w:gridCol w:w="109"/>
        <w:gridCol w:w="240"/>
        <w:gridCol w:w="841"/>
        <w:gridCol w:w="111"/>
        <w:gridCol w:w="111"/>
        <w:gridCol w:w="111"/>
        <w:gridCol w:w="111"/>
        <w:gridCol w:w="240"/>
        <w:gridCol w:w="841"/>
        <w:gridCol w:w="111"/>
        <w:gridCol w:w="109"/>
        <w:gridCol w:w="109"/>
        <w:gridCol w:w="109"/>
        <w:gridCol w:w="240"/>
        <w:gridCol w:w="841"/>
        <w:gridCol w:w="109"/>
        <w:gridCol w:w="109"/>
        <w:gridCol w:w="109"/>
        <w:gridCol w:w="109"/>
        <w:gridCol w:w="240"/>
        <w:gridCol w:w="841"/>
        <w:gridCol w:w="162"/>
      </w:tblGrid>
      <w:tr>
        <w:trPr/>
        <w:tc>
          <w:tcPr>
            <w:tcW w:w="166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(34,677)</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(14,923)</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(16,640)</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loss per share,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44,473,400 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43,424,172 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44,275,741 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20,150,459 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from continuing operations,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from discontinued operations,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(0.26)</w:t>
            </w:r>
          </w:p>
        </w:tc>
      </w:tr>
      <w:tr>
        <w:trPr/>
        <w:tc>
          <w:tcPr>
            <w:tcW w:w="4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potential common stock securities were excluded from the computation of diluted net loss per share attributable to common stockholders for the periods presented because including them would have been anti-dilutive (on an as-converted basis):</w:t>
      </w:r>
    </w:p>
    <w:tbl>
      <w:tblPr>
        <w:tblW w:w="10205" w:type="dxa"/>
        <w:jc w:val="left"/>
        <w:tblInd w:w="0" w:type="dxa"/>
        <w:tblLayout w:type="fixed"/>
        <w:tblCellMar>
          <w:top w:w="28" w:type="dxa"/>
          <w:left w:w="28" w:type="dxa"/>
          <w:bottom w:w="28" w:type="dxa"/>
          <w:right w:w="28" w:type="dxa"/>
        </w:tblCellMar>
      </w:tblPr>
      <w:tblGrid>
        <w:gridCol w:w="1223"/>
        <w:gridCol w:w="1070"/>
        <w:gridCol w:w="1074"/>
        <w:gridCol w:w="109"/>
        <w:gridCol w:w="109"/>
        <w:gridCol w:w="109"/>
        <w:gridCol w:w="551"/>
        <w:gridCol w:w="296"/>
        <w:gridCol w:w="296"/>
        <w:gridCol w:w="291"/>
        <w:gridCol w:w="291"/>
        <w:gridCol w:w="291"/>
        <w:gridCol w:w="495"/>
        <w:gridCol w:w="298"/>
        <w:gridCol w:w="296"/>
        <w:gridCol w:w="109"/>
        <w:gridCol w:w="109"/>
        <w:gridCol w:w="109"/>
        <w:gridCol w:w="551"/>
        <w:gridCol w:w="278"/>
        <w:gridCol w:w="278"/>
        <w:gridCol w:w="274"/>
        <w:gridCol w:w="274"/>
        <w:gridCol w:w="274"/>
        <w:gridCol w:w="473"/>
        <w:gridCol w:w="280"/>
        <w:gridCol w:w="397"/>
      </w:tblGrid>
      <w:tr>
        <w:trPr/>
        <w:tc>
          <w:tcPr>
            <w:tcW w:w="122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8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to purchase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11,916,927</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8,757,118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11,916,927</w:t>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8,757,118</w:t>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early exercised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67,520</w:t>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67,520</w:t>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118,160</w:t>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252,720</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252,720</w:t>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2,000,000</w:t>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2,000,000</w:t>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2,000,000</w:t>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GeneFab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19,633,444</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19,633,444</w:t>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33,870,611</w:t>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10,875,278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33,870,611</w:t>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10,875,278</w:t>
            </w:r>
          </w:p>
        </w:tc>
      </w:tr>
    </w:tbl>
    <w:p>
      <w:pPr>
        <w:pStyle w:val="TextBody"/>
        <w:bidi w:val="0"/>
        <w:spacing w:lineRule="auto" w:line="276" w:before="0" w:after="180"/>
        <w:ind w:left="0" w:right="0" w:firstLine="360"/>
        <w:jc w:val="left"/>
        <w:rPr/>
      </w:pPr>
      <w:r>
        <w:rPr>
          <w:rFonts w:ascii="Times New Roman;sans-serif" w:hAnsi="Times New Roman;sans-serif"/>
          <w:b w:val="false"/>
          <w:color w:val="000000"/>
          <w:sz w:val="20"/>
        </w:rPr>
        <w:t xml:space="preserve">Refer to Note 3. </w:t>
      </w:r>
      <w:r>
        <w:rPr>
          <w:rFonts w:ascii="Times New Roman;sans-serif" w:hAnsi="Times New Roman;sans-serif"/>
          <w:b w:val="false"/>
          <w:i/>
          <w:color w:val="000000"/>
          <w:sz w:val="20"/>
        </w:rPr>
        <w:t>GeneFab Transaction</w:t>
      </w:r>
      <w:r>
        <w:rPr>
          <w:rFonts w:ascii="Times New Roman;sans-serif" w:hAnsi="Times New Roman;sans-serif"/>
          <w:b w:val="false"/>
          <w:color w:val="000000"/>
          <w:sz w:val="20"/>
        </w:rPr>
        <w:t>, for further details of the GeneFab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20"/>
        <w:jc w:val="center"/>
        <w:rPr>
          <w:rFonts w:ascii="Times New Roman;sans-serif" w:hAnsi="Times New Roman;sans-serif"/>
          <w:b/>
          <w:color w:val="000000"/>
          <w:sz w:val="20"/>
        </w:rPr>
      </w:pPr>
      <w:r>
        <w:rPr>
          <w:rFonts w:ascii="Times New Roman;sans-serif" w:hAnsi="Times New Roman;sans-serif"/>
          <w:b/>
          <w:color w:val="000000"/>
          <w:sz w:val="20"/>
        </w:rPr>
        <w:t>SENTI BIOSCIENCES,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76"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180"/>
        <w:jc w:val="center"/>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12. Commitments and Contingencies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the Company enters into contractual agreements with third parties that include non-cancelable payment obligations, for which the Company is liable in future periods. </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 xml:space="preserve">On June 3, 2021, the Company entered into a lease agreement for a new cGMP facility in Alameda, California to support planned initial clinical trials for our product candidates. The lease will expire in 2032 with future undiscounted operating lease payments of $46.0 million over an initial lease period of eleven years. Refer to Note 6, </w:t>
      </w:r>
      <w:r>
        <w:rPr>
          <w:rFonts w:ascii="Times New Roman;sans-serif" w:hAnsi="Times New Roman;sans-serif"/>
          <w:b w:val="false"/>
          <w:i/>
          <w:color w:val="000000"/>
          <w:sz w:val="20"/>
        </w:rPr>
        <w:t>Operating Leases</w:t>
      </w:r>
      <w:r>
        <w:rPr>
          <w:rFonts w:ascii="Times New Roman;sans-serif" w:hAnsi="Times New Roman;sans-serif"/>
          <w:b w:val="false"/>
          <w:color w:val="000000"/>
          <w:sz w:val="20"/>
        </w:rPr>
        <w:t>, for further details of the leases.</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 xml:space="preserve">In 2021, the Company entered into a three-year collaboration and option agreement with BlueRock Therapeutics LP (“BlueRock”) under which the Company granted BlueRock an option to acquire an exclusive or non-exclusive license to develop, manufacture and commercialize cell therapy products. Refer to Note 13, </w:t>
      </w:r>
      <w:r>
        <w:rPr>
          <w:rFonts w:ascii="Times New Roman;sans-serif" w:hAnsi="Times New Roman;sans-serif"/>
          <w:b w:val="false"/>
          <w:i/>
          <w:color w:val="000000"/>
          <w:sz w:val="20"/>
        </w:rPr>
        <w:t>Related Parties</w:t>
      </w:r>
      <w:r>
        <w:rPr>
          <w:rFonts w:ascii="Times New Roman;sans-serif" w:hAnsi="Times New Roman;sans-serif"/>
          <w:b w:val="false"/>
          <w:color w:val="000000"/>
          <w:sz w:val="20"/>
        </w:rPr>
        <w:t>, for details into the BlueRock agreement. In consideration for the option, the Company is responsible for up to $10.0 million in costs and expenses incurred over the three-year term.</w:t>
      </w:r>
    </w:p>
    <w:p>
      <w:pPr>
        <w:pStyle w:val="TextBody"/>
        <w:bidi w:val="0"/>
        <w:spacing w:lineRule="auto" w:line="276"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September 30, 2023, purchase commitments related to sponsored research agreements amounted to approximately $0.6 million.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license agreements under which it is obligated to make annual maintenance payments of $0.1 million and specified milestone and royalty payments. Future milestone and royalty payments under these agreements are not considered contractual obligations since the payments under these agreements are contingent upon future events, such as the Company’s achievement of specified development, regulatory, and sales milestones, or generating product sales. As of September 30, 2023, the Company is unable to estimate the timing or likelihood of achieving these milestones or generating future product sales.</w:t>
      </w:r>
    </w:p>
    <w:p>
      <w:pPr>
        <w:pStyle w:val="TextBody"/>
        <w:bidi w:val="0"/>
        <w:spacing w:lineRule="auto" w:line="276" w:before="0" w:after="180"/>
        <w:ind w:left="0" w:right="0" w:firstLine="360"/>
        <w:jc w:val="left"/>
        <w:rPr/>
      </w:pPr>
      <w:r>
        <w:rPr>
          <w:rFonts w:ascii="Times New Roman;sans-serif" w:hAnsi="Times New Roman;sans-serif"/>
          <w:b w:val="false"/>
          <w:color w:val="000000"/>
          <w:sz w:val="20"/>
          <w:shd w:fill="FFFFFF" w:val="clear"/>
        </w:rPr>
        <w:t xml:space="preserve">Following the Closing, former holders of Legacy Senti common stock and preferred stock may receive up to 2,000,000 additional shares of the Company’s common stock in the aggregate, in two equal tranches of 1,000,000 shares of common stock per tranche. Refer to Note 7, </w:t>
      </w:r>
      <w:r>
        <w:rPr>
          <w:rFonts w:ascii="Times New Roman;sans-serif" w:hAnsi="Times New Roman;sans-serif"/>
          <w:b w:val="false"/>
          <w:i/>
          <w:color w:val="000000"/>
          <w:sz w:val="20"/>
          <w:shd w:fill="FFFFFF" w:val="clear"/>
        </w:rPr>
        <w:t>Stockholders’ Equity (Deficit),</w:t>
      </w:r>
      <w:r>
        <w:rPr>
          <w:color w:val="000000"/>
          <w:shd w:fill="FFFFFF" w:val="clear"/>
        </w:rPr>
        <w:t xml:space="preserve"> </w:t>
      </w:r>
      <w:r>
        <w:rPr>
          <w:rFonts w:ascii="Times New Roman;sans-serif" w:hAnsi="Times New Roman;sans-serif"/>
          <w:b w:val="false"/>
          <w:color w:val="000000"/>
          <w:sz w:val="20"/>
          <w:shd w:fill="FFFFFF" w:val="clear"/>
        </w:rPr>
        <w:t>for further details of the contingent earnout liability.</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claims and assessments from time to time in the ordinary course of business but does not believe that any such matters, individually or in the aggregate, will have a material adverse effect on the Company’s financial position, results of operations, or cash flows.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and has never accrued any liabilities related to such obligations in its condensed consolidated financial statements.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13. Related Parties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NEA</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NEA held 4,429,725 shares of the Company’s common stock as of September 30, 2023 and December 31, 2022. NEA held one of the six seats on the Company’s Board of Directors as of September 30, 2023 and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20"/>
        <w:jc w:val="center"/>
        <w:rPr>
          <w:rFonts w:ascii="Times New Roman;sans-serif" w:hAnsi="Times New Roman;sans-serif"/>
          <w:b/>
          <w:color w:val="000000"/>
          <w:sz w:val="20"/>
        </w:rPr>
      </w:pPr>
      <w:r>
        <w:rPr>
          <w:rFonts w:ascii="Times New Roman;sans-serif" w:hAnsi="Times New Roman;sans-serif"/>
          <w:b/>
          <w:color w:val="000000"/>
          <w:sz w:val="20"/>
        </w:rPr>
        <w:t>SENTI BIOSCIENCES,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76"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180"/>
        <w:jc w:val="center"/>
        <w:rPr/>
      </w:pPr>
      <w:r>
        <w:rPr/>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Bayer Healthcare LLC</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May 19, 2022, Legacy Senti issued to Bayer a $5.2 million unsecured convertible promissory note (“the “May 2022 Note”). On June 8, 2022, the May 2022 Note was automatically cancelled and exchanged for 517,500 shares of Common Stock at a price of $10.00 per share.</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May 21, 2021, the Company entered into a collaboration and option agreement (“BlueRock Agreement”) with BlueRock, a wholly-owned subsidiary of Bayer, pursuant to which the Company granted to BlueRock an option (“BlueRock Option”), on a collaboration program-by-collaboration program basis, to obtain an exclusive or non-exclusive license to develop, manufacture and commercialize cell therapy products that contain cells of specified types and which incorporate an option gene circuit from such collaboration program or a closely related derivative gene circuit. The Company is responsible for up to $10 million in costs and expenses incurred in connection with the research plan and related activities to be conducted over a term of three years as specified in the collaboration and option agreement. If the Company and BlueRock agree to add new research activities to the research plan, then BlueRock will be obligated to reimburse the Company for the costs and expenses incurred that, together with costs and expenses incurred under the initial research plan, exceed $10 million.</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 xml:space="preserve">The Company concluded that the Agreement is not within the scope of ASC 808, </w:t>
      </w:r>
      <w:r>
        <w:rPr>
          <w:rFonts w:ascii="Times New Roman;sans-serif" w:hAnsi="Times New Roman;sans-serif"/>
          <w:b w:val="false"/>
          <w:i/>
          <w:color w:val="000000"/>
          <w:sz w:val="20"/>
        </w:rPr>
        <w:t>Collaborative Arrangements</w:t>
      </w:r>
      <w:r>
        <w:rPr>
          <w:rFonts w:ascii="Times New Roman;sans-serif" w:hAnsi="Times New Roman;sans-serif"/>
          <w:b w:val="false"/>
          <w:color w:val="000000"/>
          <w:sz w:val="20"/>
        </w:rPr>
        <w:t xml:space="preserve">, because the Company did not receive any consideration and therefore, is not exposed to both significant risks and rewards for the arrangement. The Company also determined that the agreement is also not currently within the scope of ASC 606 because the BlueRock Agreement does not currently meet the criteria of a contract with a customer, and will not be within the scope of ASC 606 until any consideration is paid. Potential future milestone payments and royalties are subject to BlueRock’s exercise of the BlueRock Option and execution of a commercial license agreement by both parties. Under the BlueRock Agreement, the specific financial terms for milestone payments and royalties will be negotiated and agreed to only after the option is exercised.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Bayer held 5,878,488 shares, of the Company’s common stock as of September 30, 2023 and December 31, 2022. Bayer held one of the six seats on the Company’s Board of Directors as of September 30, 2023 and December 31, 2022. Bayer’s parent company is Bayer AG, which served as the lead investor in our Series B financing prior to the Merger through its Leaps by Bayer unit. Accordingly, Bayer is considered a related party.</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Seer, Inc.</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the Company acquired lab automation equipment purchased from Seer, Inc. (“Seer”) (NASDAQ: SEER). Omid Farokhzad, a member of the Company’s board of directors is the Chief Executive Officer for Seer. The consideration of $0.2 million, plus interest, will be paid over a two-year period, and title will transfer to the Company upon final payment. The transaction was classified as a finance lease in accordance with ASC 842. </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GeneFab, LLC.</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 xml:space="preserve">As a result of the transaction with GeneFab (refer to Note 3. </w:t>
      </w:r>
      <w:r>
        <w:rPr>
          <w:rFonts w:ascii="Times New Roman;sans-serif" w:hAnsi="Times New Roman;sans-serif"/>
          <w:b w:val="false"/>
          <w:i/>
          <w:color w:val="000000"/>
          <w:sz w:val="20"/>
        </w:rPr>
        <w:t>GeneFab Transaction</w:t>
      </w:r>
      <w:r>
        <w:rPr>
          <w:rFonts w:ascii="Times New Roman;sans-serif" w:hAnsi="Times New Roman;sans-serif"/>
          <w:b w:val="false"/>
          <w:color w:val="000000"/>
          <w:sz w:val="20"/>
        </w:rPr>
        <w:t xml:space="preserve">), whereby Philip Lee, Ph.D., the former Co-Founder and Chief Technology Officer of the Company, assumed the role of Chief Executive Officer of GeneFab, GeneFab is a related party. In connection with the disposal of the business, the Company received the GeneFab Note Receivable and the GeneFab Economic Share and provided GeneFab with the GeneFab Option. Refer to Note 4. </w:t>
      </w:r>
      <w:r>
        <w:rPr>
          <w:rFonts w:ascii="Times New Roman;sans-serif" w:hAnsi="Times New Roman;sans-serif"/>
          <w:b w:val="false"/>
          <w:i/>
          <w:color w:val="000000"/>
          <w:sz w:val="20"/>
        </w:rPr>
        <w:t>Fair Value Measurement.</w:t>
      </w:r>
      <w:r>
        <w:rPr>
          <w:color w:val="000000"/>
        </w:rPr>
        <w:t xml:space="preserve">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subleased its manufacturing facility in Alameda to GeneFab and recorded sublease income of $0.9 million including variable costs charged for the three and nine months ended September 30, 2023. As of September 30, 2023, the Company had $1.2 million of sublease rent and other charges due from GeneFab which are included in GeneFab receivable on the condensed consolidated balance sheet.</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services agreement entered into with GeneFab, the Company is entitled to $18.9 million for future services under the agreement, of which $17.3 million remained in GeneFab prepaid expenses as of September 30, 2023. Additionally, amounts due from GeneFab related to costs incurred by Senti on its behalf were $1.4 million as of September 30 2023 and were recorded in GeneFab receivable on the condensed consolidated balance sheet. The Company incurred $1.2 million of research and development expenses under the services agreement during the three and nine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76" w:before="0" w:after="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20"/>
        <w:jc w:val="center"/>
        <w:rPr>
          <w:rFonts w:ascii="Times New Roman;sans-serif" w:hAnsi="Times New Roman;sans-serif"/>
          <w:b/>
          <w:color w:val="000000"/>
          <w:sz w:val="20"/>
        </w:rPr>
      </w:pPr>
      <w:r>
        <w:rPr>
          <w:rFonts w:ascii="Times New Roman;sans-serif" w:hAnsi="Times New Roman;sans-serif"/>
          <w:b/>
          <w:color w:val="000000"/>
          <w:sz w:val="20"/>
        </w:rPr>
        <w:t>SENTI BIOSCIENCES,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76"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180"/>
        <w:jc w:val="center"/>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14. Subsequent Events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6, 2023, the Company entered into a Collaboration and Option Agreement (the “Agreement”) with Celest Therapeutics (Shanghai) Co. Ltd., a limited company organized under the laws of the People’s Republic of China (“Celest”). Subject to the terms and conditions of the Agreement, the Company and Celest will enter into a collaboration under which Celest will lead a pilot trial of SENTI-301A in mainland China, with certain technical support from the Company. In addition, the Company agreed to grant an exclusive option to enter a license agreement with Celest to research, develop, manufacture and commercialize SENTI-301A in mainland China, Hong Kong, Macau, and Taiwan. Outside of these jurisdictions, the Company would retain its rights in SENTI-301A. Pursuant to the Agreement, and beginning with the exercise of the option and entering into a license agreement, the Company may become eligible to receive certain milestone payments, in an aggregate amount of $156 million, as well as certain tiered royalty payments. The Agreement contains representations, warranties and covenants of the Company and Celest that are customary for a transaction of this nature.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76"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Senti Biosciences, Inc. (“Senti”) entered into a business combination agreement (the “Agreement”) with Dynamics Special Purpose Corp. (“DYNS”) on December 19, 2021. The transactions contemplated by the terms of the Agreement were completed on June 8, 2022 (the “Closing”), in conjunction with which DYNS changed its name to Senti Biosciences, Inc. (hereafter referred to, collectively with its subsidiaries, as “Senti,” the “Company,” “we,” “us,” or “our,” unless the context otherwise requires). The transactions contemplated in the Agreement are collectively referred to as the “Merger.”</w:t>
      </w:r>
    </w:p>
    <w:p>
      <w:pPr>
        <w:pStyle w:val="TextBody"/>
        <w:bidi w:val="0"/>
        <w:spacing w:lineRule="auto" w:line="276"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our financial statements and the related notes included under Part I, Item 1 of this Quarterly Report on Form 10-Q (this “Quarterly Report”) as well as Senti’s audited consolidated financial statements and notes thereto included in the Annual Report on Form 10-K for the year ended December 31, 2022 (the “Annual Report”) and filed with the Securities and Exchange Commission (the “SEC”) on March 22, 2023. Certain information contained in the discussion and analysis set forth below includes forward-looking statements that involve risks and uncertainties.</w:t>
      </w:r>
    </w:p>
    <w:p>
      <w:pPr>
        <w:pStyle w:val="TextBody"/>
        <w:bidi w:val="0"/>
        <w:spacing w:lineRule="auto" w:line="276" w:before="0" w:after="180"/>
        <w:jc w:val="left"/>
        <w:rPr>
          <w:rFonts w:ascii="Times New Roman;sans-serif" w:hAnsi="Times New Roman;sans-serif"/>
          <w:b/>
          <w:i/>
          <w:color w:val="000000"/>
          <w:sz w:val="20"/>
        </w:rPr>
      </w:pPr>
      <w:r>
        <w:rPr>
          <w:rFonts w:ascii="Times New Roman;sans-serif" w:hAnsi="Times New Roman;sans-serif"/>
          <w:b/>
          <w:i/>
          <w:color w:val="000000"/>
          <w:sz w:val="20"/>
        </w:rPr>
        <w:t>Cautionary Statement Regarding Forward-Looking Statements</w:t>
      </w:r>
    </w:p>
    <w:p>
      <w:pPr>
        <w:pStyle w:val="TextBody"/>
        <w:bidi w:val="0"/>
        <w:spacing w:lineRule="auto" w:line="276"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This Quarterly Report includes “forward-looking statements” within the meaning of Section 27A of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Form 10</w:t>
        <w:noBreakHyphen/>
        <w:t>Q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“explore,”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Annual Report and Part II, Item 1A of this Quarterly Report on Form 10-Q filed with the U.S. Securities and Exchange Commission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 xml:space="preserve">Senti is a preclinical biotechnology company developing next-generation cell and gene therapies engineered with its gene circuit platform technologies to fight challenging diseases. Senti’s mission is to create a new generation of smarter therapies that can outmaneuver complex diseases in ways previously not implemented by conventional medicines. To accomplish this mission, Senti has built a synthetic biology platform that it believes may enable it to program next-generation cell and gene therapies with what it refers to as “gene circuits.” These gene circuits, which Senti created from novel and proprietary combinations of genetic parts, are designed to reprogram cells with biological logic to sense inputs, compute decisions and respond to their respective cellular environments. Senti’s gene circuit platform technologies can be applied in a modality-agnostic manner, with applicability to natural killer (NK) cells, T cells, tumor-infiltrating lymphocytes (“TILs”), stem cells including Hematopoietic Stem Cells (“HSCs”), </w:t>
      </w:r>
      <w:r>
        <w:rPr>
          <w:rFonts w:ascii="Times New Roman;sans-serif" w:hAnsi="Times New Roman;sans-serif"/>
          <w:b w:val="false"/>
          <w:i/>
          <w:color w:val="000000"/>
          <w:sz w:val="20"/>
        </w:rPr>
        <w:t>in vivo</w:t>
      </w:r>
      <w:r>
        <w:rPr>
          <w:color w:val="000000"/>
        </w:rPr>
        <w:t xml:space="preserve"> </w:t>
      </w:r>
      <w:r>
        <w:rPr>
          <w:rFonts w:ascii="Times New Roman;sans-serif" w:hAnsi="Times New Roman;sans-serif"/>
          <w:b w:val="false"/>
          <w:color w:val="000000"/>
          <w:sz w:val="20"/>
        </w:rPr>
        <w:t>gene therapy and messenger ribonucleic acid (mRNA). All of Senti’s current product candidates are in preclinical development. Senti’s lead product candidates utilize allogeneic chimeric antigen receptor (“CAR”) NK cells outfitted with its gene circuit technologies in several oncology indications with currently high unmet needs. Senti remains on track for having the Investigational New Drug (IND) application for SENTI-202 cleared by the FDA in the fourth quarter of 2023..</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net losses of $14.9 million and $16.6 million for the three months ended September 30, 2023 and 2022, respectively and $52.3 million and $40.0 million for the nine months ended September 30, 2023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2022, respectively. As of September 30, 2023 and December 31, 2022, we had cash, cash equivalents and short-term investments of $39.4 million and $98.6 million, respectively, and an accumulated deficit of $225.6 million and $173.3 million, respectively. Net cash flows used in operating activities were $45.4 million and $25.9 million during the nine months ended September 30, 2023 and 2022, respectively. Substantially all of our net losses resulted from costs incurred in connection with our research and development programs and from general and administrative costs associated with our operations. We expect to continue to incur significant losses for the foreseeable future.</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anticipate that our expenses and operating losses will increase substantially over the foreseeable future. The expected increase in expenses will be driven in large part by our ongoing activities, if and as we:</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continue to advance our gene circuit platform technologies;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continue preclinical development of our current and future product candidates and initiate additional preclinical studies;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commence clinical studies of our current and future product candidates;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acquire and license technologies aligned with our gene circuit platform technologies;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seek regulatory approval of our current and future product candidates;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expand our operational, financial, and management systems and increase personnel, including personnel to support our preclinical and clinical development, and commercialization efforts;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continue to develop, grow, maintain, enforce and defend our intellectual property portfolio;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incur additional legal, accounting, or other expenses in operating our business, including the additional costs associated with operating as a public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7, 2023, we completed a transaction with GeneFab, LLC (“GeneFab”), a new independent contract manufacturing and synthetic biology biofoundry focused on next-generation cell and gene therapies. We sold, assigned and transferred rights, title and interest in certain of our assets and contractual rights, including all of our equipment at our facilities in Alameda and certain of our intellectual property related to the schematics for and design of the Alameda facility. We subleased our recently constructed 92,000 square foot current good manufacturing practice facility in Alameda, California to GeneFab which will support the clinical manufacturing of our CAR-NK programs, including SENTI-202. The transaction provided us with additional capital in the form of a note receivable and rights to future manufacturing and research activities and reduced longer term operating expenses. In connection with the transaction, we are entitled to receive total consideration of $37.8 million before the end of 2025, of which $18.9 million was payable at closing and was netted against prepayment owed by us for manufacturing and research activities to GeneFab. The remaining $18.9 million will be paid to us in installments in 2024 and 2025, subject to satisfaction of certain conditions. The Company determined that the $18.9 million for future manufacturing and research activities, inclusive of the volume discount provided, was executed at market terms and does not result in any impact to the total consideration received from GeneFab for the disposal of the business.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also agreed to grant a license to GeneFab under certain of our intellectual property rights to conduct manufacturing services and to research, develop, manufacture and commercialize products outside of oncology, pursuant to a license agreement under negotiation.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GeneFab was provided an option to purchase up to 19,633,444 shares (i.e. up to $20.0 million worth) of our common stock at an exercise price of $1.01867 (the “GeneFab Option”).The GeneFab Option is exercisable for a period of 36 months following the execution of the license agreement. The GeneFab Option may be exercised in installments of common stock equal to no more than 19.9% of our outstanding shares of common stock as of the closing date of the transaction.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additional consideration for the transaction, we entered into a seller economic share agreement with GeneFab, pursuant to which we will be entitled to receive ten percent of the realized gains of GeneFab’s parent company arising and resulting from any cash or in-kind distributions from GeneFab in connection with a dividend or sale event, subject to the terms and conditions of the GeneFab Economic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 xml:space="preserve">As the assets and contractual rights transferred to GeneFab were determined to constitute a business as defined in ASC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xml:space="preserve">, we accounted for the disposal by applying the derecognition guidance in ASC 810, </w:t>
      </w:r>
      <w:r>
        <w:rPr>
          <w:rFonts w:ascii="Times New Roman;sans-serif" w:hAnsi="Times New Roman;sans-serif"/>
          <w:b w:val="false"/>
          <w:i/>
          <w:color w:val="000000"/>
          <w:sz w:val="20"/>
        </w:rPr>
        <w:t>Consolidations</w:t>
      </w:r>
      <w:r>
        <w:rPr>
          <w:rFonts w:ascii="Times New Roman;sans-serif" w:hAnsi="Times New Roman;sans-serif"/>
          <w:b w:val="false"/>
          <w:color w:val="000000"/>
          <w:sz w:val="20"/>
        </w:rPr>
        <w:t>, which requires that a gain or loss be recognized for the difference between the carrying value of the assets sold and the fair value of the consideration received (or receivable). In connection with the sale, we recognized a gain on disposal in the amount of $21.9 million in net income from discontinued operations during the three and nine months ended September 30, 2023, representing the excess of the fair value of the consideration received and receivable (net of the portion allocated to the GeneFab Option) over the carrying value of the assets sold of $5.5 million. The gain on disposal was primarily related to the grant of the non-oncology license to GeneFab which had no carrying value.</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 xml:space="preserve">In accordance with ASC 205, </w:t>
      </w:r>
      <w:r>
        <w:rPr>
          <w:rFonts w:ascii="Times New Roman;sans-serif" w:hAnsi="Times New Roman;sans-serif"/>
          <w:b w:val="false"/>
          <w:i/>
          <w:color w:val="000000"/>
          <w:sz w:val="20"/>
        </w:rPr>
        <w:t>Presentation of Financial Statements</w:t>
      </w:r>
      <w:r>
        <w:rPr>
          <w:rFonts w:ascii="Times New Roman;sans-serif" w:hAnsi="Times New Roman;sans-serif"/>
          <w:b w:val="false"/>
          <w:color w:val="000000"/>
          <w:sz w:val="20"/>
        </w:rPr>
        <w:t xml:space="preserve">, we determined that the disposal of the non-oncology business, including the equipment and transfer of in-house manufacturing services in the Alameda facility, represented a strategic shift that will have a major effect on our operations and financial results, thus meeting the criteria to be reported as discontinued operations. As a result, we have retrospectively restated our condensed consolidated balance sheet at December 31, 2022 and condensed consolidated statements of operations for the three and nine months ended September 30, 2022 to reflect the assets and liabilities and operating results, respectively, related to the disposed business in discontinued operations. We have chosen not to segregate the cash flows of the disposed business in the condensed consolidated statements of cash flows. Supplemental disclosures related to discontinued operations for the statements of cash flows have been provided in Note 3. </w:t>
      </w:r>
      <w:r>
        <w:rPr>
          <w:rFonts w:ascii="Times New Roman;sans-serif" w:hAnsi="Times New Roman;sans-serif"/>
          <w:b w:val="false"/>
          <w:i/>
          <w:color w:val="000000"/>
          <w:sz w:val="20"/>
        </w:rPr>
        <w:t xml:space="preserve">GeneFab Transaction </w:t>
      </w:r>
      <w:r>
        <w:rPr>
          <w:rFonts w:ascii="Times New Roman;sans-serif" w:hAnsi="Times New Roman;sans-serif"/>
          <w:b w:val="false"/>
          <w:color w:val="000000"/>
          <w:sz w:val="20"/>
        </w:rPr>
        <w:t>to our condensed consolidated financial statements. Unless otherwise specified, the results of operations refer to continuing operations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Components of Results of Operations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Total Revenue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have no therapeutic products approved for sale, and we have never generated any revenue from the sale of any therapeutic products. Total revenue consists of contract revenue related to research services provided to customers and grant income which is research funding received from grants.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generate product revenues will depend on our partners’ ability to replicate our results and the successful development and eventual commercialization of our product candidates, which we do not expect for the foreseeable future, if ever. We may also look to generate revenue from collaboration and license agreements in the future.</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expenses consist of research and development expenses, general and administrative expenses, and impairment of property and equipment.</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costs consist primarily of costs incurred for the discovery and preclinical development of our product candidates, which include: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 xml:space="preserve">employee-related expenses, including salaries, related benefits, and stock-based compensation expenses for employees engaged in research and development functions;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expenses incurred in connection with research, laboratory consumables and preclinical studies;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 xml:space="preserve">the cost of consultants engaged in research and development related services and the cost to manufacture drug products for use in our preclinical studies and clinical trials;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 xml:space="preserve">facilities, depreciation and other expenses, which include allocated expenses for rent and maintenance of facilities, insurance and supplies;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 xml:space="preserve">costs related to regulatory compliance; and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cost of annual license fees.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not historically tracked research and development expenses by program, with the exception of third-party research projects. We have various ongoing early-stage research and product candidate discovery projects and going forward, we expect to have various products undergoing clinical trials. Our internal resources, employees and infrastructure are not directly tied to any one research or product candidate discovery project and are typically deployed across multiple projects. As such, we do not maintain information regarding these costs incurred for these early-stage research and product candidate discovery programs on a project-specific basis.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direct external development program expenses reflect external costs attributable to our preclinical development candidates selected for further development as well as investigational new drug applications (“INDs”) and clinical development activities. Such expenses include third-party contract costs relating to manufacturing, clinical trial activities, translational medicine and toxicology activities. We do not allocate internal research and development costs which include personnel, facility costs, laboratory consumables and discovery and research related activities associated with our pipeline because these costs are deployed across multiple programs and our platform, and, as such, are not separately classified.</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expenses related to the assets sold to GeneFab are included in discontinued operations.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consisted of the following (in thousands):</w:t>
      </w:r>
    </w:p>
    <w:tbl>
      <w:tblPr>
        <w:tblW w:w="10205" w:type="dxa"/>
        <w:jc w:val="left"/>
        <w:tblInd w:w="0" w:type="dxa"/>
        <w:tblLayout w:type="fixed"/>
        <w:tblCellMar>
          <w:top w:w="28" w:type="dxa"/>
          <w:left w:w="28" w:type="dxa"/>
          <w:bottom w:w="28" w:type="dxa"/>
          <w:right w:w="28" w:type="dxa"/>
        </w:tblCellMar>
      </w:tblPr>
      <w:tblGrid>
        <w:gridCol w:w="1775"/>
        <w:gridCol w:w="1557"/>
        <w:gridCol w:w="1564"/>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6"/>
      </w:tblGrid>
      <w:tr>
        <w:trPr/>
        <w:tc>
          <w:tcPr>
            <w:tcW w:w="1775"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c>
      </w:tr>
      <w:tr>
        <w:trPr/>
        <w:tc>
          <w:tcPr>
            <w:tcW w:w="4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Personnel-related expenses, including 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services and 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and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activities are central to our business model. There are numerous factors associated with the successful commercialization of any of our product candidates, including future trial design and various regulatory requirements, many of which cannot be determined with accuracy at this time based on our stage of development. In addition, future regulatory factors beyond our control may impact our preclinical development programs. Product candidates in clinical development generally have higher development costs than those in preclinical stages of development, primarily due to the increased size and duration of clinical trials. At this time, we cannot reasonably estimate or know the nature, timing and costs of the efforts that will be necessary to complete the preclinical development of any of our product candidates. However, we expect that our research and development expenses and manufacturing costs will increase substantially in connection with our planned preclinical and clinical development activities in the near term and in the future.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successful development of our current and future product candidates is highly uncertain. This is due to numerous risks and uncertainties, including the following:</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negative or inconclusive results from our preclinical studies or clinical trials or the clinical trials of others for product candidates similar to ours, leading to a decision or requirement to conduct additional preclinical studies or clinical trials or abandon any or all of our programs;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product-related side effects experienced by participants in our clinical trials or by individuals using therapeutics similar to our product candidates;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delays in submitting IND applications or comparable foreign applications, or delays or failures to obtain the necessary approvals from regulators to commence a clinical trial, or a suspension or termination of a clinical trial once commenced;</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conditions imposed by the U.S. Food and Drug Administration (“FDA”) or other regulatory authorities regarding the scope or design of our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delays in enrolling research subjects in clinical trials;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high drop-out rates of research subjects;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inadequate supply or quality of product candidate components or materials or other supplies necessary for the conduct of our clinical trials;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Chemistry, manufacturing and control (“CMC”) challenges associated with manufacturing and scaling up biologic product candidates to ensure consistent quality, stability, purity and potency among different batches used in clinical trials;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greater-than-anticipated clinical trial costs;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poor potency or effectiveness of our product candidates during clinical trials;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unfavorable FDA or other regulatory authority inspection and review of a clinical trial or manufacturing site;</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failure of our third-party contractors or investigators to comply with regulatory requirements or otherwise meet their contractual obligations in a timely manner, or at all;</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delays and changes in regulatory requirements, policies and guidelines;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FDA or other regulatory authorities interpret our data differently than we do.</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change in the outcome of any of these variables may significantly impact the costs and timing associated with the development of our product candidates. We may never succeed in obtaining regulatory approval for any of our product candidates. </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General and Administrative Expenses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consist primarily of salaries and employee-related costs, including stock-based compensation, for personnel in executive, finance and other administrative functions. Other significant costs include legal fees relating to corporate matters, professional fees for accounting and consulting services and an allocation of facility-related costs.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general and administrative costs related to the assets sold to GeneFab are included in discontinued operations.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consisted of the following (in thousands):</w:t>
      </w:r>
    </w:p>
    <w:tbl>
      <w:tblPr>
        <w:tblW w:w="10205" w:type="dxa"/>
        <w:jc w:val="left"/>
        <w:tblInd w:w="0" w:type="dxa"/>
        <w:tblLayout w:type="fixed"/>
        <w:tblCellMar>
          <w:top w:w="28" w:type="dxa"/>
          <w:left w:w="28" w:type="dxa"/>
          <w:bottom w:w="28" w:type="dxa"/>
          <w:right w:w="28" w:type="dxa"/>
        </w:tblCellMar>
      </w:tblPr>
      <w:tblGrid>
        <w:gridCol w:w="1775"/>
        <w:gridCol w:w="1557"/>
        <w:gridCol w:w="1564"/>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6"/>
      </w:tblGrid>
      <w:tr>
        <w:trPr/>
        <w:tc>
          <w:tcPr>
            <w:tcW w:w="1775"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c>
      </w:tr>
      <w:tr>
        <w:trPr/>
        <w:tc>
          <w:tcPr>
            <w:tcW w:w="4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Personnel-related expenses, including 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services and 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and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general and administrative expenses will increase for the foreseeable future to support our increased research and development, manufacturing activities, and preclinical and clinical activities and to reflect increased costs associated with operating as a public company. These increased costs will likely include increased expenses for audit, legal, regulatory, tax and related services associated with maintaining compliance with exchange listing and SEC requirements, director and officer insurance premiums and investor relations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Impairment of Property and Equipment</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property and equipment relates to the impairment of our leasehold improvements for the Alameda facility subleased to GeneFab as a result of our asset group reassessment which triggered a need to perform an impairment analysis following the closing of the GeneFab transaction.</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Other Income (Expense)</w:t>
      </w:r>
    </w:p>
    <w:p>
      <w:pPr>
        <w:pStyle w:val="TextBody"/>
        <w:bidi w:val="0"/>
        <w:spacing w:lineRule="auto" w:line="276"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Interest Income, net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 consists of interest earned on our cash and cash equivalents, and short-term investments, if any, held during the year, net of interest expense.</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Contingent Earnout Liability</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fair value of the contingent earnout liability that was accounted for as a liability as of the date of the Merger is remeasured to fair value at each reporting period, resulting in a non-cash gain or loss.</w:t>
      </w:r>
    </w:p>
    <w:p>
      <w:pPr>
        <w:pStyle w:val="TextBody"/>
        <w:bidi w:val="0"/>
        <w:spacing w:lineRule="auto" w:line="276"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GeneFab Note Receivable - related party</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fair value of GeneFab note receivable consists of the remeasurement to fair value of the deferred consideration due from GeneFab for which we have elected the fair value option.</w:t>
      </w:r>
    </w:p>
    <w:p>
      <w:pPr>
        <w:pStyle w:val="TextBody"/>
        <w:bidi w:val="0"/>
        <w:spacing w:lineRule="auto" w:line="276"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GeneFab Economic Share - related party</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 in fair value of GeneFab Economic Share is a result of the change in the equity value of GeneFab. </w:t>
      </w:r>
    </w:p>
    <w:p>
      <w:pPr>
        <w:pStyle w:val="TextBody"/>
        <w:bidi w:val="0"/>
        <w:spacing w:lineRule="auto" w:line="276"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GeneFab Option - related party</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fair value of the GeneFab Option consists of the remeasurement to fair value of the derivative liability related to the option provided to GeneFab to acquire up to $20.0 million in shares of our common stock at a purchase price of $1.01867.</w:t>
      </w:r>
    </w:p>
    <w:p>
      <w:pPr>
        <w:pStyle w:val="TextBody"/>
        <w:bidi w:val="0"/>
        <w:spacing w:lineRule="auto" w:line="276"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Gain on Extinguishment of Convertible Notes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convertible note was extinguished as part of the Merger and the change in fair value was recorded in earnings.</w:t>
      </w:r>
    </w:p>
    <w:p>
      <w:pPr>
        <w:pStyle w:val="TextBody"/>
        <w:bidi w:val="0"/>
        <w:spacing w:lineRule="auto" w:line="276"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GeneFab sublease Income - related party</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is primarily comprised of income from our sublease with GeneFab.</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Net Income (Loss) from Discontinued Operations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discontinued operations includes the results of our manufacturing and research activities related to the Alameda facility through the disposition date of August 7, 2023.</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discontinued operations is summarized below (in thousands):</w:t>
      </w:r>
    </w:p>
    <w:tbl>
      <w:tblPr>
        <w:tblW w:w="9417" w:type="dxa"/>
        <w:jc w:val="left"/>
        <w:tblInd w:w="0" w:type="dxa"/>
        <w:tblLayout w:type="fixed"/>
        <w:tblCellMar>
          <w:top w:w="28" w:type="dxa"/>
          <w:left w:w="28" w:type="dxa"/>
          <w:bottom w:w="28" w:type="dxa"/>
          <w:right w:w="28" w:type="dxa"/>
        </w:tblCellMar>
      </w:tblPr>
      <w:tblGrid>
        <w:gridCol w:w="1434"/>
        <w:gridCol w:w="1260"/>
        <w:gridCol w:w="1266"/>
        <w:gridCol w:w="109"/>
        <w:gridCol w:w="109"/>
        <w:gridCol w:w="109"/>
        <w:gridCol w:w="211"/>
        <w:gridCol w:w="721"/>
        <w:gridCol w:w="109"/>
        <w:gridCol w:w="109"/>
        <w:gridCol w:w="109"/>
        <w:gridCol w:w="109"/>
        <w:gridCol w:w="211"/>
        <w:gridCol w:w="691"/>
        <w:gridCol w:w="109"/>
        <w:gridCol w:w="109"/>
        <w:gridCol w:w="109"/>
        <w:gridCol w:w="109"/>
        <w:gridCol w:w="211"/>
        <w:gridCol w:w="721"/>
        <w:gridCol w:w="109"/>
        <w:gridCol w:w="109"/>
        <w:gridCol w:w="109"/>
        <w:gridCol w:w="109"/>
        <w:gridCol w:w="211"/>
        <w:gridCol w:w="691"/>
        <w:gridCol w:w="154"/>
      </w:tblGrid>
      <w:tr>
        <w:trPr/>
        <w:tc>
          <w:tcPr>
            <w:tcW w:w="1434"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r>
          </w:p>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Nine Months 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disposal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Comparison of the Three Months Ended September 30, 2023 and 2022</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 of operations for the three months ended September 30, 2023 and 2022 (in thousands):</w:t>
      </w:r>
    </w:p>
    <w:tbl>
      <w:tblPr>
        <w:tblW w:w="10205" w:type="dxa"/>
        <w:jc w:val="left"/>
        <w:tblInd w:w="0" w:type="dxa"/>
        <w:tblLayout w:type="fixed"/>
        <w:tblCellMar>
          <w:top w:w="28" w:type="dxa"/>
          <w:left w:w="28" w:type="dxa"/>
          <w:bottom w:w="28" w:type="dxa"/>
          <w:right w:w="28" w:type="dxa"/>
        </w:tblCellMar>
      </w:tblPr>
      <w:tblGrid>
        <w:gridCol w:w="2005"/>
        <w:gridCol w:w="1751"/>
        <w:gridCol w:w="1687"/>
        <w:gridCol w:w="109"/>
        <w:gridCol w:w="109"/>
        <w:gridCol w:w="109"/>
        <w:gridCol w:w="211"/>
        <w:gridCol w:w="778"/>
        <w:gridCol w:w="109"/>
        <w:gridCol w:w="109"/>
        <w:gridCol w:w="109"/>
        <w:gridCol w:w="109"/>
        <w:gridCol w:w="211"/>
        <w:gridCol w:w="778"/>
        <w:gridCol w:w="109"/>
        <w:gridCol w:w="109"/>
        <w:gridCol w:w="109"/>
        <w:gridCol w:w="109"/>
        <w:gridCol w:w="211"/>
        <w:gridCol w:w="673"/>
        <w:gridCol w:w="109"/>
        <w:gridCol w:w="109"/>
        <w:gridCol w:w="109"/>
        <w:gridCol w:w="109"/>
        <w:gridCol w:w="109"/>
        <w:gridCol w:w="156"/>
      </w:tblGrid>
      <w:tr>
        <w:trPr/>
        <w:tc>
          <w:tcPr>
            <w:tcW w:w="2005"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5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(included related party cost of $1,186 and $ -,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earnout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GeneFab Note Receivable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GeneFab Economic Share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GeneFab Option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GeneFab sublease income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(14,923)</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(16,640)</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80"/>
        <w:ind w:left="0" w:right="0" w:firstLine="360"/>
        <w:jc w:val="left"/>
        <w:rPr/>
      </w:pPr>
      <w:r>
        <w:rPr>
          <w:rFonts w:ascii="Times New Roman;sans-serif" w:hAnsi="Times New Roman;sans-serif"/>
          <w:b w:val="false"/>
          <w:i/>
          <w:color w:val="000000"/>
          <w:sz w:val="20"/>
        </w:rPr>
        <w:t>Contract revenue</w:t>
      </w:r>
      <w:r>
        <w:rPr>
          <w:rFonts w:ascii="Times New Roman;sans-serif" w:hAnsi="Times New Roman;sans-serif"/>
          <w:b w:val="false"/>
          <w:color w:val="000000"/>
          <w:sz w:val="20"/>
        </w:rPr>
        <w:t>. For the three months ended September 30, 2023 and 2022, we generated revenue from contracts and license agreements of $0.3 million and $1.5 million, respectively. The</w:t>
      </w:r>
      <w:r>
        <w:rPr>
          <w:color w:val="000000"/>
          <w:shd w:fill="FFFFFF" w:val="clear"/>
        </w:rPr>
        <w:t xml:space="preserve"> </w:t>
      </w:r>
      <w:r>
        <w:rPr>
          <w:rFonts w:ascii="Times New Roman;sans-serif" w:hAnsi="Times New Roman;sans-serif"/>
          <w:b w:val="false"/>
          <w:color w:val="000000"/>
          <w:sz w:val="20"/>
          <w:shd w:fill="FFFFFF" w:val="clear"/>
        </w:rPr>
        <w:t>decrease</w:t>
      </w:r>
      <w:r>
        <w:rPr>
          <w:color w:val="000000"/>
        </w:rPr>
        <w:t xml:space="preserve"> </w:t>
      </w:r>
      <w:r>
        <w:rPr>
          <w:rFonts w:ascii="Times New Roman;sans-serif" w:hAnsi="Times New Roman;sans-serif"/>
          <w:b w:val="false"/>
          <w:color w:val="000000"/>
          <w:sz w:val="20"/>
        </w:rPr>
        <w:t xml:space="preserve">of $1.3 million was primarily due to decline in services provided under the Spark collaboration agreement. </w:t>
      </w:r>
    </w:p>
    <w:p>
      <w:pPr>
        <w:pStyle w:val="TextBody"/>
        <w:bidi w:val="0"/>
        <w:spacing w:lineRule="auto" w:line="276" w:before="0" w:after="180"/>
        <w:ind w:left="0" w:right="0" w:firstLine="360"/>
        <w:jc w:val="left"/>
        <w:rPr/>
      </w:pPr>
      <w:r>
        <w:rPr>
          <w:rFonts w:ascii="Times New Roman;sans-serif" w:hAnsi="Times New Roman;sans-serif"/>
          <w:b w:val="false"/>
          <w:i/>
          <w:color w:val="000000"/>
          <w:sz w:val="20"/>
        </w:rPr>
        <w:t>Grant income</w:t>
      </w:r>
      <w:r>
        <w:rPr>
          <w:rFonts w:ascii="Times New Roman;sans-serif" w:hAnsi="Times New Roman;sans-serif"/>
          <w:b w:val="false"/>
          <w:color w:val="000000"/>
          <w:sz w:val="20"/>
        </w:rPr>
        <w:t>. For the three months ended September 30, 2023 and 2022, we generated revenue from grants of $0.1 million and $0.3 million, respectively, from the SBIR SENTI-202 grant funding.</w:t>
      </w:r>
    </w:p>
    <w:p>
      <w:pPr>
        <w:pStyle w:val="TextBody"/>
        <w:bidi w:val="0"/>
        <w:spacing w:lineRule="auto" w:line="276" w:before="0" w:after="180"/>
        <w:ind w:left="0" w:right="0" w:firstLine="360"/>
        <w:jc w:val="left"/>
        <w:rPr/>
      </w:pPr>
      <w:r>
        <w:rPr>
          <w:rFonts w:ascii="Times New Roman;sans-serif" w:hAnsi="Times New Roman;sans-serif"/>
          <w:b w:val="false"/>
          <w:i/>
          <w:color w:val="000000"/>
          <w:sz w:val="20"/>
        </w:rPr>
        <w:t>Research and development expenses</w:t>
      </w:r>
      <w:r>
        <w:rPr>
          <w:rFonts w:ascii="Times New Roman;sans-serif" w:hAnsi="Times New Roman;sans-serif"/>
          <w:b w:val="false"/>
          <w:color w:val="000000"/>
          <w:sz w:val="20"/>
        </w:rPr>
        <w:t>. Research and development expenses were $9.1 million and $6.5 million for the three months ended September 30, 2023 and 2022, respectively. The increase o</w:t>
      </w:r>
      <w:r>
        <w:rPr>
          <w:rFonts w:ascii="Times New Roman;sans-serif" w:hAnsi="Times New Roman;sans-serif"/>
          <w:b w:val="false"/>
          <w:color w:val="000000"/>
          <w:sz w:val="20"/>
          <w:shd w:fill="FFFFFF" w:val="clear"/>
        </w:rPr>
        <w:t>f $2.6 million w</w:t>
      </w:r>
      <w:r>
        <w:rPr>
          <w:rFonts w:ascii="Times New Roman;sans-serif" w:hAnsi="Times New Roman;sans-serif"/>
          <w:b w:val="false"/>
          <w:color w:val="000000"/>
          <w:sz w:val="20"/>
        </w:rPr>
        <w:t>as primarily due to an increase of $0.9 million in personnel-related expenses and an increase of $1.7 million in professional services cost.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ind w:left="0" w:right="0" w:firstLine="360"/>
        <w:jc w:val="left"/>
        <w:rPr/>
      </w:pPr>
      <w:r>
        <w:rPr>
          <w:rFonts w:ascii="Times New Roman;sans-serif" w:hAnsi="Times New Roman;sans-serif"/>
          <w:b w:val="false"/>
          <w:i/>
          <w:color w:val="000000"/>
          <w:sz w:val="20"/>
        </w:rPr>
        <w:t>General and administrative expenses</w:t>
      </w:r>
      <w:r>
        <w:rPr>
          <w:rFonts w:ascii="Times New Roman;sans-serif" w:hAnsi="Times New Roman;sans-serif"/>
          <w:b w:val="false"/>
          <w:color w:val="000000"/>
          <w:sz w:val="20"/>
        </w:rPr>
        <w:t xml:space="preserve">. General and administrative expenses were $9.4 million and $10.0 million for the three months ended September 30, 2023 and 2022, respectively. The decrease of $0.6 million was primarily due to a decrease of $0.3 million in personnel-related expenses and a decrease of $1.3 million in professional services costs, offset by an increase of $0.8 million in depreciation and amortization costs as well as an increase of $0.5 million in facilities costs. </w:t>
      </w:r>
    </w:p>
    <w:p>
      <w:pPr>
        <w:pStyle w:val="TextBody"/>
        <w:bidi w:val="0"/>
        <w:spacing w:lineRule="auto" w:line="276" w:before="0" w:after="180"/>
        <w:ind w:left="0" w:right="0" w:firstLine="360"/>
        <w:jc w:val="left"/>
        <w:rPr/>
      </w:pPr>
      <w:r>
        <w:rPr>
          <w:rFonts w:ascii="Times New Roman;sans-serif" w:hAnsi="Times New Roman;sans-serif"/>
          <w:b w:val="false"/>
          <w:i/>
          <w:color w:val="000000"/>
          <w:sz w:val="20"/>
        </w:rPr>
        <w:t xml:space="preserve">Impairment of property and equipment: </w:t>
      </w:r>
      <w:r>
        <w:rPr>
          <w:rFonts w:ascii="Times New Roman;sans-serif" w:hAnsi="Times New Roman;sans-serif"/>
          <w:b w:val="false"/>
          <w:color w:val="000000"/>
          <w:sz w:val="20"/>
        </w:rPr>
        <w:t>Impairment of property and equipment was $25.7 million for the three months ended September 30, 2023 due to the impairment of our leasehold improvements related to the Alameda facility subleased to GeneFab as a result of our asset group reassessment which triggered a need to perform an impairment analysis following the closing of the GeneFab transaction.</w:t>
      </w:r>
    </w:p>
    <w:p>
      <w:pPr>
        <w:pStyle w:val="TextBody"/>
        <w:bidi w:val="0"/>
        <w:spacing w:lineRule="auto" w:line="276" w:before="0" w:after="180"/>
        <w:ind w:left="0" w:right="0" w:firstLine="360"/>
        <w:jc w:val="left"/>
        <w:rPr/>
      </w:pPr>
      <w:r>
        <w:rPr>
          <w:rFonts w:ascii="Times New Roman;sans-serif" w:hAnsi="Times New Roman;sans-serif"/>
          <w:b w:val="false"/>
          <w:i/>
          <w:color w:val="000000"/>
          <w:sz w:val="20"/>
        </w:rPr>
        <w:t>Interest income, net</w:t>
      </w:r>
      <w:r>
        <w:rPr>
          <w:rFonts w:ascii="Times New Roman;sans-serif" w:hAnsi="Times New Roman;sans-serif"/>
          <w:b w:val="false"/>
          <w:color w:val="000000"/>
          <w:sz w:val="20"/>
        </w:rPr>
        <w:t>. Interest income was $0.6 million and $0.5 million for the three months ended September 30, 2023 and 2022, respectively, due to higher average cash balances, as well as an increase in interest rates in the relevant periods.</w:t>
      </w:r>
    </w:p>
    <w:p>
      <w:pPr>
        <w:pStyle w:val="TextBody"/>
        <w:bidi w:val="0"/>
        <w:spacing w:lineRule="auto" w:line="276" w:before="0" w:after="180"/>
        <w:ind w:left="0" w:right="0" w:firstLine="360"/>
        <w:jc w:val="left"/>
        <w:rPr/>
      </w:pPr>
      <w:r>
        <w:rPr>
          <w:rFonts w:ascii="Times New Roman;sans-serif" w:hAnsi="Times New Roman;sans-serif"/>
          <w:b w:val="false"/>
          <w:i/>
          <w:color w:val="000000"/>
          <w:sz w:val="20"/>
        </w:rPr>
        <w:t>Change in fair value of contingent earnout liability</w:t>
      </w:r>
      <w:r>
        <w:rPr>
          <w:rFonts w:ascii="Times New Roman;sans-serif" w:hAnsi="Times New Roman;sans-serif"/>
          <w:b w:val="false"/>
          <w:color w:val="000000"/>
          <w:sz w:val="20"/>
        </w:rPr>
        <w:t xml:space="preserve">. For the three months ended September 30, 2023 and 2022, we recognized no gain and a gain of $0.1 million, respectively. The decrease of $0.1 million related to the decrease in the fair value of our common stock. </w:t>
      </w:r>
    </w:p>
    <w:p>
      <w:pPr>
        <w:pStyle w:val="TextBody"/>
        <w:bidi w:val="0"/>
        <w:spacing w:lineRule="auto" w:line="276" w:before="0" w:after="180"/>
        <w:ind w:left="0" w:right="0" w:firstLine="360"/>
        <w:jc w:val="left"/>
        <w:rPr/>
      </w:pPr>
      <w:r>
        <w:rPr>
          <w:rFonts w:ascii="Times New Roman;sans-serif" w:hAnsi="Times New Roman;sans-serif"/>
          <w:b w:val="false"/>
          <w:i/>
          <w:color w:val="000000"/>
          <w:sz w:val="20"/>
        </w:rPr>
        <w:t>Change in fair value of GeneFab Note Receivable - related party.</w:t>
      </w:r>
      <w:r>
        <w:rPr>
          <w:color w:val="000000"/>
        </w:rPr>
        <w:t xml:space="preserve"> </w:t>
      </w:r>
      <w:r>
        <w:rPr>
          <w:rFonts w:ascii="Times New Roman;sans-serif" w:hAnsi="Times New Roman;sans-serif"/>
          <w:b w:val="false"/>
          <w:color w:val="000000"/>
          <w:sz w:val="20"/>
        </w:rPr>
        <w:t>For the three months ended September 30, 2023, the change in fair value of GeneFab Note Receivable was a gain of $0.3 million primarily due to the change in the discount rate.</w:t>
      </w:r>
    </w:p>
    <w:p>
      <w:pPr>
        <w:pStyle w:val="TextBody"/>
        <w:bidi w:val="0"/>
        <w:spacing w:lineRule="auto" w:line="276" w:before="0" w:after="180"/>
        <w:ind w:left="0" w:right="0" w:firstLine="360"/>
        <w:jc w:val="left"/>
        <w:rPr/>
      </w:pPr>
      <w:r>
        <w:rPr>
          <w:rFonts w:ascii="Times New Roman;sans-serif" w:hAnsi="Times New Roman;sans-serif"/>
          <w:b w:val="false"/>
          <w:i/>
          <w:color w:val="000000"/>
          <w:sz w:val="20"/>
        </w:rPr>
        <w:t>Change in fair value of GeneFab Economic Share - related party.</w:t>
      </w:r>
      <w:r>
        <w:rPr>
          <w:color w:val="000000"/>
        </w:rPr>
        <w:t xml:space="preserve"> </w:t>
      </w:r>
      <w:r>
        <w:rPr>
          <w:rFonts w:ascii="Times New Roman;sans-serif" w:hAnsi="Times New Roman;sans-serif"/>
          <w:b w:val="false"/>
          <w:color w:val="000000"/>
          <w:sz w:val="20"/>
        </w:rPr>
        <w:t xml:space="preserve">For the three months ended September 30, 2023, the change in fair value of GeneFab Economic Share was a loss of $0.1 million primarily due to the change in the equity value of GeneFab. </w:t>
      </w:r>
    </w:p>
    <w:p>
      <w:pPr>
        <w:pStyle w:val="TextBody"/>
        <w:bidi w:val="0"/>
        <w:spacing w:lineRule="auto" w:line="276" w:before="0" w:after="180"/>
        <w:ind w:left="0" w:right="0" w:firstLine="360"/>
        <w:jc w:val="left"/>
        <w:rPr/>
      </w:pPr>
      <w:r>
        <w:rPr>
          <w:rFonts w:ascii="Times New Roman;sans-serif" w:hAnsi="Times New Roman;sans-serif"/>
          <w:b w:val="false"/>
          <w:i/>
          <w:color w:val="000000"/>
          <w:sz w:val="20"/>
        </w:rPr>
        <w:t xml:space="preserve">Change in fair value of GeneFab Option - related party. </w:t>
      </w:r>
      <w:r>
        <w:rPr>
          <w:rFonts w:ascii="Times New Roman;sans-serif" w:hAnsi="Times New Roman;sans-serif"/>
          <w:b w:val="false"/>
          <w:color w:val="000000"/>
          <w:sz w:val="20"/>
        </w:rPr>
        <w:t>For the three months ended September 30, 2023, the change in fair value of GeneFab Option was a gain of $5.6 million primarily due to the decrease in the fair value of our common stock, which is a significant input in the measurement of the GeneFab Option.</w:t>
      </w:r>
    </w:p>
    <w:p>
      <w:pPr>
        <w:pStyle w:val="TextBody"/>
        <w:bidi w:val="0"/>
        <w:spacing w:lineRule="auto" w:line="276" w:before="0" w:after="180"/>
        <w:ind w:left="0" w:right="0" w:firstLine="360"/>
        <w:jc w:val="left"/>
        <w:rPr/>
      </w:pPr>
      <w:r>
        <w:rPr>
          <w:rFonts w:ascii="Times New Roman;sans-serif" w:hAnsi="Times New Roman;sans-serif"/>
          <w:b w:val="false"/>
          <w:i/>
          <w:color w:val="000000"/>
          <w:sz w:val="20"/>
        </w:rPr>
        <w:t xml:space="preserve">GeneFab sublease income - related party. </w:t>
      </w:r>
      <w:r>
        <w:rPr>
          <w:rFonts w:ascii="Times New Roman;sans-serif" w:hAnsi="Times New Roman;sans-serif"/>
          <w:b w:val="false"/>
          <w:color w:val="000000"/>
          <w:sz w:val="20"/>
        </w:rPr>
        <w:t>For the three months ended September 30, 2023, sublease income was $0.9 million from the sublease to GeneFab for the Alameda facility.</w:t>
      </w:r>
    </w:p>
    <w:p>
      <w:pPr>
        <w:pStyle w:val="TextBody"/>
        <w:bidi w:val="0"/>
        <w:spacing w:lineRule="auto" w:line="276" w:before="0" w:after="180"/>
        <w:ind w:left="0" w:right="0" w:firstLine="360"/>
        <w:jc w:val="left"/>
        <w:rPr/>
      </w:pPr>
      <w:r>
        <w:rPr>
          <w:rFonts w:ascii="Times New Roman;sans-serif" w:hAnsi="Times New Roman;sans-serif"/>
          <w:b w:val="false"/>
          <w:i/>
          <w:color w:val="000000"/>
          <w:sz w:val="20"/>
        </w:rPr>
        <w:t xml:space="preserve">Net income (loss) from discontinued operations. </w:t>
      </w:r>
      <w:r>
        <w:rPr>
          <w:rFonts w:ascii="Times New Roman;sans-serif" w:hAnsi="Times New Roman;sans-serif"/>
          <w:b w:val="false"/>
          <w:color w:val="000000"/>
          <w:sz w:val="20"/>
        </w:rPr>
        <w:t xml:space="preserve">Net income from discontinued operations was $21.7 million for the three months ended September 30, 2023, compared to net loss from discontinued operations of $2.3 million for the three months ended September 30, 2022. The increase was primarily due to the gain of $21.9 million on the disposal of the assets sold to GeneFab and a decrease of $2.3 million in stock-based compensation mainly due to the modification of equity awards for terminated employees. </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Comparison of the Nine Months Ended September 30, 2023 and 2022</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 of operations for the nine months ended September 30, 2023 and 2022 (in thousands):</w:t>
      </w:r>
    </w:p>
    <w:tbl>
      <w:tblPr>
        <w:tblW w:w="10205" w:type="dxa"/>
        <w:jc w:val="left"/>
        <w:tblInd w:w="0" w:type="dxa"/>
        <w:tblLayout w:type="fixed"/>
        <w:tblCellMar>
          <w:top w:w="28" w:type="dxa"/>
          <w:left w:w="28" w:type="dxa"/>
          <w:bottom w:w="28" w:type="dxa"/>
          <w:right w:w="28" w:type="dxa"/>
        </w:tblCellMar>
      </w:tblPr>
      <w:tblGrid>
        <w:gridCol w:w="1970"/>
        <w:gridCol w:w="1719"/>
        <w:gridCol w:w="1652"/>
        <w:gridCol w:w="109"/>
        <w:gridCol w:w="109"/>
        <w:gridCol w:w="109"/>
        <w:gridCol w:w="211"/>
        <w:gridCol w:w="777"/>
        <w:gridCol w:w="109"/>
        <w:gridCol w:w="109"/>
        <w:gridCol w:w="109"/>
        <w:gridCol w:w="109"/>
        <w:gridCol w:w="211"/>
        <w:gridCol w:w="777"/>
        <w:gridCol w:w="109"/>
        <w:gridCol w:w="109"/>
        <w:gridCol w:w="109"/>
        <w:gridCol w:w="109"/>
        <w:gridCol w:w="211"/>
        <w:gridCol w:w="777"/>
        <w:gridCol w:w="109"/>
        <w:gridCol w:w="109"/>
        <w:gridCol w:w="109"/>
        <w:gridCol w:w="109"/>
        <w:gridCol w:w="109"/>
        <w:gridCol w:w="156"/>
      </w:tblGrid>
      <w:tr>
        <w:trPr/>
        <w:tc>
          <w:tcPr>
            <w:tcW w:w="197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5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(included related party cost of $1,186 and $ -,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earnout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GeneFab Note Receivable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GeneFab Economic Share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GeneFab Option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GeneFab sublease income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(52,342)</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(12,342)</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80"/>
        <w:ind w:left="0" w:right="0" w:firstLine="360"/>
        <w:jc w:val="left"/>
        <w:rPr/>
      </w:pPr>
      <w:r>
        <w:rPr>
          <w:rFonts w:ascii="Times New Roman;sans-serif" w:hAnsi="Times New Roman;sans-serif"/>
          <w:b w:val="false"/>
          <w:i/>
          <w:color w:val="000000"/>
          <w:sz w:val="20"/>
        </w:rPr>
        <w:t>Contract revenue</w:t>
      </w:r>
      <w:r>
        <w:rPr>
          <w:rFonts w:ascii="Times New Roman;sans-serif" w:hAnsi="Times New Roman;sans-serif"/>
          <w:b w:val="false"/>
          <w:color w:val="000000"/>
          <w:sz w:val="20"/>
        </w:rPr>
        <w:t>. For the nine months ended September 30, 2023 and 2022, we generated revenue from contracts and license agreements of $2.0 million and $3.5 million, respectively. The decrease of $1.5 million was primarily due to decline in services provided under the Spark collaboration agreement.</w:t>
      </w:r>
    </w:p>
    <w:p>
      <w:pPr>
        <w:pStyle w:val="TextBody"/>
        <w:bidi w:val="0"/>
        <w:spacing w:lineRule="auto" w:line="276" w:before="0" w:after="180"/>
        <w:ind w:left="0" w:right="0" w:firstLine="360"/>
        <w:jc w:val="left"/>
        <w:rPr/>
      </w:pPr>
      <w:r>
        <w:rPr>
          <w:rFonts w:ascii="Times New Roman;sans-serif" w:hAnsi="Times New Roman;sans-serif"/>
          <w:b w:val="false"/>
          <w:i/>
          <w:color w:val="000000"/>
          <w:sz w:val="20"/>
        </w:rPr>
        <w:t>Grant income</w:t>
      </w:r>
      <w:r>
        <w:rPr>
          <w:rFonts w:ascii="Times New Roman;sans-serif" w:hAnsi="Times New Roman;sans-serif"/>
          <w:b w:val="false"/>
          <w:color w:val="000000"/>
          <w:sz w:val="20"/>
        </w:rPr>
        <w:t>. For the nine months ended September 30, 2023 and 2022, we generated revenue from grants of $0.6 million and $0.8 million, respectively, from the SBIR SENTI-202 grant funding.</w:t>
      </w:r>
    </w:p>
    <w:p>
      <w:pPr>
        <w:pStyle w:val="TextBody"/>
        <w:bidi w:val="0"/>
        <w:spacing w:lineRule="auto" w:line="276" w:before="0" w:after="180"/>
        <w:ind w:left="0" w:right="0" w:firstLine="360"/>
        <w:jc w:val="left"/>
        <w:rPr/>
      </w:pPr>
      <w:r>
        <w:rPr>
          <w:rFonts w:ascii="Times New Roman;sans-serif" w:hAnsi="Times New Roman;sans-serif"/>
          <w:b w:val="false"/>
          <w:i/>
          <w:color w:val="000000"/>
          <w:sz w:val="20"/>
        </w:rPr>
        <w:t>Research and development expenses</w:t>
      </w:r>
      <w:r>
        <w:rPr>
          <w:rFonts w:ascii="Times New Roman;sans-serif" w:hAnsi="Times New Roman;sans-serif"/>
          <w:b w:val="false"/>
          <w:color w:val="000000"/>
          <w:sz w:val="20"/>
        </w:rPr>
        <w:t xml:space="preserve">. Research and development expenses were $23.0 million and $21.1 million for the nine months ended September 30, 2023 and 2022, respectively. The increase of $1.9 million was primarily due to an increase of $1.0 million in personnel-related expenses, an increase of $0.8 million in facility costs, and an increase of $0.3 million in other costs, partially offset by a decrease of $0.1 million in professional services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ind w:left="0" w:right="0" w:firstLine="360"/>
        <w:jc w:val="left"/>
        <w:rPr/>
      </w:pPr>
      <w:r>
        <w:rPr>
          <w:rFonts w:ascii="Times New Roman;sans-serif" w:hAnsi="Times New Roman;sans-serif"/>
          <w:b w:val="false"/>
          <w:i/>
          <w:color w:val="000000"/>
          <w:sz w:val="20"/>
        </w:rPr>
        <w:t>General and administrative expenses</w:t>
      </w:r>
      <w:r>
        <w:rPr>
          <w:rFonts w:ascii="Times New Roman;sans-serif" w:hAnsi="Times New Roman;sans-serif"/>
          <w:b w:val="false"/>
          <w:color w:val="000000"/>
          <w:sz w:val="20"/>
        </w:rPr>
        <w:t>. General and administrative expenses were $27.9 million and $28.4 million for the nine months ended September 30, 2023 and 2022, respectively. The decrease of $0.5 million was primarily due to a decrease of $2.0 million in personnel-related expenses, a decrease of $0.9 million in professional services costs, offset by an increase of $0.6 million in insurance and an increase of $1.2 million in depreciation and amortization.</w:t>
      </w:r>
    </w:p>
    <w:p>
      <w:pPr>
        <w:pStyle w:val="TextBody"/>
        <w:bidi w:val="0"/>
        <w:spacing w:lineRule="auto" w:line="276" w:before="0" w:after="180"/>
        <w:ind w:left="0" w:right="0" w:firstLine="360"/>
        <w:jc w:val="left"/>
        <w:rPr/>
      </w:pPr>
      <w:r>
        <w:rPr>
          <w:rFonts w:ascii="Times New Roman;sans-serif" w:hAnsi="Times New Roman;sans-serif"/>
          <w:b w:val="false"/>
          <w:i/>
          <w:color w:val="000000"/>
          <w:sz w:val="20"/>
        </w:rPr>
        <w:t xml:space="preserve">Impairment of Property and Equipment. </w:t>
      </w:r>
      <w:r>
        <w:rPr>
          <w:rFonts w:ascii="Times New Roman;sans-serif" w:hAnsi="Times New Roman;sans-serif"/>
          <w:b w:val="false"/>
          <w:color w:val="000000"/>
          <w:sz w:val="20"/>
        </w:rPr>
        <w:t>Impairment of property and equipment of $25.7 million for the nine months ended September 30, 2023 was due to the impairment of leasehold improvements related to our Alameda facility subleased to GeneFab as a result of our asset group reassessment which triggered a need to perform an impairment analysis following the closing of the GeneFab transaction.</w:t>
      </w:r>
    </w:p>
    <w:p>
      <w:pPr>
        <w:pStyle w:val="TextBody"/>
        <w:bidi w:val="0"/>
        <w:spacing w:lineRule="auto" w:line="276" w:before="0" w:after="180"/>
        <w:ind w:left="0" w:right="0" w:firstLine="360"/>
        <w:jc w:val="left"/>
        <w:rPr/>
      </w:pPr>
      <w:r>
        <w:rPr>
          <w:rFonts w:ascii="Times New Roman;sans-serif" w:hAnsi="Times New Roman;sans-serif"/>
          <w:b w:val="false"/>
          <w:i/>
          <w:color w:val="000000"/>
          <w:sz w:val="20"/>
        </w:rPr>
        <w:t>Interest Income, net.</w:t>
      </w:r>
      <w:r>
        <w:rPr>
          <w:color w:val="000000"/>
        </w:rPr>
        <w:t xml:space="preserve"> </w:t>
      </w:r>
      <w:r>
        <w:rPr>
          <w:rFonts w:ascii="Times New Roman;sans-serif" w:hAnsi="Times New Roman;sans-serif"/>
          <w:b w:val="false"/>
          <w:color w:val="000000"/>
          <w:sz w:val="20"/>
        </w:rPr>
        <w:t>Interest income was $2.4 million and $0.6 million for the nine months ended September 30, 2023 and 2022, respectively, due to higher average cash balances, as well as an increase in interest rates in the relevant periods.</w:t>
      </w:r>
    </w:p>
    <w:p>
      <w:pPr>
        <w:pStyle w:val="TextBody"/>
        <w:bidi w:val="0"/>
        <w:spacing w:lineRule="auto" w:line="276" w:before="0" w:after="180"/>
        <w:ind w:left="0" w:right="0" w:firstLine="360"/>
        <w:jc w:val="left"/>
        <w:rPr/>
      </w:pPr>
      <w:r>
        <w:rPr>
          <w:rFonts w:ascii="Times New Roman;sans-serif" w:hAnsi="Times New Roman;sans-serif"/>
          <w:b w:val="false"/>
          <w:i/>
          <w:color w:val="000000"/>
          <w:sz w:val="20"/>
        </w:rPr>
        <w:t>Change in fair value of contingent earnout liability</w:t>
      </w:r>
      <w:r>
        <w:rPr>
          <w:rFonts w:ascii="Times New Roman;sans-serif" w:hAnsi="Times New Roman;sans-serif"/>
          <w:b w:val="false"/>
          <w:color w:val="000000"/>
          <w:sz w:val="20"/>
        </w:rPr>
        <w:t>. For the nine months ended September 30, 2023 and 2022, we recognized a non-cash gain of $0.2 million and $8.8 million, respectively. The decrease of $8.6 million related to the decrease in the fair value of our common stock.</w:t>
      </w:r>
    </w:p>
    <w:p>
      <w:pPr>
        <w:pStyle w:val="TextBody"/>
        <w:bidi w:val="0"/>
        <w:spacing w:lineRule="auto" w:line="276" w:before="0" w:after="180"/>
        <w:ind w:left="0" w:right="0" w:firstLine="360"/>
        <w:jc w:val="left"/>
        <w:rPr/>
      </w:pPr>
      <w:r>
        <w:rPr>
          <w:rFonts w:ascii="Times New Roman;sans-serif" w:hAnsi="Times New Roman;sans-serif"/>
          <w:b w:val="false"/>
          <w:i/>
          <w:color w:val="000000"/>
          <w:sz w:val="20"/>
        </w:rPr>
        <w:t xml:space="preserve">Change in fair value of GeneFab Note Receivable. </w:t>
      </w:r>
      <w:r>
        <w:rPr>
          <w:rFonts w:ascii="Times New Roman;sans-serif" w:hAnsi="Times New Roman;sans-serif"/>
          <w:b w:val="false"/>
          <w:color w:val="000000"/>
          <w:sz w:val="20"/>
        </w:rPr>
        <w:t>For the nine months ended September 30, 2023, the change in fair value of GeneFab Note Receivable was a gain of $0.3 million primarily due to a change in the discount rate.</w:t>
      </w:r>
    </w:p>
    <w:p>
      <w:pPr>
        <w:pStyle w:val="TextBody"/>
        <w:bidi w:val="0"/>
        <w:spacing w:lineRule="auto" w:line="276" w:before="0" w:after="180"/>
        <w:ind w:left="0" w:right="0" w:firstLine="360"/>
        <w:jc w:val="left"/>
        <w:rPr/>
      </w:pPr>
      <w:r>
        <w:rPr>
          <w:rFonts w:ascii="Times New Roman;sans-serif" w:hAnsi="Times New Roman;sans-serif"/>
          <w:b w:val="false"/>
          <w:i/>
          <w:color w:val="000000"/>
          <w:sz w:val="20"/>
        </w:rPr>
        <w:t xml:space="preserve">Change in fair value of GeneFab Economic Share. </w:t>
      </w:r>
      <w:r>
        <w:rPr>
          <w:rFonts w:ascii="Times New Roman;sans-serif" w:hAnsi="Times New Roman;sans-serif"/>
          <w:b w:val="false"/>
          <w:color w:val="000000"/>
          <w:sz w:val="20"/>
        </w:rPr>
        <w:t xml:space="preserve">For the nine months ended September 30, 2023, the change in fair value of GeneFab Economic Share was a loss of $0.1 million due to a change in the equity value of GeneFab. </w:t>
      </w:r>
    </w:p>
    <w:p>
      <w:pPr>
        <w:pStyle w:val="TextBody"/>
        <w:bidi w:val="0"/>
        <w:spacing w:lineRule="auto" w:line="276" w:before="0" w:after="180"/>
        <w:ind w:left="0" w:right="0" w:firstLine="360"/>
        <w:jc w:val="left"/>
        <w:rPr/>
      </w:pPr>
      <w:r>
        <w:rPr>
          <w:rFonts w:ascii="Times New Roman;sans-serif" w:hAnsi="Times New Roman;sans-serif"/>
          <w:b w:val="false"/>
          <w:i/>
          <w:color w:val="000000"/>
          <w:sz w:val="20"/>
        </w:rPr>
        <w:t xml:space="preserve">Change in fair value of GeneFab Option. </w:t>
      </w:r>
      <w:r>
        <w:rPr>
          <w:rFonts w:ascii="Times New Roman;sans-serif" w:hAnsi="Times New Roman;sans-serif"/>
          <w:b w:val="false"/>
          <w:color w:val="000000"/>
          <w:sz w:val="20"/>
        </w:rPr>
        <w:t>For the nine months ended September 30, 2023, the change in fair value of GeneFab Option was a gain of $5.6 million primarily due to the decrease in the fair value of our common stock, which is a significant input in the measurement of the GeneFab Option.</w:t>
      </w:r>
    </w:p>
    <w:p>
      <w:pPr>
        <w:pStyle w:val="TextBody"/>
        <w:bidi w:val="0"/>
        <w:spacing w:lineRule="auto" w:line="276" w:before="0" w:after="180"/>
        <w:ind w:left="0" w:right="0" w:firstLine="360"/>
        <w:jc w:val="left"/>
        <w:rPr/>
      </w:pPr>
      <w:r>
        <w:rPr>
          <w:rFonts w:ascii="Times New Roman;sans-serif" w:hAnsi="Times New Roman;sans-serif"/>
          <w:b w:val="false"/>
          <w:i/>
          <w:color w:val="000000"/>
          <w:sz w:val="20"/>
        </w:rPr>
        <w:t xml:space="preserve">Gain on extinguishment of convertible notes. </w:t>
      </w:r>
      <w:r>
        <w:rPr>
          <w:rFonts w:ascii="Times New Roman;sans-serif" w:hAnsi="Times New Roman;sans-serif"/>
          <w:b w:val="false"/>
          <w:color w:val="000000"/>
          <w:sz w:val="20"/>
        </w:rPr>
        <w:t>For the nine months ended September 30, 2022, we recognized a gain of $1.3 million upon extinguishment of convertible notes as part of the Merger.</w:t>
      </w:r>
    </w:p>
    <w:p>
      <w:pPr>
        <w:pStyle w:val="TextBody"/>
        <w:bidi w:val="0"/>
        <w:spacing w:lineRule="auto" w:line="276" w:before="0" w:after="180"/>
        <w:ind w:left="0" w:right="0" w:firstLine="360"/>
        <w:jc w:val="left"/>
        <w:rPr/>
      </w:pPr>
      <w:r>
        <w:rPr>
          <w:rFonts w:ascii="Times New Roman;sans-serif" w:hAnsi="Times New Roman;sans-serif"/>
          <w:b w:val="false"/>
          <w:i/>
          <w:color w:val="000000"/>
          <w:sz w:val="20"/>
        </w:rPr>
        <w:t xml:space="preserve">GeneFab sublease income - related party. </w:t>
      </w:r>
      <w:r>
        <w:rPr>
          <w:rFonts w:ascii="Times New Roman;sans-serif" w:hAnsi="Times New Roman;sans-serif"/>
          <w:b w:val="false"/>
          <w:color w:val="000000"/>
          <w:sz w:val="20"/>
        </w:rPr>
        <w:t>For the nine months ended September 30, 2022, sublease income was $0.9 million from the sublease to GeneFab for the Alameda facility.</w:t>
      </w:r>
    </w:p>
    <w:p>
      <w:pPr>
        <w:pStyle w:val="TextBody"/>
        <w:bidi w:val="0"/>
        <w:spacing w:lineRule="auto" w:line="276" w:before="0" w:after="180"/>
        <w:ind w:left="0" w:right="0" w:firstLine="360"/>
        <w:jc w:val="left"/>
        <w:rPr/>
      </w:pPr>
      <w:r>
        <w:rPr>
          <w:rFonts w:ascii="Times New Roman;sans-serif" w:hAnsi="Times New Roman;sans-serif"/>
          <w:b w:val="false"/>
          <w:i/>
          <w:color w:val="000000"/>
          <w:sz w:val="20"/>
        </w:rPr>
        <w:t xml:space="preserve">Net income (loss) from discontinued operations. </w:t>
      </w:r>
      <w:r>
        <w:rPr>
          <w:rFonts w:ascii="Times New Roman;sans-serif" w:hAnsi="Times New Roman;sans-serif"/>
          <w:b w:val="false"/>
          <w:color w:val="000000"/>
          <w:sz w:val="20"/>
        </w:rPr>
        <w:t>Net income from discontinued operations was $12.4 million for the nine months ended September 30, 2023, compared to net loss from discontinued operations of $5.3 million for the nine months ended September 30, 2022. The increase was primarily due to the gain of $21.9 million on the disposal of the assets sold to GeneFab, a decrease of $2.6 million in stock-based compensation due to the modification of equity awards for terminated employees, partially offset by an increase in research and development expenses of $6.2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Sources of Liquidity </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 xml:space="preserve">From inception to September 30, 2023, we raised aggregate gross proceeds of $299.5 million from the Merger and PIPE Financing, the issuance of shares of our common stock, the issuance of shares of our redeemable convertible preferred stock, the issuance of convertible notes and, to a lesser extent, </w:t>
      </w:r>
      <w:r>
        <w:rPr>
          <w:rFonts w:ascii="Times New Roman;sans-serif" w:hAnsi="Times New Roman;sans-serif"/>
          <w:b w:val="false"/>
          <w:color w:val="000000"/>
          <w:sz w:val="20"/>
          <w:shd w:fill="FFFFFF" w:val="clear"/>
        </w:rPr>
        <w:t>through collaboration agreements and governmental grants.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31, 2022, we entered into the Purchase Agreement with Chardan. Pursuant to the Purchase Agreement, we have the right, in our sole discretion, to sell to Chardan up to the lesser of: (i) $50.0 million of shares of our common stock; and (ii) 8,727,049 shares of common stock at 97% of the volume weighted average price (“VWAP”) of the common stock calculated in accordance with the Purchase Agreement, over a period of 36 months subject to certain limitations and conditions contained in the Purchase Agreement. Sales and timing of any sales of common stock are solely at our election, and we are under no obligation to sell any securities to Chardan under the Purchase Agreement. As consideration for Chardan’s commitment to purchase shares of our common stock at our direction upon the terms and subject to the conditions set forth in the Purchase Agreement, upon execution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Purchase Agreement, we issued 100,000 shares of our common stock to Chardan and paid a $0.4 million document preparation fee. We recognized an expense of $0.7 million within general and administrative expenses in our Condensed Consolidated Statements of Operations and Comprehensive Loss for the Chardan related costs and legal fees incurred in connection with the agreement.</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than the issuance of the commitment shares of our common stock to Chardan we issued 300,000 shares of common stock up until September 30, 2023, for aggregate net proceeds of $0.7 million under the Purchase Agreement. There were no shares issued within the nine months ended September 30, 2023.</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any products approved for sale and have not generated any revenue from product sales or otherwise. We have incurred net losses and negative cash flows from continuing operations since our inception and anticipate we will continue to incur net losses for the foreseeable future. As of September 30, 2023, we had $39.4 million in cash, cash equivalents and short-term investments, and an accumulated deficit of $225.6 million.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will need substantial additional funding to support our continuing operations and pursue our development strategy. Until such time as we can generate significant revenue from sales of our product candidates, if ever, we expect to finance our operations through the sale of equity, debt financings or other capital sources, including potential collaborations with other companies or other strategic transactions. Adequate funding may not be available to us on acceptable terms, if at all. Should we fail to raise capital or enter into such agreements as, and when, needed, we may have to significantly delay, scale back, or discontinue the development and commercialization of our product candidates or delay our efforts to expand our product pipeline. We may also be required to sell or license to other parties rights to develop or commercialize our product candidates that we would prefer to retain.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transaction with GeneFab, as described in “Recent Developments” above, provided us with additional capital in the form of a note receivable and rights to future manufacturing and research activities and reduced longer term operating expenses. In connection with the transaction, we are entitled to receive total consideration of $37.8 million before the end of 2025, of which $18.9 million was payable at closing and was netted against prepayment owed by us for manufacturing and research activities to GeneFab. The remaining consideration of $18.9 million will be received in installments during 2024 and 2025, subject to satisfaction of certain conditions. The Company determined that the $18.9 million for future manufacturing and research activities, inclusive of the volume discount provided, was executed at market terms and does not result in any impact to the total consideration received from GeneFab for the disposal of the business.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Cash Flows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summary of our cash flows from continuing and discontinued operations for each of the periods indicated (in thousands):</w:t>
      </w:r>
    </w:p>
    <w:tbl>
      <w:tblPr>
        <w:tblW w:w="6320" w:type="dxa"/>
        <w:jc w:val="left"/>
        <w:tblInd w:w="0" w:type="dxa"/>
        <w:tblLayout w:type="fixed"/>
        <w:tblCellMar>
          <w:top w:w="28" w:type="dxa"/>
          <w:left w:w="28" w:type="dxa"/>
          <w:bottom w:w="28" w:type="dxa"/>
          <w:right w:w="28" w:type="dxa"/>
        </w:tblCellMar>
      </w:tblPr>
      <w:tblGrid>
        <w:gridCol w:w="1226"/>
        <w:gridCol w:w="1080"/>
        <w:gridCol w:w="1083"/>
        <w:gridCol w:w="109"/>
        <w:gridCol w:w="109"/>
        <w:gridCol w:w="109"/>
        <w:gridCol w:w="211"/>
        <w:gridCol w:w="796"/>
        <w:gridCol w:w="109"/>
        <w:gridCol w:w="109"/>
        <w:gridCol w:w="109"/>
        <w:gridCol w:w="109"/>
        <w:gridCol w:w="211"/>
        <w:gridCol w:w="796"/>
        <w:gridCol w:w="154"/>
      </w:tblGrid>
      <w:tr>
        <w:trPr/>
        <w:tc>
          <w:tcPr>
            <w:tcW w:w="122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Operating Activities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2023, net cash used in operating activities of $45.4 million was primarily due to our loss of $52.3 million with non-cash adjustments of $25.7 million for impairment of property and equipment, $21.9 million gain on disposal of business to GeneFab, $7.6 million for stock-based compensation expense, $5.6 million gain from change in fair value of the GeneFab Option, $4.0 million for depreciation and amortization of operating lease right-of-use-assets, $1.1 million for accretion of discount on short-term investments, $0.3 million gain for the change in fair value of the GeneFab receivable receivable, $0.2 million gain for the change in fair value of contingent earnout liability, and $0.1 million loss for the change in fair value of the GeneFab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Economic Share. Other material changes comprised of $0.8 million decrease in deferred revenue, offset by $0.1 million increase in operating lease liabilities.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2022, net cash used in operating activities of $25.9 million was primarily due to our net loss of $40.0 million with non-cash adjustments of $12.2 million for stock-based compensation expense, $8.8 million for the change in fair value of contingent earnout liability, $3.0 million for depreciation and amortization of operating lease right-of-use assets and $1.3 million for gain on extinguishment of convertible notes. Other material changes comprised of $11.2 million increase in operating lease liabilities, a $1.6 million increase in accounts payable and accrued expenses and other current liabilities, and a 0.4 million decrease in accounts receivable, offset by a $1.8 million increase in prepaid expenses and other assets and a $1.7 million decrease in deferred revenue. </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Investing Activities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2023, net cash provided by investing activities of $30.0 million was due to $60.0 million cash received upon maturity of short-term investments offset by $18.0 million purchases of short-term investments and $12.0 million purchases of property and equipment.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2022, net cash used in investing activities of $32.8 million, was entirely due to purchases of property and equipment.</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Financing Activities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$0.2 million cash was provided by financing activities primarily due to $0.3 million proceeds from the issuance of common stock under Employee Stock Purchase Plan (ESPP).</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2022, net cash provided by financing activities of $117.7 million was primarily due to $112.0 million proceeds received from Merger and related PIPE financing activities, net of transaction cost, $5.2 million from issuance of convertible notes and $0.5 million proceeds from the issuance of common stock upon exercise of stock options.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Funding Requirements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Based upon our current operating plans, there is uncertainty about whether our existing cash, cash equivalents, and short-term investments will be sufficient to fund our operations, including clinical trial expenses and capital expenditure requirements, beyond twelve months from the date of this Quarterly Report. We anticipate that we will continue to seek additional funding, though the precise timing of such may prove uncertain. Our forecast of the period of time through which our financial resources will be adequate to support our operations is a forward-looking statement that involves risks and uncertainties, and actual results could vary materially. Our assumptions may prove to be inaccurate, and we could deplete our capital resources sooner than we expect. Additionally, the process of testing and manufacturing product candidates in preclinical studies and clinical trials is costly and the timing and expenses in these trials are uncertain.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capital requirements will depend on many factors, including: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scope, rate of progress, results and costs of drug discovery, preclinical development, laboratory testing and clinical trials for our product candidates;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number and development requirements of product candidates that we may pursue, and other indications for our current product candidates that we may pursue;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costs, timing and outcome of regulatory review of our product candidates;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scope and costs of any commercial manufacturing activities;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cost associated with commercializing any approved product candidates;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cost and timing of developing our ability to establish sales and marketing capabilities, if 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costs of preparing, filing and prosecuting patent applications, maintaining, enforcing and protecting our intellectual property rights, defending intellectual property-related claims and obtaining licenses to third-party intellectual property;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timing and amount of any milestone and royalty payments we are required to make under our present or future license agreements;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establish and maintain collaborations on favorable terms, if at all;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extent to which we acquire or in-license other product candidates and technologies and associated intellectual property.</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improve our liquidity, management is actively pursuing additional financing. We expect our expenses to increase substantially in connection with ongoing activities, particularly as we advance our preclinical activities and clinical trials for our product candidates in development. Accordingly, we will need to obtain substantial additional funding for continuing operations. If we are unable to raise capital when needed, or on attractive terms, we could be forced to delay, reduce or eliminate our research or drug development programs or any future commercialization efforts. Although management continues to pursue these plans, there is no assurance that we will be successful in obtaining sufficient funding on terms acceptable to us to fund continuing operations, if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Contractual Obligations and Commitments </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 xml:space="preserve">On June 3, 2021, we entered into a lease agreement for a new cGMP facility in Alameda, California to support planned initial clinical trials for our product candidates. The lease will expire in 2032 with future undiscounted operating lease payments of $46.0 million over an initial lease period of eleven years. See Note 6. </w:t>
      </w:r>
      <w:r>
        <w:rPr>
          <w:rFonts w:ascii="Times New Roman;sans-serif" w:hAnsi="Times New Roman;sans-serif"/>
          <w:b w:val="false"/>
          <w:i/>
          <w:color w:val="000000"/>
          <w:sz w:val="20"/>
        </w:rPr>
        <w:t>Operating Leases</w:t>
      </w:r>
      <w:r>
        <w:rPr>
          <w:color w:val="000000"/>
        </w:rPr>
        <w:t xml:space="preserve"> </w:t>
      </w:r>
      <w:r>
        <w:rPr>
          <w:rFonts w:ascii="Times New Roman;sans-serif" w:hAnsi="Times New Roman;sans-serif"/>
          <w:b w:val="false"/>
          <w:color w:val="000000"/>
          <w:sz w:val="20"/>
        </w:rPr>
        <w:t>for details on our lease obligations.</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 xml:space="preserve">During the year ended December 31, 2021, we entered into a three-year collaboration and option agreement with BlueRock Therapeutics LP (“BlueRock”) under which we granted BlueRock an option to execute an exclusive or non-exclusive license to develop, manufacture and commercialize cell therapy products (See Part I, Item 1, Notes to Condensed Consolidated Financial Statements (Unaudited), Note 13. </w:t>
      </w:r>
      <w:r>
        <w:rPr>
          <w:rFonts w:ascii="Times New Roman;sans-serif" w:hAnsi="Times New Roman;sans-serif"/>
          <w:b w:val="false"/>
          <w:i/>
          <w:color w:val="000000"/>
          <w:sz w:val="20"/>
        </w:rPr>
        <w:t>Related Parties</w:t>
      </w:r>
      <w:r>
        <w:rPr>
          <w:color w:val="000000"/>
        </w:rPr>
        <w:t xml:space="preserve"> </w:t>
      </w:r>
      <w:r>
        <w:rPr>
          <w:rFonts w:ascii="Times New Roman;sans-serif" w:hAnsi="Times New Roman;sans-serif"/>
          <w:b w:val="false"/>
          <w:color w:val="000000"/>
          <w:sz w:val="20"/>
        </w:rPr>
        <w:t>for details into the BlueRock agreement). In consideration for the option, we are responsible for up to $10.0 million in research and development costs and expenses associated with the collaboration plan incurred over the three-year term.</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also entered into license agreements under which we are obligated to make annual maintenance payments of $0.1 million and specified milestone and royalty payments. Milestone and royalty payment obligations under these agreements are contingent upon future events, such as our achievement of specified development, regulatory, and sales milestones, or generating product sales. As of September 30, 2023, we were unable to estimate the timing or likelihood of achieving these milestones or generating future product sales.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sponsored research agreements under which we are obligated to pay $0.3 million in 2023 and 2024, respectively.</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 xml:space="preserve">Following the closing of the Merger, former holders of Legacy Senti common stock and preferred stock may receive up to 2,000,000 additional shares of our common stock in the aggregate, in two equal tranches of 1,000,000 shares of common stock per tranche. Refer to Note 7. </w:t>
      </w:r>
      <w:r>
        <w:rPr>
          <w:rFonts w:ascii="Times New Roman;sans-serif" w:hAnsi="Times New Roman;sans-serif"/>
          <w:b w:val="false"/>
          <w:i/>
          <w:color w:val="000000"/>
          <w:sz w:val="20"/>
        </w:rPr>
        <w:t>Stockholders’ Equity (Deficit),</w:t>
      </w:r>
      <w:r>
        <w:rPr>
          <w:color w:val="000000"/>
        </w:rPr>
        <w:t xml:space="preserve"> </w:t>
      </w:r>
      <w:r>
        <w:rPr>
          <w:rFonts w:ascii="Times New Roman;sans-serif" w:hAnsi="Times New Roman;sans-serif"/>
          <w:b w:val="false"/>
          <w:color w:val="000000"/>
          <w:sz w:val="20"/>
        </w:rPr>
        <w:t>for further details of the contingent earnout.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Off-Balance Sheet Arrangements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periods presented, we did not have, nor do we currently have, any off-balance sheet arrangements as defined under the rules and regulations of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Critical Accounting Estimates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management’s discussion and analysis of our financial condition and results of operations are based on our consolidated financial statements, which have been prepared in accordance with U.S. generally accepted accounting principles, or GAAP. The preparation of these consolidated financial statements requires us to make estimates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judgments that affect the reported amounts of assets, liabilities and expenses and the disclosure of contingent assets and liabilities in our consolidated financial statements and accompanying notes. On an ongoing basis, we evaluate our estimates and judgments. We base our estimates and assumptions on historical experience, known trends and events, and various other factors that are believed to be reasonable and appropriate under the circumstances, the results of which form the basis for making judgments about the carrying values of assets and liabilities that are not readily apparent from other sources. Actual results may differ from these estimates under different assumptions or conditions.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While our significant accounting policies are described in more detail in Note 2 to our condensed consolidated financial statements included elsewhere in this Quarterly Report on Form 10-Q, we believe the following accounting policies and estimates to be most critical to the preparation of our consolidated financial statements. We define our critical accounting policies as those under U.S. GAAP that require us to make subjective estimates and judgments about matters that are inherently uncertain and are likely to have a material impact on our financial condition and results of operations, as well as the specific manner in which we apply those principles.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there have not been any other significant changes to our critical accounting policies and estimates, except as noted below, from those presented in Part II, Item 7 of our Annual Report on Form 10-K for the fiscal year ended December 31, 2022, that are of significance, or potential significance, to us.</w:t>
      </w:r>
    </w:p>
    <w:p>
      <w:pPr>
        <w:pStyle w:val="TextBody"/>
        <w:bidi w:val="0"/>
        <w:spacing w:lineRule="auto" w:line="276"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Impairment of Long-Lived Assets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change in the manner in which the Company expects to recover the assets associated with the lease on the Alameda facility to GeneFab, the ROU asset and the related leasehold improvements became a separate asset group for the purposes of long-lived asset impairment assessment. This asset group reassessment triggered a need to perform an impairment analysis. The Company tested the asset group for impairment and recognized an impairment loss in the amount of $25.7 million during the three and nine months ended September 30, 2023, representing the difference between the carrying value of the asset group of $54.6 million and its estimated fair value of $28.9 million, determined based on the discounted cash flows expected to be generated from the use of the asset group through the sublease. Further, the Company determined that the individual fair value of the ROU asset within the asset group exceeded its carrying value as of the impairment testing date. Accordingly, the Company allocated the entire impairment loss to the leasehold improvements associated with the Alameda lease. </w:t>
      </w:r>
    </w:p>
    <w:p>
      <w:pPr>
        <w:pStyle w:val="TextBody"/>
        <w:bidi w:val="0"/>
        <w:spacing w:lineRule="auto" w:line="276"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GeneFab Note Receivable</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 xml:space="preserve">We elected to account for the GeneFab Note Receivable from GeneFab under the fair value option in ASC 825, </w:t>
      </w:r>
      <w:r>
        <w:rPr>
          <w:rFonts w:ascii="Times New Roman;sans-serif" w:hAnsi="Times New Roman;sans-serif"/>
          <w:b w:val="false"/>
          <w:i/>
          <w:color w:val="000000"/>
          <w:sz w:val="20"/>
        </w:rPr>
        <w:t xml:space="preserve">Financial Instruments </w:t>
      </w:r>
      <w:r>
        <w:rPr>
          <w:rFonts w:ascii="Times New Roman;sans-serif" w:hAnsi="Times New Roman;sans-serif"/>
          <w:b w:val="false"/>
          <w:color w:val="000000"/>
          <w:sz w:val="20"/>
        </w:rPr>
        <w:t>(“ASC 825”</w:t>
      </w:r>
      <w:r>
        <w:rPr>
          <w:rFonts w:ascii="Times New Roman;sans-serif" w:hAnsi="Times New Roman;sans-serif"/>
          <w:b w:val="false"/>
          <w:i/>
          <w:color w:val="000000"/>
          <w:sz w:val="20"/>
        </w:rPr>
        <w:t>)</w:t>
      </w:r>
      <w:r>
        <w:rPr>
          <w:rFonts w:ascii="Times New Roman;sans-serif" w:hAnsi="Times New Roman;sans-serif"/>
          <w:b w:val="false"/>
          <w:color w:val="000000"/>
          <w:sz w:val="20"/>
        </w:rPr>
        <w:t>. The GeneFab Note Receivable was recorded at its fair value on issuance and subsequently remeasured each reporting period with changes in fair value recorded in other income (expense) in the condensed consolidated statements of operations and comprehensive loss until settlement. We estimated the fair value by discounting future payments under multiple probability-weighted scenarios using our cost of borrowing based on published CCC-rated corporate bond yields.</w:t>
      </w:r>
    </w:p>
    <w:p>
      <w:pPr>
        <w:pStyle w:val="TextBody"/>
        <w:bidi w:val="0"/>
        <w:spacing w:lineRule="auto" w:line="276"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GeneFab Economic Share</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elected to account for the GeneFab Economic Share under the fair value option in ASC 825. The GeneFab Economic Share was recorded at its fair value on issuance and subsequently remeasured each reporting period with changes in fair value recorded in other income (expense) in the condensed consolidated statements of operations and comprehensive loss until settlement. We estimated the fair value using the option pricing method, which allocates total estimated enterprise value to various classes of equity using the Backsolve method. Significant assumptions used were the equity value of GeneFab, volatility, risk-free rate, expected term, and dividend yield.</w:t>
      </w:r>
    </w:p>
    <w:p>
      <w:pPr>
        <w:pStyle w:val="TextBody"/>
        <w:bidi w:val="0"/>
        <w:spacing w:lineRule="auto" w:line="276"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GeneFab Option</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 xml:space="preserve">The GeneFab Option meets the definition of a derivative under ASC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xml:space="preserve">, and does not meet the criteria for equity classification. The derivative liability was recorded at its fair value on issuance and subsequently remeasured each reporting period with changes in fair value recorded in other income (expense) in the condensed consolidated statements of operations and comprehensive loss until settlement. The fair value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derivative liability was determined using a Black-Scholes option pricing model incorporating assumptions such as the fair value of our common stock, the risk-free rate, volatility, expected term and dividend yield.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Emerging Growth Company Status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Jumpstart Our Business Startups Act (“JOBS”) Act permits an emerging growth company to take advantage of an extended transition to comply with new or revised accounting standards applicable to public companies until those standards would otherwise apply to private companies. The Company is an “emerging growth company” as defined in Section 2(a) of the Securities Act, and has elected to not take advantage of the benefits of this extended transition period.</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remain an emerging growth company until the earlier of: (1) the last day of the fiscal year (a) following the fifth anniversary of the closing of the Dynamics Initial Public Offering (“IPO”) (which occurred on May 25, 2021), (b) in which we have total annual revenue of at least $1.235 billion, or (c) in which we are deemed to be a large accelerated filer, which means the market value of our common equity that is held by non-affiliates exceeds $700 million as of the end of that fiscal year’s second fiscal quarter and our net sales for the year exceed $100 million; and (2) the date on which we have issued more than $1.0 billion in non-convertible debt securities during the preceding, rolling three-year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Smaller Reporting Company Status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if (1) the market value of our common stock held by non-affiliates is less than $250 million as of the last business day of the second fiscal quarter, or (2) our annual revenues in our most recent fiscal year completed before the last business day of our second fiscal quarter are less than $100 million and the market value of our common stock held by non-affiliates is less than $700 million as of the last business day of the second fiscal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Segment Information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one business activity and operate in one reportable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a “smaller reporting company,” we are not required to provide this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Merger, we had been a private company with limited accounting personnel and other resources with which to address our internal control over financial reporting. In connection with our preparation and the audit of our consolidated financial statements as of and for the year ended December 31, 2021, we and our independent registered public accounting firm identified a material weakness, as defined under the Exchange Act and by the Public Company Accounting Oversight Board (United States), in our internal control over financial reporting. The material weakness related to a lack of sufficient and adequate resources in the finance and accounting function that resulted in a lack of formalized risk assessment process, lack of segregation of duties, and ineffective process level control activities over the management review of journal entries, account reconciliations and non-routine transactions. A material weakness is a deficiency, or a combination of deficiencies, in internal control over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reporting such that there is a reasonable possibility that a material misstatement of our consolidated financial statements will not be prevented or detected on a timely basis.</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taken a number of remediation actions during the year ended December 31, 2022, and are continuing with our efforts. Remediation actions taken during the fiscal year ended December 31, 2022 and that continue include:</w:t>
      </w:r>
    </w:p>
    <w:p>
      <w:pPr>
        <w:pStyle w:val="TextBody"/>
        <w:bidi w:val="0"/>
        <w:spacing w:lineRule="auto" w:line="276" w:before="60" w:after="283"/>
        <w:ind w:left="0" w:right="0" w:hanging="360"/>
        <w:jc w:val="left"/>
        <w:rPr/>
      </w:pPr>
      <w:r>
        <w:rPr>
          <w:color w:val="000000"/>
        </w:rPr>
        <w:t>•</w:t>
      </w:r>
      <w:r>
        <w:rPr>
          <w:rFonts w:ascii="Times New Roman;sans-serif" w:hAnsi="Times New Roman;sans-serif"/>
          <w:b w:val="false"/>
          <w:color w:val="000000"/>
          <w:sz w:val="20"/>
        </w:rPr>
        <w:t>hiring personnel with appropriate levels of experience in accounting, technology, and internal controls;</w:t>
      </w:r>
    </w:p>
    <w:p>
      <w:pPr>
        <w:pStyle w:val="TextBody"/>
        <w:bidi w:val="0"/>
        <w:spacing w:lineRule="auto" w:line="276" w:before="60" w:after="283"/>
        <w:ind w:left="0" w:right="0" w:hanging="360"/>
        <w:jc w:val="left"/>
        <w:rPr/>
      </w:pPr>
      <w:r>
        <w:rPr>
          <w:color w:val="000000"/>
        </w:rPr>
        <w:t>•</w:t>
      </w:r>
      <w:r>
        <w:rPr>
          <w:rFonts w:ascii="Times New Roman;sans-serif" w:hAnsi="Times New Roman;sans-serif"/>
          <w:b w:val="false"/>
          <w:color w:val="000000"/>
          <w:sz w:val="20"/>
        </w:rPr>
        <w:t>engaging a professional accounting services firm to help us commence the documentation and assessment of our internal controls for complying with the Sarbanes-Oxley Act;</w:t>
      </w:r>
    </w:p>
    <w:p>
      <w:pPr>
        <w:pStyle w:val="TextBody"/>
        <w:bidi w:val="0"/>
        <w:spacing w:lineRule="auto" w:line="276" w:before="60" w:after="283"/>
        <w:ind w:left="0" w:right="0" w:hanging="360"/>
        <w:jc w:val="left"/>
        <w:rPr/>
      </w:pPr>
      <w:r>
        <w:rPr>
          <w:color w:val="000000"/>
        </w:rPr>
        <w:t>•</w:t>
      </w:r>
      <w:r>
        <w:rPr>
          <w:rFonts w:ascii="Times New Roman;sans-serif" w:hAnsi="Times New Roman;sans-serif"/>
          <w:b w:val="false"/>
          <w:color w:val="000000"/>
          <w:sz w:val="20"/>
        </w:rPr>
        <w:t>implementing a risk assessment over financial reporting controls; and</w:t>
      </w:r>
    </w:p>
    <w:p>
      <w:pPr>
        <w:pStyle w:val="TextBody"/>
        <w:bidi w:val="0"/>
        <w:spacing w:lineRule="auto" w:line="276" w:before="60" w:after="283"/>
        <w:ind w:left="0" w:right="0" w:hanging="360"/>
        <w:jc w:val="left"/>
        <w:rPr/>
      </w:pPr>
      <w:r>
        <w:rPr>
          <w:color w:val="000000"/>
        </w:rPr>
        <w:t>•</w:t>
      </w:r>
      <w:r>
        <w:rPr>
          <w:rFonts w:ascii="Times New Roman;sans-serif" w:hAnsi="Times New Roman;sans-serif"/>
          <w:b w:val="false"/>
          <w:color w:val="000000"/>
          <w:sz w:val="20"/>
        </w:rPr>
        <w:t>implementing new software tools.</w:t>
      </w:r>
    </w:p>
    <w:p>
      <w:pPr>
        <w:pStyle w:val="TextBody"/>
        <w:bidi w:val="0"/>
        <w:spacing w:before="0" w:after="0"/>
        <w:jc w:val="left"/>
        <w:rPr/>
      </w:pPr>
      <w:r>
        <w:rPr/>
      </w:r>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While significant progress has been made to enhance our internal control over financial reporting, we are still in the process of building and enhancing our processes, procedures, and controls. Additional time is required to complete the remediation of these material weaknesses and the assessment to ensure the sustainability of these remediation actions. We believe the above actions, when complete, will be effective in the remediation of the material weakness described above.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most recently completed fiscal quarter, there has been no change in our internal control over financial reporting (as defined in Rules 13a-15(f) and 15d-15(f) under the Exchange Act) that has materially affected, or is reasonably likely to materially affect, our internal control over financial reporting.</w:t>
      </w:r>
    </w:p>
    <w:p>
      <w:pPr>
        <w:pStyle w:val="TextBody"/>
        <w:bidi w:val="0"/>
        <w:spacing w:lineRule="auto" w:line="276" w:before="0" w:after="180"/>
        <w:jc w:val="left"/>
        <w:rPr>
          <w:rFonts w:ascii="Times New Roman;sans-serif" w:hAnsi="Times New Roman;sans-serif"/>
          <w:b/>
          <w:color w:val="000000"/>
          <w:sz w:val="20"/>
        </w:rPr>
      </w:pPr>
      <w:r>
        <w:rPr>
          <w:rFonts w:ascii="Times New Roman;sans-serif" w:hAnsi="Times New Roman;sans-serif"/>
          <w:b/>
          <w:color w:val="000000"/>
          <w:sz w:val="20"/>
        </w:rPr>
        <w:t>Limitations on Effectiveness of Controls and Procedures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currently is not aware of any legal proceedings or claims that management believes will have, individually or in the aggregate, a material adverse effect on the Company’s business,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76" w:before="0" w:after="180"/>
        <w:ind w:left="0" w:right="0" w:firstLine="360"/>
        <w:jc w:val="left"/>
        <w:rPr/>
      </w:pPr>
      <w:r>
        <w:rPr>
          <w:rFonts w:ascii="Times New Roman;sans-serif" w:hAnsi="Times New Roman;sans-serif"/>
          <w:b w:val="false"/>
          <w:i/>
          <w:color w:val="000000"/>
          <w:sz w:val="20"/>
        </w:rPr>
        <w:t>Investing in our common stock involves a high degree of risk. Before you decide to invest in common stock, you should consider carefully the risks described below, together with the information contained in the Quarterly Report on Form 10-Q for the Quarterly Report on Form 10-Q filed with the Securities and Exchange Commission (the “SEC”) on May 9, 2023, including our financial statements and the related notes appearing in that Form 10-Q.. We believe the risks described below are the risks that are material to us as of the date of the Annual Report. Factors that could cause our actual results to differ materially from those in the Annual Report are any of the risks described in the Item 1A below. Any of these factors could result in a significant or material adverse effect on our results of operations or financial condition. Additional risk factors not presently known to us or that we currently deem immaterial may also impair our business or results of operations.</w:t>
      </w:r>
      <w:r>
        <w:rPr>
          <w:color w:val="000000"/>
        </w:rPr>
        <w:t xml:space="preserve"> </w:t>
      </w:r>
      <w:r>
        <w:rPr>
          <w:rFonts w:ascii="Times New Roman;sans-serif" w:hAnsi="Times New Roman;sans-serif"/>
          <w:b w:val="false"/>
          <w:i/>
          <w:color w:val="000000"/>
          <w:sz w:val="20"/>
        </w:rPr>
        <w:t>If any of the following risks actually occur, our business, results of operations and financial condition would likely be materially and adversely affected. In these circumstances, the market price of our common stock could decline, and you may lose part or all of your investment.</w:t>
      </w:r>
    </w:p>
    <w:p>
      <w:pPr>
        <w:pStyle w:val="TextBody"/>
        <w:bidi w:val="0"/>
        <w:spacing w:lineRule="auto" w:line="276"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Summary Risk Factors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risk factors set forth below represent a summary of some of the principal risk factors which potential investors in our securities should be aware of. Although each of these risks is important, this list is not and is not intended to be a substitute for investors reviewing all of the information in this Quarterly Report, including all risk factors which follow this summary.</w:t>
      </w:r>
    </w:p>
    <w:p>
      <w:pPr>
        <w:pStyle w:val="TextBody"/>
        <w:bidi w:val="0"/>
        <w:spacing w:lineRule="auto" w:line="276" w:before="0" w:after="180"/>
        <w:ind w:left="0" w:right="0" w:hanging="360"/>
        <w:jc w:val="left"/>
        <w:rPr/>
      </w:pPr>
      <w:r>
        <w:rPr>
          <w:color w:val="000000"/>
        </w:rPr>
        <w:t>•</w:t>
      </w:r>
      <w:r>
        <w:rPr>
          <w:rFonts w:ascii="Times New Roman;sans-serif" w:hAnsi="Times New Roman;sans-serif"/>
          <w:b w:val="false"/>
          <w:color w:val="000000"/>
          <w:sz w:val="20"/>
        </w:rPr>
        <w:t>We are a preclinical stage biotechnology company with a history of losses. We expect to continue to incur significant losses for the foreseeable future and may never achieve or maintain profitability.</w:t>
      </w:r>
    </w:p>
    <w:p>
      <w:pPr>
        <w:pStyle w:val="TextBody"/>
        <w:bidi w:val="0"/>
        <w:spacing w:lineRule="auto" w:line="276" w:before="0" w:after="180"/>
        <w:ind w:left="0" w:right="0" w:hanging="360"/>
        <w:jc w:val="left"/>
        <w:rPr/>
      </w:pPr>
      <w:r>
        <w:rPr>
          <w:color w:val="000000"/>
        </w:rPr>
        <w:t>•</w:t>
      </w:r>
      <w:r>
        <w:rPr>
          <w:rFonts w:ascii="Times New Roman;sans-serif" w:hAnsi="Times New Roman;sans-serif"/>
          <w:b w:val="false"/>
          <w:color w:val="000000"/>
          <w:sz w:val="20"/>
        </w:rPr>
        <w:t>We have identified a material weakness in our internal control over financial reporting. If our remediation of the material weakness is not effective, or if we experience additional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pStyle w:val="TextBody"/>
        <w:bidi w:val="0"/>
        <w:spacing w:lineRule="auto" w:line="276" w:before="0" w:after="180"/>
        <w:ind w:left="0" w:right="0" w:hanging="360"/>
        <w:jc w:val="left"/>
        <w:rPr/>
      </w:pPr>
      <w:r>
        <w:rPr>
          <w:color w:val="000000"/>
        </w:rPr>
        <w:t>•</w:t>
      </w:r>
      <w:r>
        <w:rPr>
          <w:rFonts w:ascii="Times New Roman;sans-serif" w:hAnsi="Times New Roman;sans-serif"/>
          <w:b w:val="false"/>
          <w:color w:val="000000"/>
          <w:sz w:val="20"/>
        </w:rPr>
        <w:t>Members of our management team have limited experience in managing the day-to-day operations of a public company and, as a result, we may incur additional expenses associated with the management of our company.</w:t>
      </w:r>
    </w:p>
    <w:p>
      <w:pPr>
        <w:pStyle w:val="TextBody"/>
        <w:bidi w:val="0"/>
        <w:spacing w:lineRule="auto" w:line="276" w:before="0" w:after="180"/>
        <w:ind w:left="0" w:right="0" w:hanging="360"/>
        <w:jc w:val="left"/>
        <w:rPr/>
      </w:pPr>
      <w:r>
        <w:rPr>
          <w:color w:val="000000"/>
        </w:rPr>
        <w:t>•</w:t>
      </w:r>
      <w:r>
        <w:rPr>
          <w:rFonts w:ascii="Times New Roman;sans-serif" w:hAnsi="Times New Roman;sans-serif"/>
          <w:b w:val="false"/>
          <w:color w:val="000000"/>
          <w:sz w:val="20"/>
        </w:rPr>
        <w:t>Our history of recurring losses and anticipated expenditures raises substantial doubt about our ability to continue as a going concern. Our ability to continue as a going concern requires that we obtain sufficient funding to finance our operations.</w:t>
      </w:r>
    </w:p>
    <w:p>
      <w:pPr>
        <w:pStyle w:val="TextBody"/>
        <w:bidi w:val="0"/>
        <w:spacing w:lineRule="auto" w:line="276" w:before="0" w:after="180"/>
        <w:ind w:left="0" w:right="0" w:hanging="360"/>
        <w:jc w:val="left"/>
        <w:rPr/>
      </w:pPr>
      <w:r>
        <w:rPr>
          <w:color w:val="000000"/>
        </w:rPr>
        <w:t>•</w:t>
      </w:r>
      <w:r>
        <w:rPr>
          <w:rFonts w:ascii="Times New Roman;sans-serif" w:hAnsi="Times New Roman;sans-serif"/>
          <w:b w:val="false"/>
          <w:color w:val="000000"/>
          <w:sz w:val="20"/>
        </w:rPr>
        <w:t>We may not achieve the intended objectives of our strategic prioritization plan announced in January 2023.</w:t>
      </w:r>
    </w:p>
    <w:p>
      <w:pPr>
        <w:pStyle w:val="TextBody"/>
        <w:bidi w:val="0"/>
        <w:spacing w:lineRule="auto" w:line="276" w:before="0" w:after="180"/>
        <w:ind w:left="0" w:right="0" w:hanging="360"/>
        <w:jc w:val="left"/>
        <w:rPr/>
      </w:pPr>
      <w:r>
        <w:rPr>
          <w:color w:val="000000"/>
        </w:rPr>
        <w:t>•</w:t>
      </w:r>
      <w:r>
        <w:rPr>
          <w:rFonts w:ascii="Times New Roman;sans-serif" w:hAnsi="Times New Roman;sans-serif"/>
          <w:b w:val="false"/>
          <w:color w:val="000000"/>
          <w:sz w:val="20"/>
        </w:rPr>
        <w:t>Our current product candidates are in preclinical development and have never been tested in humans. One or all of our current product candidates may fail in clinical development or suffer delays that materially and adversely affect their ability to receive regulatory approval or to attain commercial viability.</w:t>
      </w:r>
    </w:p>
    <w:p>
      <w:pPr>
        <w:pStyle w:val="TextBody"/>
        <w:bidi w:val="0"/>
        <w:spacing w:lineRule="auto" w:line="276" w:before="0" w:after="180"/>
        <w:ind w:left="0" w:right="0" w:hanging="360"/>
        <w:jc w:val="left"/>
        <w:rPr/>
      </w:pPr>
      <w:r>
        <w:rPr>
          <w:color w:val="000000"/>
        </w:rPr>
        <w:t>•</w:t>
      </w:r>
      <w:r>
        <w:rPr>
          <w:rFonts w:ascii="Times New Roman;sans-serif" w:hAnsi="Times New Roman;sans-serif"/>
          <w:b w:val="false"/>
          <w:color w:val="000000"/>
          <w:sz w:val="20"/>
        </w:rPr>
        <w:t>If any of our current or potential future product candidates is ever tested in humans, it may not demonstrate the safety, purity and potency, or efficacy, necessary to become approvable or commercially viable.</w:t>
      </w:r>
    </w:p>
    <w:p>
      <w:pPr>
        <w:pStyle w:val="TextBody"/>
        <w:bidi w:val="0"/>
        <w:spacing w:lineRule="auto" w:line="276" w:before="0" w:after="180"/>
        <w:ind w:left="0" w:right="0" w:hanging="360"/>
        <w:jc w:val="left"/>
        <w:rPr/>
      </w:pPr>
      <w:r>
        <w:rPr>
          <w:color w:val="000000"/>
        </w:rPr>
        <w:t>•</w:t>
      </w:r>
      <w:r>
        <w:rPr>
          <w:rFonts w:ascii="Times New Roman;sans-serif" w:hAnsi="Times New Roman;sans-serif"/>
          <w:b w:val="false"/>
          <w:color w:val="000000"/>
          <w:sz w:val="20"/>
        </w:rPr>
        <w:t>Our gene circuit platform technologies are based on novel technologies that are unproven and may not result in approvable or marketable products, which exposes us to unforeseen risks and makes it difficult for us to predict the time and cost of product development and potential for regulatory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ind w:left="0" w:right="0" w:hanging="360"/>
        <w:jc w:val="left"/>
        <w:rPr/>
      </w:pPr>
      <w:r>
        <w:rPr>
          <w:color w:val="000000"/>
        </w:rPr>
        <w:t>•</w:t>
      </w:r>
      <w:r>
        <w:rPr>
          <w:rFonts w:ascii="Times New Roman;sans-serif" w:hAnsi="Times New Roman;sans-serif"/>
          <w:b w:val="false"/>
          <w:color w:val="000000"/>
          <w:sz w:val="20"/>
        </w:rPr>
        <w:t>We may not be successful in our efforts to use and expand our gene circuit platform to expand our pipeline of product candidates.</w:t>
      </w:r>
    </w:p>
    <w:p>
      <w:pPr>
        <w:pStyle w:val="TextBody"/>
        <w:bidi w:val="0"/>
        <w:spacing w:lineRule="auto" w:line="276" w:before="0" w:after="180"/>
        <w:ind w:left="0" w:right="0" w:hanging="360"/>
        <w:jc w:val="left"/>
        <w:rPr/>
      </w:pPr>
      <w:r>
        <w:rPr>
          <w:color w:val="000000"/>
        </w:rPr>
        <w:t>•</w:t>
      </w:r>
      <w:r>
        <w:rPr>
          <w:rFonts w:ascii="Times New Roman;sans-serif" w:hAnsi="Times New Roman;sans-serif"/>
          <w:b w:val="false"/>
          <w:color w:val="000000"/>
          <w:sz w:val="20"/>
        </w:rPr>
        <w:t>The market, physicians, patients, regulators and potential investors may not be receptive to our current or potential future product candidates and may be skeptical of the viability and benefits of our gene circuit pipeline technology because it is based on a relatively novel and complex technology.</w:t>
      </w:r>
    </w:p>
    <w:p>
      <w:pPr>
        <w:pStyle w:val="TextBody"/>
        <w:bidi w:val="0"/>
        <w:spacing w:lineRule="auto" w:line="276" w:before="0" w:after="180"/>
        <w:ind w:left="0" w:right="0" w:hanging="360"/>
        <w:jc w:val="left"/>
        <w:rPr/>
      </w:pPr>
      <w:r>
        <w:rPr>
          <w:color w:val="000000"/>
        </w:rPr>
        <w:t>•</w:t>
      </w:r>
      <w:r>
        <w:rPr>
          <w:rFonts w:ascii="Times New Roman;sans-serif" w:hAnsi="Times New Roman;sans-serif"/>
          <w:b w:val="false"/>
          <w:color w:val="000000"/>
          <w:sz w:val="20"/>
        </w:rPr>
        <w:t>The occurrence of serious complications or side effects in connection with use of our product candidates, either in clinical trials or post-approval, could lead to discontinuation of our clinical development programs, refusal of regulatory authorities to approve our product candidates or, post-approval, revocation of marketing authorizations or refusal to approve applications for new indications, which could severely harm our business, prospects, operating results and financial condition.</w:t>
      </w:r>
    </w:p>
    <w:p>
      <w:pPr>
        <w:pStyle w:val="TextBody"/>
        <w:bidi w:val="0"/>
        <w:spacing w:lineRule="auto" w:line="276" w:before="0" w:after="180"/>
        <w:ind w:left="0" w:right="0" w:hanging="360"/>
        <w:jc w:val="left"/>
        <w:rPr/>
      </w:pPr>
      <w:r>
        <w:rPr>
          <w:color w:val="000000"/>
        </w:rPr>
        <w:t>•</w:t>
      </w:r>
      <w:r>
        <w:rPr>
          <w:rFonts w:ascii="Times New Roman;sans-serif" w:hAnsi="Times New Roman;sans-serif"/>
          <w:b w:val="false"/>
          <w:color w:val="000000"/>
          <w:sz w:val="20"/>
        </w:rPr>
        <w:t>We and our collaborators may not achieve projected discovery and development milestones and other anticipated key events in the time frames that we or they announce, which could have an adverse impact on our business and could cause our stock price to decline.</w:t>
      </w:r>
    </w:p>
    <w:p>
      <w:pPr>
        <w:pStyle w:val="TextBody"/>
        <w:bidi w:val="0"/>
        <w:spacing w:lineRule="auto" w:line="276" w:before="0" w:after="180"/>
        <w:ind w:left="0" w:right="0" w:hanging="360"/>
        <w:jc w:val="left"/>
        <w:rPr/>
      </w:pPr>
      <w:r>
        <w:rPr>
          <w:color w:val="000000"/>
        </w:rPr>
        <w:t>•</w:t>
      </w:r>
      <w:r>
        <w:rPr>
          <w:rFonts w:ascii="Times New Roman;sans-serif" w:hAnsi="Times New Roman;sans-serif"/>
          <w:b w:val="false"/>
          <w:color w:val="000000"/>
          <w:sz w:val="20"/>
        </w:rPr>
        <w:t>If we encounter difficulties enrolling patients in our clinical trials, our clinical development activities could be delayed or otherwise adversely affected.</w:t>
      </w:r>
    </w:p>
    <w:p>
      <w:pPr>
        <w:pStyle w:val="TextBody"/>
        <w:bidi w:val="0"/>
        <w:spacing w:lineRule="auto" w:line="276" w:before="0" w:after="180"/>
        <w:ind w:left="0" w:right="0" w:hanging="360"/>
        <w:jc w:val="left"/>
        <w:rPr/>
      </w:pPr>
      <w:r>
        <w:rPr>
          <w:color w:val="000000"/>
        </w:rPr>
        <w:t>•</w:t>
      </w:r>
      <w:r>
        <w:rPr>
          <w:rFonts w:ascii="Times New Roman;sans-serif" w:hAnsi="Times New Roman;sans-serif"/>
          <w:b w:val="false"/>
          <w:color w:val="000000"/>
          <w:sz w:val="20"/>
        </w:rPr>
        <w:t>If we decide to seek orphan drug designation for one or more of our product candidates, we may be unsuccessful or may be unable to maintain the benefits associated with orphan drug designation for our current or future product candidates that we may develop.</w:t>
      </w:r>
    </w:p>
    <w:p>
      <w:pPr>
        <w:pStyle w:val="TextBody"/>
        <w:bidi w:val="0"/>
        <w:spacing w:lineRule="auto" w:line="276" w:before="0" w:after="180"/>
        <w:ind w:left="0" w:right="0" w:hanging="360"/>
        <w:jc w:val="left"/>
        <w:rPr/>
      </w:pPr>
      <w:r>
        <w:rPr>
          <w:color w:val="000000"/>
        </w:rPr>
        <w:t>•</w:t>
      </w:r>
      <w:r>
        <w:rPr>
          <w:rFonts w:ascii="Times New Roman;sans-serif" w:hAnsi="Times New Roman;sans-serif"/>
          <w:b w:val="false"/>
          <w:color w:val="000000"/>
          <w:sz w:val="20"/>
        </w:rPr>
        <w:t>We may not be able to conduct, or contract with others to conduct, animal testing in the future, which could harm our research and development activities.</w:t>
      </w:r>
    </w:p>
    <w:p>
      <w:pPr>
        <w:pStyle w:val="TextBody"/>
        <w:bidi w:val="0"/>
        <w:spacing w:lineRule="auto" w:line="276" w:before="0" w:after="180"/>
        <w:ind w:left="0" w:right="0" w:hanging="360"/>
        <w:jc w:val="left"/>
        <w:rPr/>
      </w:pPr>
      <w:r>
        <w:rPr>
          <w:color w:val="000000"/>
        </w:rPr>
        <w:t>•</w:t>
      </w:r>
      <w:r>
        <w:rPr>
          <w:rFonts w:ascii="Times New Roman;sans-serif" w:hAnsi="Times New Roman;sans-serif"/>
          <w:b w:val="false"/>
          <w:color w:val="000000"/>
          <w:sz w:val="20"/>
        </w:rPr>
        <w:t>We rely on third parties to conduct our preclinical studies, and plan to rely on third parties to conduct clinical trials, and those third parties may not perform satisfactorily.</w:t>
      </w:r>
    </w:p>
    <w:p>
      <w:pPr>
        <w:pStyle w:val="TextBody"/>
        <w:bidi w:val="0"/>
        <w:spacing w:lineRule="auto" w:line="276" w:before="0" w:after="180"/>
        <w:ind w:left="0" w:right="0" w:hanging="360"/>
        <w:jc w:val="left"/>
        <w:rPr/>
      </w:pPr>
      <w:r>
        <w:rPr>
          <w:color w:val="000000"/>
        </w:rPr>
        <w:t>•</w:t>
      </w:r>
      <w:r>
        <w:rPr>
          <w:rFonts w:ascii="Times New Roman;sans-serif" w:hAnsi="Times New Roman;sans-serif"/>
          <w:b w:val="false"/>
          <w:color w:val="000000"/>
          <w:sz w:val="20"/>
        </w:rPr>
        <w:t>Supply of our product candidates for preclinical and clinical development may become limited or interrupted or may not be of satisfactory quantity or quality, and we could experience delays relying on third-party manufacturers.</w:t>
      </w:r>
    </w:p>
    <w:p>
      <w:pPr>
        <w:pStyle w:val="TextBody"/>
        <w:bidi w:val="0"/>
        <w:spacing w:lineRule="auto" w:line="276" w:before="0" w:after="180"/>
        <w:ind w:left="0" w:right="0" w:hanging="360"/>
        <w:jc w:val="left"/>
        <w:rPr/>
      </w:pPr>
      <w:r>
        <w:rPr>
          <w:color w:val="000000"/>
        </w:rPr>
        <w:t>•</w:t>
      </w:r>
      <w:r>
        <w:rPr>
          <w:rFonts w:ascii="Times New Roman;sans-serif" w:hAnsi="Times New Roman;sans-serif"/>
          <w:b w:val="false"/>
          <w:color w:val="000000"/>
          <w:sz w:val="20"/>
        </w:rPr>
        <w:t>We are exposed to a number of risks related to our supply chain for the materials required to manufacture our product candidates.</w:t>
      </w:r>
    </w:p>
    <w:p>
      <w:pPr>
        <w:pStyle w:val="TextBody"/>
        <w:bidi w:val="0"/>
        <w:spacing w:lineRule="auto" w:line="276" w:before="0" w:after="180"/>
        <w:ind w:left="0" w:right="0" w:hanging="360"/>
        <w:jc w:val="left"/>
        <w:rPr/>
      </w:pPr>
      <w:r>
        <w:rPr>
          <w:color w:val="000000"/>
        </w:rPr>
        <w:t>•</w:t>
      </w:r>
      <w:r>
        <w:rPr>
          <w:rFonts w:ascii="Times New Roman;sans-serif" w:hAnsi="Times New Roman;sans-serif"/>
          <w:b w:val="false"/>
          <w:color w:val="000000"/>
          <w:sz w:val="20"/>
        </w:rPr>
        <w:t>We face competition from companies that have developed or may develop product candidates for the treatment of the diseases that we may target, including companies developing novel therapies and platform technologies. If these companies develop platform technologies or product candidates more rapidly than we do, or if their platform technologies or product candidates are more effective or have fewer side effects, our ability to develop and successfully commercialize product candidates may be adversely affected.</w:t>
      </w:r>
    </w:p>
    <w:p>
      <w:pPr>
        <w:pStyle w:val="TextBody"/>
        <w:bidi w:val="0"/>
        <w:spacing w:lineRule="auto" w:line="276" w:before="0" w:after="180"/>
        <w:ind w:left="0" w:right="0" w:hanging="360"/>
        <w:jc w:val="left"/>
        <w:rPr/>
      </w:pPr>
      <w:r>
        <w:rPr>
          <w:color w:val="000000"/>
        </w:rPr>
        <w:t>•</w:t>
      </w:r>
      <w:r>
        <w:rPr>
          <w:rFonts w:ascii="Times New Roman;sans-serif" w:hAnsi="Times New Roman;sans-serif"/>
          <w:b w:val="false"/>
          <w:color w:val="000000"/>
          <w:sz w:val="20"/>
        </w:rPr>
        <w:t>Our business entails a significant risk of product liability, and our inability to obtain sufficient insurance coverage could have a material adverse effect on our business, financial condition, results of operations and prospects.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business, operations and clinical development plans and timelines could be adversely affected by the impact of global economic and political developments, including high inflation and capital market disruption, the war in Ukraine, the current armed conflict in Israel and the Gaza Strip, economic sanctions and economic slowdowns or recession, including any lingering impact from the COVID-19 pandemic, or by the manufacturing, clinical trial and other business activities performed by us or by third parties with whom we may conduct business, including our anticipated contract manufacturers, contract research organizations (“CROs”), shippers and others.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Risks Related to Our Limited Operating History and Financial Condition</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are a preclinical stage biotechnology company with a history of losses. We expect to continue to incur significant losses for the foreseeable future and may never achieve or maintain profitability.</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a preclinical stage biotechnology company with a history of losses. Since our inception, we have devoted substantially all of our resources to research and development, preclinical studies, building our management team and building our intellectual property portfolio, and we have incurred significant operating losses. Our net losses were $52.3 million and $40.0 million for the nine months ended September 30, 2023 and 2022, respectively. As of September 30, 2023, we had an accumulated deficit of $225.6 million. Substantially all of our losses have resulted from expenses incurred in connection with our research and development programs and from general and administrative costs associated with our operations. To date, we have not generated any revenue from product sales, and we have not sought or obtained regulatory approval for any product candidate. Furthermore, we do not expect to generate any revenue from product sales for the foreseeable future, and we expect to continue to incur significant operating losses for the foreseeable future due to the cost of research and development, preclinical studies, clinical trials, manufacturing and the regulatory approval process for our current and potential future product candidates.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expect our net losses to increase substantially as we:</w:t>
      </w:r>
    </w:p>
    <w:tbl>
      <w:tblPr>
        <w:tblW w:w="600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464"/>
        <w:gridCol w:w="1464"/>
        <w:gridCol w:w="20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continue to advance our gene circuit platform technologies;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continue preclinical development of our current and future product candidates and initiate additional preclinical studies;</w:t>
            </w:r>
          </w:p>
        </w:tc>
      </w:tr>
    </w:tbl>
    <w:tbl>
      <w:tblPr>
        <w:tblW w:w="67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695"/>
        <w:gridCol w:w="1695"/>
        <w:gridCol w:w="23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commence clinical trials of our current and future product candidates;</w:t>
            </w:r>
          </w:p>
        </w:tc>
      </w:tr>
    </w:tbl>
    <w:tbl>
      <w:tblPr>
        <w:tblW w:w="830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135"/>
        <w:gridCol w:w="2135"/>
        <w:gridCol w:w="30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acquire and in-license technologies aligned with our gene circuit platform technologies;</w:t>
            </w:r>
          </w:p>
        </w:tc>
      </w:tr>
    </w:tbl>
    <w:tbl>
      <w:tblPr>
        <w:tblW w:w="681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704"/>
        <w:gridCol w:w="1704"/>
        <w:gridCol w:w="24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seek regulatory approval of our current and future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expand our operational, financial, and management systems and increase personnel, including personnel to support our preclinical and clinical development, and commercialization efforts;</w:t>
            </w:r>
          </w:p>
        </w:tc>
      </w:tr>
    </w:tbl>
    <w:tbl>
      <w:tblPr>
        <w:tblW w:w="846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183"/>
        <w:gridCol w:w="2183"/>
        <w:gridCol w:w="3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continue to develop, maintain, expand, and defend our intellectual property portfolio;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incur additional legal, accounting, or other expenses in operating our business, including the additional costs associated with operating as a public company.</w:t>
            </w:r>
          </w:p>
        </w:tc>
      </w:tr>
    </w:tbl>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However, the amount of our future losses is uncertain. Our ability to achieve or sustain profitability, if ever, will depend on, among other things, successfully developing product candidates, obtaining regulatory approvals to market and commercialize product candidates, ensuring our product candidates are manufactured on commercially reasonable terms, entering into potential future alliances, establishing a sales and marketing organization or suitable third-party alternatives for any approved product and raising sufficient funds to finance business activities. If we, or our existing or potential future collaborators, are unable to commercialize one or more of our product candidates, or if sales revenue from any product candidate that receives approval is insufficient, we will not achieve or sustain profitability, which could have a material adverse effect on our business, financial condition, results of operations and prospects.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will need substantial additional funding. If we are unable to raise capital when needed on acceptable terms, or at all, we may be forced to restructure our business or delay, reduce, or terminate our research and product development programs, future commercialization efforts or other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will need substantial additional funds to advance development of product candidates and our gene circuit platform, and we cannot guarantee that we will have sufficient funds available in the future to develop and commercialize our current or potential future product candidates and technologies.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development of biotechnology product candidates is capital-intensive. If any of our current or potential future product candidates enter and advance through preclinical studies and clinical trials, we will need substantial additional funds to expand our development, regulatory, marketing and sales capabilities. We have used substantial funds to develop our gene circuit platform, SENTI-202, SENTI-301A, SENTI-401 and other potential product candidates, and we will require significant funds to continue to develop our platform and conduct further research and development, including preclinical studies and clinical trials. In addition, we expect to incur significant additional costs associated with operating as a public company.</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$39.4 million in cash, cash equivalents, and short-term investments. Our future capital requirements and the period for which our existing resources will support our operations may vary significantly from what we expect. Our monthly spending levels vary based on new and ongoing research and development and other corporate activities. Because the length of time and activities associated with successful research and development of platform technologies and product candidates is highly uncertain, we are unable to estimate the actual funds we will require for development and any approved marketing and commercialization activities. Our future capital requirements and the timing and amount of our operating expenditures will depend largely on:</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timing and progress of preclinical and clinical development of our current and potential future product candidates;</w:t>
            </w:r>
          </w:p>
        </w:tc>
      </w:tr>
    </w:tbl>
    <w:tbl>
      <w:tblPr>
        <w:tblW w:w="708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783"/>
        <w:gridCol w:w="1783"/>
        <w:gridCol w:w="25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timing and progress of our development of our gene circuit platforms;</w:t>
            </w:r>
          </w:p>
        </w:tc>
      </w:tr>
    </w:tbl>
    <w:tbl>
      <w:tblPr>
        <w:tblW w:w="755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919"/>
        <w:gridCol w:w="1919"/>
        <w:gridCol w:w="27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number and scope of preclinical and clinical programs we decide to pursue;</w:t>
            </w:r>
          </w:p>
        </w:tc>
      </w:tr>
    </w:tbl>
    <w:tbl>
      <w:tblPr>
        <w:tblW w:w="950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489"/>
        <w:gridCol w:w="2489"/>
        <w:gridCol w:w="35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35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terms of any third-party manufacturing contract or biomanufacturing partnership we may enter into;</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maintain our current licenses and collaborations, conduct our research and development programs and establish new strategic partnerships and collaborations;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progress of the development efforts of our existing strategic partners and third parties with whom we may in the future enter into collaboration and research and development agreements;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costs involved in obtaining, maintaining, enforcing and defending patents and other intellectual property rights;</w:t>
            </w:r>
          </w:p>
        </w:tc>
      </w:tr>
    </w:tbl>
    <w:tbl>
      <w:tblPr>
        <w:tblW w:w="99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06"/>
        <w:gridCol w:w="2606"/>
        <w:gridCol w:w="36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36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supply chain disruptions, global political and market conditions, and inflationary pressures on our business;</w:t>
            </w:r>
          </w:p>
        </w:tc>
      </w:tr>
    </w:tbl>
    <w:tbl>
      <w:tblPr>
        <w:tblW w:w="504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183"/>
        <w:gridCol w:w="1183"/>
        <w:gridCol w:w="16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cost and timing of regulatory approvals;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efforts to enhance operational systems and to hire and retain personnel, including personnel to support development of our product candidates and to satisfy our obligations as a public company.</w:t>
            </w:r>
          </w:p>
        </w:tc>
      </w:tr>
    </w:tbl>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 date, we have primarily financed our operations through the sale of equity securities. We may seek to raise any necessary additional capital through a combination of public or private equity offerings, debt financings, collaborations, strategic alliances, licensing arrangements, grants and other marketing and distribution arrangements. Any additional capital raising efforts may divert our management from their day-to-day activities, which may adversely affect our ability to develop and commercialize our current and future product candidates, if approved.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cannot assure you that we will be successful in acquiring additional funding at levels sufficient to fund our operations or on terms acceptable to us, if at all. If we are unable to obtain adequate financing when needed, our business, financial condition and results of operations will be harmed, and we may need to significantly modify our operational plans, or else we may not be able to continue as a going concern beyond twelve months from the issuance date of this Form 10-Q. For example, in January 2023 we announced a strategic plan to focus internal resources on SENTI-202 and SENTI-401, to develop gene circuits for other programs with potential partners, and to suspend research and development efforts for SENTI-301A. In the future, we may have to delay, reduce the scope of or suspend one or more of our preclinical studies, clinical trials, research and development programs, or commercialization efforts. Further, if we are unable to continue as a going concern, we might have to liquidate our assets, and the values we receive for our assets in liquidation or dissolution could be significantly lower than the values reflected in our consolidated financial statements. Because of the numerous risks and uncertainties associated with the development and commercialization of our current and potential future product candidates and the extent to which we may enter into collaborations with third parties to participate in their development and commercialization, we are unable to estimate the amounts of increased capital outlays and operating expenditures associated with our current and anticipated preclinical studies and clinical trials, including related manufacturing costs.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that we raise additional capital through collaborations, strategic alliances or licensing arrangements with third parties, we may have to relinquish valuable rights to our current and potential future product candidates, future revenue streams or research programs or grant licenses on terms that may not be favorable to us.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Moreover, the issuance of additional securities by us, whether equity or debt, or the market perception that such issuances are likely to occur, could cause the market price of our common stock to decline.</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do not expect to realize revenue from product sales or royalties from licensed products for the foreseeable future, if at all, and unless and until our current and potential future product candidates are clinically tested, approved for commercialization and successfully marketed.</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identified a material weakness in our internal control over financial reporting. If our remediation of the material weakness is not effective, or if we experience additional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shares of our common stock.</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closing of the Merger, we were a private company with limited accounting personnel and other resources with which to address our internal control over financial reporting. In connection with our preparation and the audit of our consolidated financial statements as of and for the years ended December 31, 2021, we and our independent registered public accounting firm identified a material weakness, as defined under the Exchange Act and by the Public Company Accounting Oversight Board (United States), in our internal control over financial reporting. The material weakness related to a lack of sufficient and adequate resources in the finance and accounting function that resulted in a lack of formalized risk assessment process, lack of segregation of duties, and ineffective process level control activities over the management review of journal entries, account reconciliations and non-routine transactions.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a combination of deficiencies, in internal control over financial reporting such that there is a reasonable possibility that a material misstatement of our consolidated financial statements will not be prevented or detected on a timely basis.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implemented a risk assessment process and measures designed to improve our internal control over financial reporting and remediate the control deficiencies that led to the material weakness, including hiring additional accounting personnel. However,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Moreover, the rules governing the standards that must be met for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to assess our internal control over financial reporting are complex and require significant documentation, testing, and remediation. To maintain and improve the effectiveness of our financial reporting, we will need to commit significant resources, implement and strengthen existing disclosure processes controls, reporting systems, and procedures, train personnel and provide additional management oversight, all of which may divert attention away from other matters that are important to our business.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be certain that the measures we have taken to date, and actions we may take in the future, will be sufficient to remediate the control deficiencies that led to our material weakness in our internal control over financial reporting or that they will prevent or avoid potential future material weaknesses. In addition, an independent registered public accounting firm has not yet performed an evaluation of our internal control over financial reporting, though such an evaluation will be required when we lose our status as an “emerging growth company” and become an “accelerated filer” or a “large accelerated filer.” When an evaluation by an independent registered public accounting firm is performed, such firm may issue a report that is qualified if it is not satisfied with our controls or the level at which our controls are documented, designed, operated, or reviewed.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testing, or the subsequent testing by our independent registered public accounting firm, may reveal deficiencies in our internal controls over financial reporting that are deemed to be material weaknesses. A material weakness in internal controls could result in our failure to detect a material misstatement of our annual or quarterly consolidated financial statements or disclosures. We may not be able to conclude on an ongoing basis that we have effective internal controls over financial reporting in accordance with Section 404. If we are unable to conclude that we have effective internal controls over financial reporting, investors could lose confidence in our reported financial information, which could have a material adverse effect on the trading price of the shares of our common stock.</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cannot be certain as to the timing of completion of our evaluation, testing and any remediation actions or the impact of the same on our operations. If we are unable to successfully remediate our existing or any future material weaknesses in our internal control over financial reporting, or identify any additional material weaknesses, the accuracy and timing of our financial reporting may be negatively impacted,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If we are not able to implement the requirements of Section 404 in a timely manner or with adequate compliance, our independent registered public accounting firm when required may issue an adverse opinion due to ineffective internal controls over financial reporting, and we may be subject to sanctions or investigation by regulatory authorities, such as the SEC. As a result, there could be a negative reaction in the financial markets due to a loss of confidence in the reliability of our consolidated financial statements. In addition, we may be required to incur costs in improving our internal control system and the hiring of additional personnel. Any such action could negatively affect our results of operations and cash flows.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Members of our management team have limited experience in managing the day-to-day operations of a public company and, as a result, we may incur additional expenses associated with the management of our company.</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Members of our management team have limited experience in managing the day-to-day operations of a public company. As a result, we may need to obtain outside assistance from legal, accounting, investor relations, or other professionals that could be more costly than planned. These compliance costs will make some activities significantly more time-consuming and costly. If we lack cash resources to cover these costs in the future, our failure to comply with reporting requirements and other provisions of securities laws could negatively affect our stock price and adversely affect our potential results of operations, cash flow and financial condition.</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ability to use net operating loss carryforwards (“ NOLs”) and credits to offset future taxable income may be subject to certain limitations.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NOLs could expire unused and be unavailable to offset future income tax liabilities because of their limited duration or because of restrictions under U.S. tax law. NOLs generated in taxable years beginning before January 1, 2018 are permitted to be carried forward for 20 taxable years under applicable U.S. federal income tax law. Under current U.S. federal income tax law, NOLs arising in tax years beginning after December 31, 2020 may not be carried back. Moreover, NOLs generated in taxable years beginning after December 31, 2017 may be carried forward indefinitely, but the deductibility of such NOLs generally will be limited in taxable years beginning after December 31, 2020 to 80% of current year taxable income. As of December 31, 2022, we had NOLs for U.S. federal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and state income tax purposes of approximately $100.3 million and $55.0 million, respectively, a portion of which expire beginning in 2036 if not utilized. NOLs for U.S. federal tax reporting purposes of approximately $96.8 million have an indefinite life.</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general, under Section 382 of the Internal Revenue Code of 1986, as amended (the “Code”), a corporation that undergoes an “ownership change” (defined under Section 382 of the Code and applicable Treasury Regulations as a greater than 50 percentage point change (by value) in a corporation’s equity ownership by certain stockholders over a rolling three-year period) is subject to limitations on its ability to utilize its pre-change NOLs to offset future taxable income. We have not determined whether our NOLs are limited under Section 382 of the Code. We may have experienced ownership changes in the past and may experience ownership changes in the future, including as a result of the Merger or subsequent shifts in our stock ownership (some of which are outside our control). Furthermore, our ability to utilize NOLs of companies that we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sheets, even if we attain profitability, which could potentially result in increased future tax liability to us and could adversely affect our operating results and financial condition.</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Changes in tax law may adversely affect us or our investors.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U.S. rules dealing with federal, state, and local taxation are constantly under review by those involved in the legislative process, as well as by the U.S. Treasury Department. Changes to tax laws, which may have retroactive application, could adversely affect us or holders of our common stock. For example, under Section 174 of the Code, in taxable years beginning after December 31, 2021, expenses that are incurred for research and development in the U.S. will be capitalized and amortized, which may have an adverse effect on our cash flow. In recent years, many such changes have been made and change are likely to continue to occur in the future. Future changes in tax laws could have a material adverse effect on our business, cash flow, financial conditions, or results of operations. The existence, timing, and content of new tax laws are unpredictable, and could cause an increase in our or our shareholders’ tax liability or require changes in the manner in which we operate in order to minimize or mitigate any adverse effects of changes in tax law. We urge investors to consult with their legal and tax advisers regarding the implications of potential changes in tax laws on an investment in our common stock.</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The sale or issuance of our common stock to GeneFab may cause significant dilution and the sale of the shares of common stock acquired by GeneFab, or the perception that such sales may occur, could cause the price of our common stock to fall.</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an option under the transaction with GeneFab, GeneFab may choose to invest up to approximately $20 million to purchase up to 19,633,444 shares of our common stock, subject to certain limitations, including stockholder approval in certain circumstances and compliance with applicable law, for a period of 36 months after the option agreement effective date and following execution of a license agreement. The exercise of the option by GeneFab could result in a significant increase in the number of outstanding shares of our common stock and substantially dilute the ownership interest of our existing stockholders. In addition, we have agreed to register for resale these shares purchased by GeneFab under their option, subject to certain restrictions. If GeneFab chooses to sell its shares in the Company, the price of our shares could fluctuate based on the market price of the common stock during the period in which such sales occur. Additionally, the sale of a substantial number of shares of our common stock, or the anticipation of such sales, could make it more difficult for us to sell equity or equity-related securities in the future at a time and at a price that we might otherwise wish to effect sales.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It is not possible to predict the number of shares of our common stock, if any, that we may sell to Chardan Capital Markets LLC, or Chardan, under our common stock Purchase Agreement, or the Purchase Agreement, with Chardan, or the actual gross proceeds resulting from those sales, or the dilution to our stockholders from those sales.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31, 2022, we entered into the Purchase Agreement with Chardan, pursuant to which Chardan may purchase from us up to $50.0 million in shares of our common stock (the “Total Commitment”), upon the terms and subject to the conditions and limitations set forth in the Purchase Agreement. To date, we have sold $0.7 million in shares of our common stock to Chardan. The shares of our common stock that may be issued under the Purchase Agreement may be sold by us to Chardan at our discretion from time to time until the earliest to occur of (i) October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 2025, (ii) the date on which Chardan has purchased the Total Commitment pursuant to the Purchase Agreement, (iii) the date on which our common stock fails to be listed or quoted on Nasdaq or any successor market, and (iv) the date on which, pursuant to or within the meaning of any bankruptcy law, we commence a voluntary case or any person or entity commences a proceeding against us, a custodian is appointed for us or for all or substantially all of our property, or we make a general assignment for the benefit of our creditors.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generally have the right to control the timing and amount of any sales of our common stock to Chardan under the Purchase Agreement. Sales of our common stock to Chardan under the Purchase Agreement will depend upon market conditions and other factors to be determined by us. We may ultimately decide to sell to Chardan all or some of the common stock that may be available for us to sell to Chardan pursuant to the Purchase Agreement. Accordingly, we cannot guarantee that we will be able to sell all of the Total Commitment or how much in proceeds we may obtain under the Purchase Agreement. If we cannot sell securities under the Purchase Agreement, we may be required to utilize more costly and time-consuming means of accessing the capital markets, which could have a material adverse effect on our liquidity and cash position.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Because the purchase price per share of common stock to be paid by Chardan for the common stock that we may elect to sell to Chardan under the Purchase Agreement will fluctuate based on the market prices of our common stock at the time we elect to sell shares to Chardan pursuant to the Purchase Agreement it is not possible for us to predict, as of the date of this Quarterly Report on Form 10-Q and prior to any such sales, the number of shares of common stock that we will sell to Chardan under the Purchase Agreement, the purchase price per share that Chardan will pay for shares of common stock purchased from us under the Purchase Agreement, or the aggregate gross proceeds that we will receive from those purchases by Chardan under the Purchase Agreement.</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actual number of shares of our common stock issuable will vary depending on the then current market price of shares of our common stock sold to Chardan and the number of shares of common stock we ultimately elect to sell to Chardan under the Purchase Agreement. If it becomes necessary for us to issue and sell to Chardan under the Purchase Agreement more than the 8,727,049 shares of common stock we registered pursuant to the Purchase Agreement, in order to receive aggregate gross proceeds equal to $50.0 million under the Purchase Agreement, we will have to file with the SEC one or more additional registration statements to register under the Securities Act the resale by Chardan of any such additional shares of common stock we wish to sell from time to time under the Purchase Agreement, which the SEC must declare effective, in each case before we may elect to sell any additional shares of our common stock under the Purchase Agreement. Under applicable Nasdaq rules, in no event may we issue to Chardan more than 19.99% of the total number of shares of common stock that were outstanding immediately prior to the execution of the Purchase Agreement, unless we obtain prior stockholder approval or if such approval is not required in accordance with the applicable Nasdaq rules. In addition, Chardan is not obligated to buy any common stock under the Purchase Agreement if such shares, when aggregated with all other shares of our common stock then beneficially owned by Chardan and its affiliates (as calculated pursuant to Section 13(d) of the Exchange Act and Rule 13d-3 promulgated thereunder), would result in Chardan beneficially owning common stock in excess of 4.99% of our outstanding shares of common stock. Our inability to access a portion or the full amount available under the Purchase Agreement, in the absence of any other financing sources, could have a material adverse effect on our business or results of operation.</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Investors who buy common stock from Chardan at different times will likely pay different prices.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Purchase Agreement, the timing, price and number of shares sold to Chardan will vary depending on when we choose to sell shares, if any, to Chardan. If and when we elect to sell any additional common stock to Chardan pursuant to the Purchase Agreement, after Chardan has acquired such common stock, Chardan may resell all, some or none of such shares at any time or from time to time in its sole discretion and at different prices. As a result, investors who purchase shares from Chardan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Chardan as a result of future sales made by us to Chardan at prices lower than the prices such investors paid for their shares from Chardan.</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The sale or issuance of shares of our common stock to Chardan will result in additional outstanding shares and the resale of shares of our common stock by Chardan that it acquires pursuant to the Purchase Agreement, or the perception that such sales may occur, could cause the price of shares of our common stock to decrease.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the date of this Form 10-Q, we have issued 400,000 shares of common stock to Chardan under the Purchase Agreement, including 100,000 shares issued to Chardan as consideration for its execution and delivery of the Purchase Agreement. The shares of common stock issuable under the Purchase Agreement may be sold by us to Chardan at our sole discretion, subject to the satisfaction of certain conditions in the Purchase Agreement, from time to time, until the earliest to occur of (i) October 1, 2025, (ii) the date on which Chardan has purchased the Total Commitment pursuant to the Purchase Agreement, (iii) the date on which our common stock fails to be listed or quoted on Nasdaq or any successor market, and (iv) the date on which, pursuant to or within the meaning of any bankruptcy law, we commence a voluntary case or any person or entity commences a proceeding against us, a custodian is appointed for us or for all or substantially all of our property, or we make a general assignment for the benefit of our creditors. The purchase price for shares of our common stock that we may sell to Chardan under the Purchase Agreement will fluctuate based on the trading price of shares of our common stock. Depending on market liquidity at the time, sales of shares of our common stock may cause the trading price of shares of our common stock to decrease. We generally have the right to control the timing and amount of any future sales of shares of our common stock to Chardan. Additional sales of shares of our common stock, if any, to Chardan will depend upon market conditions and other factors to be determined by us. We may ultimately decide to sell to Chardan all or some of the additional shares of our common stock that may be available for us to sell pursuant to the Purchase Agreement. If and when we do sell shares of our common stock to Chardan, after Chardan has acquired shares of our common stock, Chardan may resell all, some or none of such shares of common stock at any time or from time to time in its discretion. Therefore, sales to Chardan by us could result in substantial dilution to the interests of other holders of shares of our common stock. In addition, if we sell a substantial number of shares of our common stock to Chardan under the Purchase Agreement, or if investors expect that we will do so, the actual sales of shares of our common stock or the mere existence of our arrangement with Chardan may make it more difficult for us to sell equity or equity-related securities in the future at a time and at a price that we might otherwise wish to effect such sales.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may use our cash resources, including proceeds from sales of our common stock made pursuant to the Purchase Agreement in ways with which you may not agree or in ways which may not yield a significant return.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broad discretion over the use of capital we have raised, including proceeds from sales of our common stock made pursuant to the Purchase Agreement, and you will not have the opportunity, as part of any decision to invest in our common stock, to assess whether the proceeds are being used appropriately. Accordingly, you will have to rely on the judgment of our management with respect to the use of these funds, with only limited information regarding management’s specific intentions. We may spend all or a portion of the net proceeds of our prior financing activities, including sales of our common stock under the Purchase Agreement, in ways that are not what our stockholders may desire or that may not yield favorable results. Because of the number and variability of factors that will determine our use of the net proceeds, their ultimate use may vary substantially from their currently intended use. The failure by us to apply these funds effectively could harm our business, and the net proceeds may be used for corporate purposes that do not increase our operating results or enhance the value of our common stock.</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was closed by the California Department of Financial Protection and Innovation, which appointed the Federal Deposit Insurance Corporation (“FDIC”) as receiver. Similarly, on March 12, 2023,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As of September 30, 2023, we had two letters of credit held with SVB in an aggregate amount of $3.3 million related to our facility lease. Due to the receivership of SVB, we may be unable to access such funds. In addition, if any of our suppliers or other parties with whom we conduct business are unable to access funds pursuant to such instruments or lending arrangements with such a financial institution, such parties’ ability to pay their obligations to us or to enter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into new commercial arrangements requiring additional payments to us could be adversely affected. In this regard,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the Company, the financial institutions with which we have or may enter into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with which we have or may enter into financial or business relationships, but could also include factors involving financial markets or the financial services industry generally.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pStyle w:val="TextBody"/>
        <w:bidi w:val="0"/>
        <w:spacing w:lineRule="auto" w:line="276" w:before="0" w:after="180"/>
        <w:ind w:left="0" w:right="0" w:hanging="360"/>
        <w:jc w:val="left"/>
        <w:rPr/>
      </w:pPr>
      <w:r>
        <w:rPr>
          <w:color w:val="000000"/>
        </w:rPr>
        <w:t>•</w:t>
      </w:r>
      <w:r>
        <w:rPr>
          <w:rFonts w:ascii="Times New Roman;sans-serif" w:hAnsi="Times New Roman;sans-serif"/>
          <w:b w:val="false"/>
          <w:color w:val="000000"/>
          <w:sz w:val="20"/>
        </w:rPr>
        <w:t>Delayed access to deposits or other financial assets or the uninsured loss of deposits or other financial assets;</w:t>
      </w:r>
    </w:p>
    <w:p>
      <w:pPr>
        <w:pStyle w:val="TextBody"/>
        <w:bidi w:val="0"/>
        <w:spacing w:lineRule="auto" w:line="276" w:before="0" w:after="180"/>
        <w:ind w:left="0" w:right="0" w:hanging="360"/>
        <w:jc w:val="left"/>
        <w:rPr/>
      </w:pPr>
      <w:r>
        <w:rPr>
          <w:color w:val="000000"/>
        </w:rPr>
        <w:t>•</w:t>
      </w:r>
      <w:r>
        <w:rPr>
          <w:rFonts w:ascii="Times New Roman;sans-serif" w:hAnsi="Times New Roman;sans-serif"/>
          <w:b w:val="false"/>
          <w:color w:val="000000"/>
          <w:sz w:val="20"/>
        </w:rPr>
        <w:t>Delayed or lost access to other working capital sources and/or delays, inability or reductions in our ability to enter into new credit facilities or access other working capital resources;</w:t>
      </w:r>
    </w:p>
    <w:p>
      <w:pPr>
        <w:pStyle w:val="TextBody"/>
        <w:bidi w:val="0"/>
        <w:spacing w:lineRule="auto" w:line="276" w:before="0" w:after="180"/>
        <w:ind w:left="0" w:right="0" w:hanging="360"/>
        <w:jc w:val="left"/>
        <w:rPr/>
      </w:pPr>
      <w:r>
        <w:rPr>
          <w:color w:val="000000"/>
        </w:rPr>
        <w:t>•</w:t>
      </w:r>
      <w:r>
        <w:rPr>
          <w:rFonts w:ascii="Times New Roman;sans-serif" w:hAnsi="Times New Roman;sans-serif"/>
          <w:b w:val="false"/>
          <w:color w:val="000000"/>
          <w:sz w:val="20"/>
        </w:rPr>
        <w:t xml:space="preserve">Potential or actual breach of contractual obligations that require the Company to maintain letters of credit or other credit support arrangements; </w:t>
      </w:r>
    </w:p>
    <w:p>
      <w:pPr>
        <w:pStyle w:val="TextBody"/>
        <w:bidi w:val="0"/>
        <w:spacing w:lineRule="auto" w:line="276" w:before="0" w:after="180"/>
        <w:ind w:left="0" w:right="0" w:hanging="360"/>
        <w:jc w:val="left"/>
        <w:rPr/>
      </w:pPr>
      <w:r>
        <w:rPr>
          <w:color w:val="000000"/>
        </w:rPr>
        <w:t>•</w:t>
      </w:r>
      <w:r>
        <w:rPr>
          <w:rFonts w:ascii="Times New Roman;sans-serif" w:hAnsi="Times New Roman;sans-serif"/>
          <w:b w:val="false"/>
          <w:color w:val="000000"/>
          <w:sz w:val="20"/>
        </w:rPr>
        <w:t>Potential or actual breach of financial covenants in any credit agreements or credit arrangements; or</w:t>
      </w:r>
    </w:p>
    <w:p>
      <w:pPr>
        <w:pStyle w:val="TextBody"/>
        <w:bidi w:val="0"/>
        <w:spacing w:lineRule="auto" w:line="276" w:before="0" w:after="180"/>
        <w:ind w:left="0" w:right="0" w:hanging="360"/>
        <w:jc w:val="left"/>
        <w:rPr/>
      </w:pPr>
      <w:r>
        <w:rPr>
          <w:color w:val="000000"/>
        </w:rPr>
        <w:t>•</w:t>
      </w:r>
      <w:r>
        <w:rPr>
          <w:rFonts w:ascii="Times New Roman;sans-serif" w:hAnsi="Times New Roman;sans-serif"/>
          <w:b w:val="false"/>
          <w:color w:val="000000"/>
          <w:sz w:val="20"/>
        </w:rPr>
        <w:t>Potential or actual cross-defaults in other credit agreements, credit arrangements or operating or financing agreements.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and otherwise have a material adverse impact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Risks Related to the Development and Clinical Testing of Our Product Candidates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current product candidates are in preclinical development and have never been tested in humans. One or all of our current product candidates may fail in clinical development or suffer delays that materially and adversely affect their commercial viability.</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no products on the market or that have gained regulatory approval or that have entered clinical trials. None of our product candidates has ever been tested in humans. Our ability to achieve and sustain profitability depends on obtaining regulatory approvals for and successfully commercializing product candidates, either alone or with collaborators.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Before obtaining regulatory approval for the commercial distribution of our product candidates, we or a collaborator must conduct extensive preclinical studies, followed by clinical trials to demonstrate the safety, purity and potency, or efficacy of our product candidates in humans. There is no guarantee that the FDA will permit us to conduct clinical trials. Further, we cannot be certain of the timely completion or outcome of our preclinical studies and cannot predict if the FDA or other regulatory authorities will accept our proposed clinical programs, our clinical protocols or if the outcome of our preclinical studies will ultimately support the further development of our preclinical programs or testing in humans. As a result, we cannot be sure that we will be able to submit IND or similar applications for our proposed clinical programs on the timelines we expect, if at all, and we cannot be sure that submission of INDs or similar applications will result in the FDA or other regulatory authorities allowing clinical trials for any of our product candidates to begin.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product candidates are in preclinical development and we are subject to the risks of failure inherent in the development of product candidates based on novel approaches, targets and mechanisms of action. Although we anticipate initiating clinical trials for our lead product candidates, there is no guarantee that we will be able to proceed with clinical development of any of these product candidates or that any product candidate will demonstrate a clinical benefit once we advance these candidates to testing in patients. Accordingly, you should consider our prospects in light of the costs, uncertainties, delays and difficulties frequently encountered by preclinical stage biotechnology companies such as ours.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may not be able to access the financial resources to continue development of, or to enter into any collaborations for, any of our current or potential future product candidates. This may be exacerbated if we experience any issues that delay or prevent regulatory approval of, or our ability to commercialize, a product candidate, such as: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negative or inconclusive results from our preclinical studies or clinical trials or the clinical trials of others for product candidates similar to ours, leading to a decision or requirement to conduct additional preclinical studies or clinical trials or abandon any or all of our programs;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adverse events experienced by participants in our clinical trials or by individuals using therapeutics similar to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delays in submitting INDs or comparable foreign applications, or delays or failures to obtain the necessary approvals from regulatory authorities to commence a clinical trial, or a suspension or termination of a clinical trial once commenced;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conditions imposed by the FDA or other regulatory authorities regarding the scope or design of our clinical trials;</w:t>
            </w:r>
          </w:p>
        </w:tc>
      </w:tr>
    </w:tbl>
    <w:tbl>
      <w:tblPr>
        <w:tblW w:w="546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310"/>
        <w:gridCol w:w="1310"/>
        <w:gridCol w:w="18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delays in enrolling research subjects in clinical trials;</w:t>
            </w:r>
          </w:p>
        </w:tc>
      </w:tr>
    </w:tbl>
    <w:tbl>
      <w:tblPr>
        <w:tblW w:w="437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985"/>
        <w:gridCol w:w="985"/>
        <w:gridCol w:w="14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high drop-out rates of research subjects;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39"/>
        <w:gridCol w:w="2677"/>
        <w:gridCol w:w="37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37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inadequate supply or quality of product candidate components or materials or other supplies necessary for the conduct of our clinical trials;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conditioning patients with fludarabine in advance of administering our product candidates, which may be difficult to source, costly, or increase the risk of infections and other adverse side effects;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chemistry, manufacturing and control (“CMC”) challenges associated with manufacturing and scaling up biologic product candidates to ensure consistent quality, stability, purity and potency among different batches used in clinical trials;</w:t>
            </w:r>
          </w:p>
        </w:tc>
      </w:tr>
    </w:tbl>
    <w:tbl>
      <w:tblPr>
        <w:tblW w:w="46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67"/>
        <w:gridCol w:w="1067"/>
        <w:gridCol w:w="15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greater-than-anticipated clinical trial costs;</w:t>
            </w:r>
          </w:p>
        </w:tc>
      </w:tr>
    </w:tbl>
    <w:tbl>
      <w:tblPr>
        <w:tblW w:w="740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872"/>
        <w:gridCol w:w="1872"/>
        <w:gridCol w:w="26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poor potency or effectiveness of our product candidates during clinical trials;</w:t>
            </w:r>
          </w:p>
        </w:tc>
      </w:tr>
    </w:tbl>
    <w:tbl>
      <w:tblPr>
        <w:tblW w:w="993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16"/>
        <w:gridCol w:w="2616"/>
        <w:gridCol w:w="37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37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unfavorable FDA or other regulatory authority inspection and review of a clinical trial or manufacturing site;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delays as a result of a pandemic or other public health emergency, or events associated with a pandemic or other health emergency;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failure of our third-party contractors or investigators to comply with regulatory requirements or otherwise meet their contractual obligations in a timely manner, or at all;</w:t>
            </w:r>
          </w:p>
        </w:tc>
      </w:tr>
    </w:tbl>
    <w:tbl>
      <w:tblPr>
        <w:tblW w:w="716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806"/>
        <w:gridCol w:w="1806"/>
        <w:gridCol w:w="25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delays and changes in regulatory requirements, policies and guidelines; or</w:t>
            </w:r>
          </w:p>
        </w:tc>
      </w:tr>
    </w:tbl>
    <w:tbl>
      <w:tblPr>
        <w:tblW w:w="788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014"/>
        <w:gridCol w:w="2014"/>
        <w:gridCol w:w="28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FDA or other regulatory authorities interpreting our data differently than we do.</w:t>
            </w:r>
          </w:p>
        </w:tc>
      </w:tr>
    </w:tbl>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 we and any existing or potential future collaborator may never receive approval to market and commercialize any product candidate. Even if we or any existing or potential future collaborator obtains regulatory approval, the approval may be for targets, disease indications or patient populations that are not as broad as we intended or desired or may require labeling that includes significant use or distribution restrictions or safety warnings. We or an existing or potential future collaborator may also be subject to post-marketing testing requirements to maintain regulatory approval.</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any of our current or potential future product candidates is ever tested in humans, it may not demonstrate the safety, purity and potency, or efficacy, necessary to become approvable or commercially viable.</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 of our current product candidates have ever been tested in humans. We may ultimately discover that our current product candidates do not possess certain properties that we believe are helpful for therapeutic effectiveness and safety or would otherwise support the submission of an IND on the timelines we expect, or at all. We do not know if the observations we have made regarding our gene circuits generally and our product candidates in particular will translate into any clinical response when tested in humans. As an example, while the Tumor-Associated Antigen (“TAA”) CD33 has been clinically validated as a target for an approved antibody-drug conjugate therapy, it has not been clinically validated as a target for CAR-NK or CAR-T therapies, and may not prove to be a clinically sufficient target for the CAR-NK therapies we are developing. As a result of these uncertainties related to our gene circuit platform technologies and our product candidates, we may never succeed in developing a marketable product based on our current product candidates. If any of our current or potential future product candidates prove to be ineffective, unsafe or commercially unviable, our entire pipeline could have little, if any, value, which could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gene circuit platform technologies are based on novel technologies that are unproven and may not result in approvable or marketable products, which exposes us to unforeseen risks and makes it difficult for us to predict the time and cost of product development and potential for regulatory approval.</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seeking to identify and develop a broad pipeline of product candidates using our gene circuit platform technologies. The scientific research that forms the basis of our efforts to develop product candidates with our platforms is still ongoing. We are not aware of any FDA approved therapeutics utilizing similar technologies as ours. Further, the scientific evidence to support the feasibility of developing therapeutic treatments based on our platform technologies is preliminary. As a result, we are exposed to a number of unforeseen risks and it is difficult to predict the types of challenges and risks that we may encounter during development of our product candidates. For example, we have not tested any of our current product candidates in humans, and our current data is limited to animal models and preclinical cell lines, the results of which may not translate into humans. Further, relevant animal models and assays may not accurately predict the safety and efficacy of our product candidates in humans, and we may encounter significant challenges creating appropriate models and assays for demonstrating the safety and efficacy of our product candidates. In addition, our gene circuit technologies have potential safety risks.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Given the novelty of our technologies, we intend to work closely with the FDA and comparable foreign regulatory authorities to evaluate our proposed approaches to obtain regulatory approval for our product candidates; however, due to a lack of comparable experiences, the regulatory pathway with the FDA and comparable regulatory authorities may be more complex and time-consuming relative to other more well-known therapeutics. Even if we obtain human data to support our product candidates, the FDA or comparable foreign regulatory agencies may lack experience in evaluating the safety and efficacy of our product candidates developed using our platforms, which could result in a longer than expected regulatory review process, increase our expected development costs, and delay or prevent commercialization of our product candidates. The validation process takes time and resources, may require independent third-party analyses, and may not be accepted or approved by the FDA and comparable foreign regulatory authorities. We cannot be certain that our approach will lead to the development of approvable or marketable products, alone or in combination with other therapies.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The occurrence of serious complications or side effects in connection with the use of our product candidates, either in clinical trials or post-approval, could lead to discontinuation of our clinical development programs, refusal of regulatory authorities to approve our product candidates, or, post-approval, revocation of marketing authorizations or refusal to approve applications for new indications, which could severely harm our business, prospects, operating results, and financial condition.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Undesirable side effects caused by any of our current or potential future product candidates could cause regulatory authorities to interrupt, delay, or halt clinical trials and could result in a more restrictive label or the delay or denial of regulatory approval by the FDA or other regulatory authorities. While we have not yet initiated clinical trials for SENTI-202, SENTI-404, or any other product candidate, it is likely that there will be side effects associated with their use. Results of our clinical trials could reveal a high and unacceptable severity and prevalence of these side effects. For example, if the NOT GATE gene circuit, engineered into one of our product candidates, such as SENTI-202, does not provide a clinically sufficient level of inhibition, it may kill healthy cells that it has been designed to preserve or may cause systemic immune cytotoxicity. It is possible that safety events or concerns such as these or others could negatively affect the development of our product candidates, including adversely impacting patient enrollment among the patient populations that we intend to treat. In such an event, our trials could be suspended or terminated, and the FDA or other regulatory authorities could order us to cease further development of or deny approval of a product candidate for any or all targeted indications. Such side effects could also affect patient recruitment or the ability of enrolled patients to complete the trial or result in potential product liability claims. To date, we have not observed any such effects in our preclinical studies, but there can be no guarantee that our current or future product candidates will not cause such effects in clinical trials. Any of these occurrences may materially and adversely impact our business and financial condition and impair our ability to generate revenues.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 clinical trials by their nature utilize a sample of the potential patient population. With a limited number of patients and limited duration of exposure, rare and severe side effects of a product candidate may only be uncovered when a significantly large number of patients are exposed to the product candidate or when patients are exposed for a longer period of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that any of our current or potential future product candidates receives regulatory approval and we or others identify undesirable side effects caused by one of these products, any of the following events could occur, which could result in the loss of significant revenue to us and materially and adversely impact our results of operations and business:</w:t>
      </w:r>
    </w:p>
    <w:p>
      <w:pPr>
        <w:pStyle w:val="TextBody"/>
        <w:bidi w:val="0"/>
        <w:spacing w:lineRule="auto" w:line="276" w:before="0" w:after="180"/>
        <w:ind w:left="0" w:right="0" w:hanging="180"/>
        <w:jc w:val="left"/>
        <w:rPr/>
      </w:pPr>
      <w:r>
        <w:rPr>
          <w:color w:val="000000"/>
        </w:rPr>
        <w:t>•</w:t>
      </w:r>
      <w:r>
        <w:rPr>
          <w:rFonts w:ascii="Times New Roman;sans-serif" w:hAnsi="Times New Roman;sans-serif"/>
          <w:b w:val="false"/>
          <w:color w:val="000000"/>
          <w:sz w:val="20"/>
        </w:rPr>
        <w:t>regulatory authorities may withdraw their approval of the product or seize the product;</w:t>
      </w:r>
    </w:p>
    <w:p>
      <w:pPr>
        <w:pStyle w:val="TextBody"/>
        <w:bidi w:val="0"/>
        <w:spacing w:lineRule="auto" w:line="276" w:before="0" w:after="180"/>
        <w:ind w:left="0" w:right="0" w:hanging="180"/>
        <w:jc w:val="left"/>
        <w:rPr/>
      </w:pPr>
      <w:r>
        <w:rPr>
          <w:color w:val="000000"/>
        </w:rPr>
        <w:t>•</w:t>
      </w:r>
      <w:r>
        <w:rPr>
          <w:rFonts w:ascii="Times New Roman;sans-serif" w:hAnsi="Times New Roman;sans-serif"/>
          <w:b w:val="false"/>
          <w:color w:val="000000"/>
          <w:sz w:val="20"/>
        </w:rPr>
        <w:t>we may be required to recall the product or change the way the product is administered to patients;</w:t>
      </w:r>
    </w:p>
    <w:p>
      <w:pPr>
        <w:pStyle w:val="TextBody"/>
        <w:bidi w:val="0"/>
        <w:spacing w:lineRule="auto" w:line="276" w:before="0" w:after="180"/>
        <w:ind w:left="0" w:right="0" w:hanging="180"/>
        <w:jc w:val="left"/>
        <w:rPr/>
      </w:pPr>
      <w:r>
        <w:rPr>
          <w:color w:val="000000"/>
        </w:rPr>
        <w:t>•</w:t>
      </w:r>
      <w:r>
        <w:rPr>
          <w:rFonts w:ascii="Times New Roman;sans-serif" w:hAnsi="Times New Roman;sans-serif"/>
          <w:b w:val="false"/>
          <w:color w:val="000000"/>
          <w:sz w:val="20"/>
        </w:rPr>
        <w:t>additional restrictions may be imposed on the marketing of the particular product or the manufacturing processes for the product or any component thereof;</w:t>
      </w:r>
    </w:p>
    <w:p>
      <w:pPr>
        <w:pStyle w:val="TextBody"/>
        <w:bidi w:val="0"/>
        <w:spacing w:lineRule="auto" w:line="276" w:before="0" w:after="180"/>
        <w:ind w:left="0" w:right="0" w:hanging="180"/>
        <w:jc w:val="left"/>
        <w:rPr/>
      </w:pPr>
      <w:r>
        <w:rPr>
          <w:color w:val="000000"/>
        </w:rPr>
        <w:t>•</w:t>
      </w:r>
      <w:r>
        <w:rPr>
          <w:rFonts w:ascii="Times New Roman;sans-serif" w:hAnsi="Times New Roman;sans-serif"/>
          <w:b w:val="false"/>
          <w:color w:val="000000"/>
          <w:sz w:val="20"/>
        </w:rPr>
        <w:t>we may be subject to fines, injunctions, or the imposition of civil or criminal penalties;</w:t>
      </w:r>
    </w:p>
    <w:p>
      <w:pPr>
        <w:pStyle w:val="TextBody"/>
        <w:bidi w:val="0"/>
        <w:spacing w:lineRule="auto" w:line="276" w:before="0" w:after="180"/>
        <w:ind w:left="0" w:right="0" w:hanging="180"/>
        <w:jc w:val="left"/>
        <w:rPr/>
      </w:pPr>
      <w:r>
        <w:rPr>
          <w:color w:val="000000"/>
        </w:rPr>
        <w:t>•</w:t>
      </w:r>
      <w:r>
        <w:rPr>
          <w:rFonts w:ascii="Times New Roman;sans-serif" w:hAnsi="Times New Roman;sans-serif"/>
          <w:b w:val="false"/>
          <w:color w:val="000000"/>
          <w:sz w:val="20"/>
        </w:rPr>
        <w:t>regulatory authorities may require the addition of labeling statements, such as a “black box” warning or a contraindication;</w:t>
      </w:r>
    </w:p>
    <w:p>
      <w:pPr>
        <w:pStyle w:val="TextBody"/>
        <w:bidi w:val="0"/>
        <w:spacing w:lineRule="auto" w:line="276" w:before="0" w:after="180"/>
        <w:ind w:left="0" w:right="0" w:hanging="180"/>
        <w:jc w:val="left"/>
        <w:rPr/>
      </w:pPr>
      <w:r>
        <w:rPr>
          <w:color w:val="000000"/>
        </w:rPr>
        <w:t>•</w:t>
      </w:r>
      <w:r>
        <w:rPr>
          <w:rFonts w:ascii="Times New Roman;sans-serif" w:hAnsi="Times New Roman;sans-serif"/>
          <w:b w:val="false"/>
          <w:color w:val="000000"/>
          <w:sz w:val="20"/>
        </w:rPr>
        <w:t>we may be required to create a medication guide outlining the risks of such side effects for distribution to patients;</w:t>
      </w:r>
    </w:p>
    <w:p>
      <w:pPr>
        <w:pStyle w:val="TextBody"/>
        <w:bidi w:val="0"/>
        <w:spacing w:lineRule="auto" w:line="276" w:before="0" w:after="180"/>
        <w:ind w:left="0" w:right="0" w:hanging="180"/>
        <w:jc w:val="left"/>
        <w:rPr/>
      </w:pPr>
      <w:r>
        <w:rPr>
          <w:color w:val="000000"/>
        </w:rPr>
        <w:t>•</w:t>
      </w:r>
      <w:r>
        <w:rPr>
          <w:rFonts w:ascii="Times New Roman;sans-serif" w:hAnsi="Times New Roman;sans-serif"/>
          <w:b w:val="false"/>
          <w:color w:val="000000"/>
          <w:sz w:val="20"/>
        </w:rPr>
        <w:t>we could be sued and held liable for harm caused to patients;</w:t>
      </w:r>
    </w:p>
    <w:p>
      <w:pPr>
        <w:pStyle w:val="TextBody"/>
        <w:bidi w:val="0"/>
        <w:spacing w:lineRule="auto" w:line="276" w:before="0" w:after="180"/>
        <w:ind w:left="0" w:right="0" w:hanging="180"/>
        <w:jc w:val="left"/>
        <w:rPr/>
      </w:pPr>
      <w:r>
        <w:rPr>
          <w:color w:val="000000"/>
        </w:rPr>
        <w:t>•</w:t>
      </w:r>
      <w:r>
        <w:rPr>
          <w:rFonts w:ascii="Times New Roman;sans-serif" w:hAnsi="Times New Roman;sans-serif"/>
          <w:b w:val="false"/>
          <w:color w:val="000000"/>
          <w:sz w:val="20"/>
        </w:rPr>
        <w:t>the product may become less competitive; and</w:t>
      </w:r>
    </w:p>
    <w:p>
      <w:pPr>
        <w:pStyle w:val="TextBody"/>
        <w:bidi w:val="0"/>
        <w:spacing w:lineRule="auto" w:line="276" w:before="0" w:after="180"/>
        <w:ind w:left="0" w:right="0" w:hanging="180"/>
        <w:jc w:val="left"/>
        <w:rPr/>
      </w:pPr>
      <w:r>
        <w:rPr>
          <w:color w:val="000000"/>
        </w:rPr>
        <w:t>•</w:t>
      </w:r>
      <w:r>
        <w:rPr>
          <w:rFonts w:ascii="Times New Roman;sans-serif" w:hAnsi="Times New Roman;sans-serif"/>
          <w:b w:val="false"/>
          <w:color w:val="000000"/>
          <w:sz w:val="20"/>
        </w:rPr>
        <w:t>our reputation may suffer.</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events could prevent us from achieving or maintaining market acceptance of the particular product candidate, if approved, and could significantly harm our business, results of operations, and prospects.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may not be successful in our efforts to use and expand our gene circuit platform to expand our pipeline of product candidates.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key element of our strategy is to use and advance our gene circuit platform to design, test and build our portfolio of product candidates focused on allogeneic gene circuit-equipped CAR-NK cell therapies for the treatment of cancer. Although our research and development efforts to date have resulted in our discovery and preclinical development of SENTI-202, SENTI-401 and other potential product candidates, none of these product candidates has advanced to clinical development. We cannot assure you that any of our existing product candidates will advance to clinical trials or, if they do, that such trials will demonstrate these product candidates to be safe or effective therapeutics, and we may not be able to successfully develop any product candidates. Even if we are successful in expanding our pipeline of product candidates, any additional product candidates that we identify may not be suitable for clinical development or generate acceptable clinical data, including as a result of being shown to have unacceptable effects or other characteristics that indicate that they are unlikely to be products that will receive marketing approval from the FDA or other regulatory authorities or achieve market acceptance. If we do not successfully develop and commercialize product candidates, we will not be able to generate product revenue in the future.</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Although we intend to explore other therapeutic opportunities in addition to the product candidates that we are currently developing, we may fail to identify viable new product candidates for clinical development for a number of reasons. If we fail to identify additional potential product candidates, our business could be materially harmed.</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Although a substantial amount of our efforts will focus on the planned clinical trials and potential approval of the current and potential future product candidates we are evaluating, a key element of our strategy is to discover, develop, and globally commercialize additional targeted therapies beyond our current product candidates to treat various conditions and in a variety of therapeutic areas. Even if we identify investigational therapies that initially show promise, we may fail to successfully develop and commercialize such products for many reasons, including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tbl>
      <w:tblPr>
        <w:tblW w:w="954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501"/>
        <w:gridCol w:w="2501"/>
        <w:gridCol w:w="35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sz w:val="4"/>
                <w:szCs w:val="4"/>
              </w:rPr>
            </w:pPr>
            <w:r>
              <w:rPr>
                <w:sz w:val="4"/>
                <w:szCs w:val="4"/>
              </w:rPr>
            </w:r>
          </w:p>
        </w:tc>
        <w:tc>
          <w:tcPr>
            <w:tcW w:w="35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research methodology used may not be successful in identifying potential investigational therapies;</w:t>
            </w:r>
          </w:p>
        </w:tc>
      </w:tr>
    </w:tbl>
    <w:tbl>
      <w:tblPr>
        <w:tblW w:w="827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128"/>
        <w:gridCol w:w="2128"/>
        <w:gridCol w:w="30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30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competitors may develop alternatives that render our investigational therapies obsolete;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investigational therapies we develop may nevertheless be covered by third parties’ patents or other exclusive rights;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 investigational therapy may, on further study, be shown to have harmful side effects or other characteristics that indicate it is unlikely to be effective or otherwise does not meet applicable regulatory criteria;</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 investigational therapy may not be capable of being produced in clinical or commercial quantities at an acceptable cost, or at all;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 approved product may not be accepted as safe and effective by trial participants, the medical community or third-party payors.</w:t>
            </w:r>
          </w:p>
        </w:tc>
      </w:tr>
    </w:tbl>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Identifying new investigational therapies requires substantial technical, financial and human resources, whether or not any investigational therapies are ultimately identified. Because we have limited financial and human resources, we may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 For example, if we do not accurately evaluate the commercial potential or target market for a particular product candidate or technology, we may relinquish valuable rights to that product candidate or technology through collaborations, licensing or other royalty arrangements in cases in which it would have been more advantageous for us to retain sole development and commercialization rights to such product candidate or technology.</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The market, physicians, patients, regulators and potential investors may not be receptive to our current or potential future product candidates and may be skeptical of the viability and benefits of our gene circuit pipeline technology because it is based on a relatively novel and complex technology.</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physicians, patients, regulators and potential investors, may be skeptical of the viability and benefits of our gene circuit pipeline technology or our product candidates because they are based on a relatively novel and complex technology and there can be no assurance that our product candidates or platform technologies will be understood, approved, or accepted. If potential investors are skeptical of the success of our pipeline products, our ability to raise capital and the value of our stock may be adversely affected. If physicians, patients, or regulators do not understand or accept our gene circuit platform technologies or our product candidates, we may be delayed in or unable to develop our product candidates.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regulatory approval is obtained for a product candidate, including SENTI-202 or SENTI-401, we may not generate or sustain revenue from sales of approved products. Market acceptance of our gene circuit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technologies and our current and potential future product candidates, if approved, will depend on, among other factors:</w:t>
      </w:r>
    </w:p>
    <w:tbl>
      <w:tblPr>
        <w:tblW w:w="734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858"/>
        <w:gridCol w:w="1858"/>
        <w:gridCol w:w="26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timing of our receipt of any marketing and commercialization approvals;</w:t>
            </w:r>
          </w:p>
        </w:tc>
      </w:tr>
    </w:tbl>
    <w:tbl>
      <w:tblPr>
        <w:tblW w:w="74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880"/>
        <w:gridCol w:w="1880"/>
        <w:gridCol w:w="26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terms of any approvals and the countries in which approvals are obtained;</w:t>
            </w:r>
          </w:p>
        </w:tc>
      </w:tr>
    </w:tbl>
    <w:tbl>
      <w:tblPr>
        <w:tblW w:w="843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174"/>
        <w:gridCol w:w="2174"/>
        <w:gridCol w:w="3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safety and efficacy of our product candidates and gene circuit technologies in general;</w:t>
            </w:r>
          </w:p>
        </w:tc>
      </w:tr>
    </w:tbl>
    <w:tbl>
      <w:tblPr>
        <w:tblW w:w="878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277"/>
        <w:gridCol w:w="2277"/>
        <w:gridCol w:w="32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32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prevalence and severity of any adverse side effects associated with our product candidates;</w:t>
            </w:r>
          </w:p>
        </w:tc>
      </w:tr>
    </w:tbl>
    <w:tbl>
      <w:tblPr>
        <w:tblW w:w="935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443"/>
        <w:gridCol w:w="2443"/>
        <w:gridCol w:w="34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34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limitations or warnings contained in any labeling approved by the FDA or other regulatory authority;</w:t>
            </w:r>
          </w:p>
        </w:tc>
      </w:tr>
    </w:tbl>
    <w:tbl>
      <w:tblPr>
        <w:tblW w:w="719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813"/>
        <w:gridCol w:w="1813"/>
        <w:gridCol w:w="25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relative convenience and ease of administration of our product candidates;</w:t>
            </w:r>
          </w:p>
        </w:tc>
      </w:tr>
    </w:tbl>
    <w:tbl>
      <w:tblPr>
        <w:tblW w:w="512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206"/>
        <w:gridCol w:w="1206"/>
        <w:gridCol w:w="17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success of our physician education programs;</w:t>
            </w:r>
          </w:p>
        </w:tc>
      </w:tr>
    </w:tbl>
    <w:tbl>
      <w:tblPr>
        <w:tblW w:w="860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223"/>
        <w:gridCol w:w="2223"/>
        <w:gridCol w:w="3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availability of coverage and adequate government and third-party payor reimbursement;</w:t>
            </w:r>
          </w:p>
        </w:tc>
      </w:tr>
    </w:tbl>
    <w:tbl>
      <w:tblPr>
        <w:tblW w:w="78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989"/>
        <w:gridCol w:w="1989"/>
        <w:gridCol w:w="28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28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pricing of our products, particularly as compared to alternative treatments;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availability of alternative effective treatments for the disease indications our product candidates are intended to treat and the relative risks, benefits and costs of those treatments.</w:t>
            </w:r>
          </w:p>
        </w:tc>
      </w:tr>
    </w:tbl>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any product candidate we commercialize fails to achieve market acceptance, it could have a material adverse impact on our business, financial condition, results of operations, and prospects.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While we believe our pipeline will yield multiple INDs, we may not be able to file INDs to commence clinical trials on the timelines we expect, and even if we are able to, the FDA may not permit us to proceed.</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expect our pipeline to yield multiple INDs beginning as early as 2023, including an IND for SENTI-202. We cannot be sure that submission of an IND will result in the FDA allowing testing and clinical trials to begin, or that, once begun, issues will not arise that suspend or terminate such clinical trials. The manufacturing of our product candidates, including SENTI-202 and SENTI-401, remains an emerging and evolving field. Accordingly, we expect chemistry, manufacturing and control related topics, including product specifications, will be a focus of IND reviews, which may delay the clearance of INDs. Additionally, even if such regulatory authorities agree with the design and implementation of the clinical trials set forth in an IND or clinical trial application, we cannot guarantee that such regulatory authorities will not change their requirements in the future.</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submission of an IND to the FDA before initiation of a clinical trial in the United States, certain human clinical trials involving recombinant or synthetic nucleic acid molecules are subject to oversight of institutional biosafety committees (“IBCs”), as set forth in the National Institutes of Health (“NIH”), Guidelines for Research Involving Recombinant or Synthetic Nucleic Acid Molecules, NIH Guidelines. Under the NIH Guidelines, recombinant and synthetic nucleic acids are defined as: (i) molecules that are constructed by joining nucleic acid molecules and that can replicate in a living cell (i.e., recombinant nucleic acids); (ii) nucleic acid molecules that are chemically or by other means synthesized or amplified, including those that are chemically or otherwise modified but can base pair with naturally occurring nucleic acid molecules (i.e., synthetic nucleic acids); or (iii) molecules that result from the replication of those described in (i) or (ii). Specifically, under the NIH Guidelines, supervision of human gene transfer trials includes evaluation and assessment by an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Interim, topline and preliminary data that we announce or publish from time to time for any clinical trials that we initiate may change as more patient data become available or as additional analyses are conducted, and as the data are subject to audit and verification procedures that could result in material changes in the final data.</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publicly disclose interim,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trial. We also make assumptions, estimates, calculations and conclusions as part of our analyses of data, and we may not have received or had the opportunity to fully and carefully evaluate all data. As a result, the interim, preliminary or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preliminary or topline data from our clinical studies. Interim, topline or preliminary data from clinical trials that we may complete are subject to the risk that one or more of the clinical outcomes may materially change as patient enrollment continues and more patient data become available. Adverse differences between preliminary, topline or interim data and final data could significantly harm our business prospects.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the value of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and our collaborators may not achieve projected discovery and development milestones and other anticipated key events in the time frames that we or they announce, which could have an adverse impact on our business and could cause our stock price to decline.</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expect that we will make public statements regarding the expected timing of certain milestones and key events, such as the commencement and completion of preclinical and IND-enabling studies in our own internally-developed programs or in our product candidate discovery programs with collaborators, as well as the submission and clearance of INDs and the commencement and completion of planned clinical trials in those programs. The actual timing of these events can vary dramatically due to a number of factors such as delays or failures in our or any future collaborators’ product candidate discovery and development programs, the amount of time, effort and resources committed by us and any future collaborators, and the numerous uncertainties inherent in the development of therapies. As a result, there can be no assurance that our or any future collaborators’ programs will advance or be completed in the time frames we or they announce or expect. If we or any collaborators fail to achieve one or more of these milestones or other key events as planned, our business could be materially adversely affected, and the price of our common stock could decline.</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Clinical trials are expensive, time-consuming and difficult to design and implement.</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Human clinical trials are expensive and difficult to design and implement, in part because they are subject to rigorous regulatory requirements. Because our current and potential future product candidates are based on new technologies and discovery approaches, we expect that they will require extensive research and development and have substantial manufacturing and processing costs. In addition, the FDA or other regulatory authorities may require us to perform additional testing before commencing clinical trials and be hesitant to allow us to enroll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patients impacted with our targeted disease indications in our future clinical trials. If we are unable to enroll patients impacted by our targeted disease indications in our future clinical trials, we would be delayed in obtaining potential proof-of-concept data in humans, which could extend our development timelines. In addition, costs to treat patients and to treat potential side effects that may result from our product candidates may be significant. Accordingly, our clinical trial costs are likely to be high and could have a material adverse effect on our business, financial condition, results of operations and prospects.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we encounter difficulties enrolling patients in our clinical trials, our clinical development activities could be delayed or otherwise adversely affected.</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may not be able to initiate or continue any clinical trials for our current or potential future product candidates if we are unable to locate and enroll a sufficient number of eligible patients to participate in these trials as required by the FDA or other regulatory authorities. We cannot predict how difficult it will be to enroll patients for trials in the indications we are studying. We may experience difficulties in patient enrollment in our clinical trials for a variety of reasons. The enrollment of patients depends on many factors, including:</w:t>
      </w:r>
    </w:p>
    <w:tbl>
      <w:tblPr>
        <w:tblW w:w="492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149"/>
        <w:gridCol w:w="1149"/>
        <w:gridCol w:w="16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severity of the disease under investigation;</w:t>
            </w:r>
          </w:p>
        </w:tc>
      </w:tr>
    </w:tbl>
    <w:tbl>
      <w:tblPr>
        <w:tblW w:w="650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607"/>
        <w:gridCol w:w="1607"/>
        <w:gridCol w:w="22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patient eligibility criteria defined in the clinical trial protocol;</w:t>
            </w:r>
          </w:p>
        </w:tc>
      </w:tr>
    </w:tbl>
    <w:tbl>
      <w:tblPr>
        <w:tblW w:w="813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085"/>
        <w:gridCol w:w="2085"/>
        <w:gridCol w:w="2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size of the patient population required for analysis of the trial’s primary endpoints;</w:t>
            </w:r>
          </w:p>
        </w:tc>
      </w:tr>
    </w:tbl>
    <w:tbl>
      <w:tblPr>
        <w:tblW w:w="725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832"/>
        <w:gridCol w:w="1832"/>
        <w:gridCol w:w="25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proximity and availability of clinical trial sites for prospective patients;</w:t>
            </w:r>
          </w:p>
        </w:tc>
      </w:tr>
    </w:tbl>
    <w:tbl>
      <w:tblPr>
        <w:tblW w:w="662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644"/>
        <w:gridCol w:w="1644"/>
        <w:gridCol w:w="23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willingness of physicians to refer their patients to our clinical trials;</w:t>
            </w:r>
          </w:p>
        </w:tc>
      </w:tr>
    </w:tbl>
    <w:tbl>
      <w:tblPr>
        <w:tblW w:w="908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366"/>
        <w:gridCol w:w="2366"/>
        <w:gridCol w:w="33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recruit clinical trial investigators with the appropriate competencies and experience;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clinicians’ and patients’ perceptions as to the potential risks and benefits of the product candidate being studied in relation to other available therapies, including any new drugs that may be approved for the indications we are investigating;</w:t>
            </w:r>
          </w:p>
        </w:tc>
      </w:tr>
    </w:tbl>
    <w:tbl>
      <w:tblPr>
        <w:tblW w:w="609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491"/>
        <w:gridCol w:w="1491"/>
        <w:gridCol w:w="21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obtain and maintain patient informed consents;</w:t>
            </w:r>
          </w:p>
        </w:tc>
      </w:tr>
    </w:tbl>
    <w:tbl>
      <w:tblPr>
        <w:tblW w:w="546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305"/>
        <w:gridCol w:w="1305"/>
        <w:gridCol w:w="18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patient eligibility and exclusion criteria for the trials;</w:t>
            </w:r>
          </w:p>
        </w:tc>
      </w:tr>
    </w:tbl>
    <w:tbl>
      <w:tblPr>
        <w:tblW w:w="642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586"/>
        <w:gridCol w:w="1586"/>
        <w:gridCol w:w="22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ability to monitor patients adequately during and after treatment;</w:t>
            </w:r>
          </w:p>
        </w:tc>
      </w:tr>
    </w:tbl>
    <w:tbl>
      <w:tblPr>
        <w:tblW w:w="882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292"/>
        <w:gridCol w:w="2292"/>
        <w:gridCol w:w="32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32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risk that patients enrolled in clinical trials will drop out of the trials before completion;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factors we may not be able to control, such as potential pandemics that may limit the availability of patients, principal investigators or staff or clinical sites to participate in our clinical trials.</w:t>
            </w:r>
          </w:p>
        </w:tc>
      </w:tr>
    </w:tbl>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future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Additionally, because some of our clinical trials will be in patients with advanced disease who may experience disease progression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or adverse events independent from our product candidates, such patients may be unevaluable for purposes of the trial and, as a result, we may require additional enrollment. Delays in patient enrollment may result in increased costs or may affect the timing or outcome of the planned clinical trials, which could prevent completion of these trials and adversely affect our ability to advance the development of our product candidates.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clinical trials for our product candidates are prolonged, delayed or stopped, we may be unable to seek or obtain regulatory approval and commercialize our product candidates on a timely basis, or at all, which would require us to incur additional costs and delay our receipt of any product revenue.</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may experience delays in our ongoing or future preclinical studies or clinical trials, and we do not know whether future preclinical studies or clinical trials will begin on time, need to be redesigned, enroll an adequate number of patients on time or be completed on schedule, if at all. The commencement or completion of these clinical trials could be substantially delayed or prevented by many factors, including: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further discussions with the FDA or comparable foreign regulatory authorities regarding the scope or design of our clinical trials, including the endpoint measures required for regulatory approval and our statistical plan;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limited number of, and competition for, suitable study sites and investigators to conduct our clinical trials, many of which may already be engaged in other clinical trial programs with similar patients, including some that may be for the same indications as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any delay or failure to obtain timely approval or agreement to commence a clinical trial in any of the countries where enrollment is planned;</w:t>
            </w:r>
          </w:p>
        </w:tc>
      </w:tr>
    </w:tbl>
    <w:tbl>
      <w:tblPr>
        <w:tblW w:w="615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509"/>
        <w:gridCol w:w="1509"/>
        <w:gridCol w:w="21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inability to obtain sufficient funds required for a clinical trial;</w:t>
            </w:r>
          </w:p>
        </w:tc>
      </w:tr>
    </w:tbl>
    <w:tbl>
      <w:tblPr>
        <w:tblW w:w="782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994"/>
        <w:gridCol w:w="1994"/>
        <w:gridCol w:w="28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clinical holds on, or other regulatory objections to, a new or ongoing clinical trial;</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delay or failure to manufacture sufficient quantities or inability to produce quantities of consistent quality, purity and potency of the product candidate for our clinical trials;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delay or failure to reach agreement on acceptable clinical trial agreement terms or clinical trial protocols with prospective sites or CROs, the terms of which can be subject to extensive negotiation and may vary significantly among different sites or CROs;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delay or failure to obtain institutional review board (“IRB”) or ethics committee approval to conduct a clinical trial at a prospective site;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FDA or other comparable foreign regulatory authorities may require us to submit additional data or impose other requirements before permitting us to initiate a clinical trial;</w:t>
            </w:r>
          </w:p>
        </w:tc>
      </w:tr>
    </w:tbl>
    <w:tbl>
      <w:tblPr>
        <w:tblW w:w="641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583"/>
        <w:gridCol w:w="1583"/>
        <w:gridCol w:w="22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slower than expected rates of patient recruitment and enrollment;</w:t>
            </w:r>
          </w:p>
        </w:tc>
      </w:tr>
    </w:tbl>
    <w:tbl>
      <w:tblPr>
        <w:tblW w:w="497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164"/>
        <w:gridCol w:w="1164"/>
        <w:gridCol w:w="16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failure of patients to complete the clinical trial;</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inability to enroll a sufficient number of patients in studies to ensure adequate statistical power to detect statistically significant treatment effects;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unforeseen safety issues, including severe or unexpected drug-related adverse events experienced by patients, including possible deaths;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lack of efficacy or failure to measure a statistically significant clinical benefit within the dose range with an acceptable safety margin during clinical trials;</w:t>
            </w:r>
          </w:p>
        </w:tc>
      </w:tr>
    </w:tbl>
    <w:tbl>
      <w:tblPr>
        <w:tblW w:w="648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608"/>
        <w:gridCol w:w="1608"/>
        <w:gridCol w:w="22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termination of our clinical trials by one or more clinical trial sites;</w:t>
            </w:r>
          </w:p>
        </w:tc>
      </w:tr>
    </w:tbl>
    <w:tbl>
      <w:tblPr>
        <w:tblW w:w="911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376"/>
        <w:gridCol w:w="2376"/>
        <w:gridCol w:w="33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33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inability or unwillingness of patients or clinical investigators to follow our clinical trial protocols;</w:t>
            </w:r>
          </w:p>
        </w:tc>
      </w:tr>
    </w:tbl>
    <w:tbl>
      <w:tblPr>
        <w:tblW w:w="798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042"/>
        <w:gridCol w:w="2042"/>
        <w:gridCol w:w="29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inability to monitor patients adequately during or after treatment by us or our CROs;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CROs or clinical trial sites failing to comply with regulatory requirements or meet their contractual obligations to us in a timely manner, or at all, deviating from the protocol or dropping out of a study;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inability to address any noncompliance with regulatory requirements or safety concerns that arise during the course of a clinical trial;</w:t>
            </w:r>
          </w:p>
        </w:tc>
      </w:tr>
    </w:tbl>
    <w:tbl>
      <w:tblPr>
        <w:tblW w:w="81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102"/>
        <w:gridCol w:w="2102"/>
        <w:gridCol w:w="29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impact of, and delays related to, health epidemics such as the COVID-19 pandemic;</w:t>
            </w:r>
          </w:p>
        </w:tc>
      </w:tr>
    </w:tbl>
    <w:tbl>
      <w:tblPr>
        <w:tblW w:w="917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395"/>
        <w:gridCol w:w="2395"/>
        <w:gridCol w:w="33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33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need to suspend, repeat or terminate clinical trials as a result of non-compliance with regulatory</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requirements, inconclusive or negative results or unforeseen complications in testing;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suspension or termination of our clinical trials upon a breach or pursuant to the terms of any agreement with, or for any other reason by, any future strategic collaborator that has responsibility for the clinical development of any of our product candidates.</w:t>
            </w:r>
          </w:p>
        </w:tc>
      </w:tr>
    </w:tbl>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regulatory requirements, policies and guidelines may also occur and we may need to significantly modify our clinical development plans to reflect these changes with appropriate regulatory authorities. These changes may require us to renegotiate terms with CROs or resubmit clinical trial protocols to IRBs for re-examination, which may impact the costs, timing or successful completion of a clinical trial. Our clinical trials may be suspended or terminated at any time by us, the FDA, other regulatory authorities, the IRB overseeing the clinical trial at issue, any of our clinical trial sites with respect to that site, or us.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failure or significant delay in commencing or completing clinical trials for our product candidates, any failure to obtain positive results from clinical trials, any safety concerns related to our product candidates, or any requirement to conduct additional clinical trials or other testing of our product candidates beyond those that we currently contemplate would adversely affect our ability to obtain regulatory approval and our commercial prospects and ability to generate product revenue will be diminished.</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we decide to seek orphan drug designation for one or more of our product candidates, we may be unsuccessful or may be unable to maintain the benefits associated with orphan drug designation for our current or future product candidates that we may develop.</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the Orphan Drug Act, the FDA may designate a product candidate as an orphan drug if it is a drug or biologic product intended to treat a rare disease or condition, which is generally defined as a patient population of fewer than 200,000 individuals annually in the United States, or where there is no reasonable expectation that the cost of developing the product will be recovered from sales in the United States. We may seek orphan drug designation for certain indications for our product candidates in the future. Orphan drug designation neither shortens the development time or regulatory review time of a drug nor gives the drug any advantage in the regulatory review or approval process. Orphan drug designation can entitle a party to financial incentives such as opportunities for grant funding towards clinical trial costs, tax advantages and user-fee waivers.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if a product candidate with an orphan drug designation receives the first marketing approval for the indication for which it has such designation, the product is entitled to a period of marketing exclusivity,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precludes the FDA from approving another marketing application for the same drug for the same indication for seven years. The FDA may reduce the seven-year exclusivity if the same drug from a competitor demonstrates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Even if one of our product candidates receives orphan exclusivity, the FDA can still approve other drugs that have a different active ingredient for use in treating the same indication or disease.</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exclusive marketing rights in the United States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can be approved for the same condition, and while we may seek orphan drug designation for our product candidates, we may never receive such designations. In addition, the FDA may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may not be able to conduct, or contract with others to conduct, animal testing in the future, which could harm our research and development activities.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Certain laws and regulations relating to drug development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w:t>
      </w:r>
    </w:p>
    <w:p>
      <w:pPr>
        <w:pStyle w:val="TextBody"/>
        <w:bidi w:val="0"/>
        <w:spacing w:lineRule="auto" w:line="276"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Risks Related to Third Parties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There can be no assurance that we will achieve all of the anticipated benefits of the transaction with GeneFab and we could face unanticipated challenges.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may not realize some or all of the anticipated benefits from the transaction with GeneFab and we may encounter post-closing risks. We may experience increased difficulty and loss of institutional knowledge if the employees to we expect to transfer to GeneFab do not accept their offers of employment, which could harm our business. Moreover, the transition to a new company may require significant time and resources from the employees of GeneFab, which may disrupt GeneFab’s business and distract management from other responsibilities, which may then result failure to achieve anticipated manufacturing production, which could adversely affect our timelines for our clinical trials and financial results.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rely on third parties to conduct our preclinical studies, and plan to rely on third parties to conduct clinical trials, and those third parties may not perform satisfactorily.</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rely on third-party clinical investigators, CROs, clinical data management organizations and consultants to design, conduct, supervise and monitor certain preclinical studies and any clinical trials. Because we intend to rely on these third parties and will not have the ability to conduct certain preclinical studies or clinical trials independently, we will have less control over the timing, quality and other aspects of such preclinical studies and clinical trials than we would have had we conducted them on our own. These investigators, CROs and consultants will not be our employees and we will have limited control over the amount of time and resources that they dedicate to our programs. Some of these third parties may terminate their engagements with us at any time. We also expect to have to negotiate budgets and contracts with CROs, clinical trial sites and contract manufacturing organizations and we may not be able to do so on favorable terms, which may result in delays to our development timelines and increased costs. If we need to enter into alternative arrangements with, or replace or add any third parties, it would involve substantial cost and require extensive management time and focus, or involve a transition period, and may delay our drug development activities, as well as materially impact our ability to meet our desired clinical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timelines. These third parties may have contractual relationships with other entities, some of which may be our competitors, which may draw time and resources from our programs. The third parties with which we may contract might not be diligent, careful or timely in conducting our preclinical studies or clinical trials, resulting in the preclinical studies or clinical trials being delayed or unsuccessful.</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Despite our reliance on third parties, we will ultimately be responsible for ensuring that each of our studies and trials is conducted in accordance with applicable protocol, legal and regulatory requirements and scientific standards, including good laboratory practice, or GLP, good clinical practice, or GCP, cGMP, and cGTP. For example, we will remain responsible for ensuring that each of our clinical trials is conducted in accordance with the general investigational plan and protocols for the trial. Moreover, the FDA and other regulatory authorities require us to comply with GCP standards, regulations for conducting, recording and reporting the results of clinical trials to assure that data and reported results are reliable and accurate and that the rights, integrity and confidentiality of trial participants are protected. Regulatory authorities enforce these GCP requirements through periodic inspections of trial sponsors, principal investigators and trial sites. If we or any of our CROs, clinical sites and investigators fail to comply with applicable GCP requirements, the clinical data generated in our clinical trials may be deemed unreliable and the FDA, European Medicines Agency, or EMA, or other regulatory authorities may require us to perform additional clinical trials before approving our marketing applications. There can be no assurance that upon inspection by a given regulatory authority, such regulatory authority will determine that any of our clinical trials substantially comply with GCP regulations. In addition, our clinical trials must be conducted with product candidates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FDA regulatory requirements as well as federal or state healthcare laws and regulations or healthcare privacy and security laws.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third parties do not successfully carry out their contractual duties, meet expected deadlines or conduct our clinical trials in accordance with regulatory requirements or our stated protocols, or if these third parties need to be replaced, we will not be able to obtain, or may be delayed in obtaining, marketing approvals for our product candidates and will not be able to, or may be delayed in our efforts to, successfully commercialize our product candidates. As a result, our financial results and the commercial prospects for our product candidates would be harmed, our costs could increase and our ability to generate revenue could be delayed.</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depend on strategic partnerships and collaboration arrangements, such as our collaboration arrangements with Spark Therapeutics, Inc., or Spark, and BlueRock Therapeutics, Inc., or BlueRock, for the application of our gene circuit platform technology to the development and commercialization of potential product candidates in certain indications, and if these arrangements are unsuccessful, this could impair our ability to generate revenues and materially harm our results of operations.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strategy for exploiting the potential of our gene circuit platform technology is dependent upon maintaining our current arrangements and establishing new arrangements with strategic partners, research collaborators and other third parties. We currently have collaboration agreements with Spark and BlueRock. These collaboration agreements provide for, among other things, research funding and significant future payments should certain development, regulatory and commercial milestones be achieved. Under these arrangements, our collaborators are typically responsible for:</w:t>
      </w:r>
    </w:p>
    <w:tbl>
      <w:tblPr>
        <w:tblW w:w="848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191"/>
        <w:gridCol w:w="2191"/>
        <w:gridCol w:w="31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31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electing to advance product candidates through preclinical and into clinical development;</w:t>
            </w:r>
          </w:p>
        </w:tc>
      </w:tr>
    </w:tbl>
    <w:tbl>
      <w:tblPr>
        <w:tblW w:w="974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560"/>
        <w:gridCol w:w="2560"/>
        <w:gridCol w:w="36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conducting clinical development and obtaining required regulatory approvals for product candidates; and</w:t>
            </w:r>
          </w:p>
        </w:tc>
      </w:tr>
    </w:tbl>
    <w:tbl>
      <w:tblPr>
        <w:tblW w:w="441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01"/>
        <w:gridCol w:w="1001"/>
        <w:gridCol w:w="14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commercializing any resulting products.</w:t>
            </w:r>
          </w:p>
        </w:tc>
      </w:tr>
    </w:tbl>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we may not be able to conduct these collaborations in the manner or on the time schedule we currently contemplate, which may negatively impact our business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development and commercialization of potential product candidates under our collaboration agreements could be substantially delayed, and our ability to receive future funding could be substantially impaired if one or more of our collaborators: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shifts its priorities and resources away from our collaborations due to a change in business strategies, or a merger, acquisition, sale or downsizing of its company or business unit;</w:t>
            </w:r>
          </w:p>
        </w:tc>
      </w:tr>
    </w:tbl>
    <w:tbl>
      <w:tblPr>
        <w:tblW w:w="786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012"/>
        <w:gridCol w:w="2012"/>
        <w:gridCol w:w="28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ceases development in therapeutic areas which are the subject of our collaboration;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fails to select a product candidate for advancement into preclinical development, clinical development, or subsequent clinical development into a marketed product;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the success criteria for a particular product candidate, thereby delaying or ceasing development of such product candidate;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significantly delays the initiation or conduct of certain activities which could delay our receipt of milestone payments tied to such activities, thereby impacting our ability to fund our own activities;</w:t>
            </w:r>
          </w:p>
        </w:tc>
      </w:tr>
    </w:tbl>
    <w:tbl>
      <w:tblPr>
        <w:tblW w:w="939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460"/>
        <w:gridCol w:w="2460"/>
        <w:gridCol w:w="34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34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develops a product candidate that competes, either directly or indirectly, with our product candidates;</w:t>
            </w:r>
          </w:p>
        </w:tc>
      </w:tr>
    </w:tbl>
    <w:tbl>
      <w:tblPr>
        <w:tblW w:w="702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764"/>
        <w:gridCol w:w="1764"/>
        <w:gridCol w:w="25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does not obtain the requisite regulatory approval of a product candidate;</w:t>
            </w:r>
          </w:p>
        </w:tc>
      </w:tr>
    </w:tbl>
    <w:tbl>
      <w:tblPr>
        <w:tblW w:w="581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409"/>
        <w:gridCol w:w="1409"/>
        <w:gridCol w:w="19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does not successfully commercialize a product candidate;</w:t>
            </w:r>
          </w:p>
        </w:tc>
      </w:tr>
    </w:tbl>
    <w:tbl>
      <w:tblPr>
        <w:tblW w:w="866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240"/>
        <w:gridCol w:w="2240"/>
        <w:gridCol w:w="31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encounters regulatory, resource or quality issues and is unable to meet demand requirements;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exercises its rights under the agreement to terminate the collaboration, or otherwise withdraws support for, or otherwise impairs development under the collaboration;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disagrees on the research, development or commercialization of a product candidate resulting in a delay in milestones, royalty payments or termination of research and development activities for such product candidate;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uses our proprietary information or intellectual property in such a way as to jeopardize our rights in such property.</w:t>
            </w:r>
          </w:p>
        </w:tc>
      </w:tr>
    </w:tbl>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termination of our existing collaborations or any future strategic partnership or collaboration arrangement that we enter into may prevent us from receiving any milestone, royalty payment, sharing of profits, and other benefits under such agreement. Furthermore, disagreements with these parties could require or result in litigation or arbitration, which would be time-consuming and expensive. Any of these events could have a material adverse effect on our ability to develop and commercialize any of our product candidates and may adversely impact our business, prospects, financial condition, and results of operations.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may not be able to enter into additional strategic transactions on acceptable terms, if at all, which could adversely affect our ability to develop and commercialize current and potential future product candidates and technologies, impact our cash position, increase our expenses and present significant distractions to our management.</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consider strategic transactions, such as collaborations, regional partnerships for the co-development and/or co-commercialization of our product candidates in selected territories, acquisitions of companies, asset purchases, joint ventures, out- or in-licensing of product candidates or technologies and partnerships involving our gene circuit platform technology. For example, we will evaluate and, if strategically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attractive, seek to enter into collaborations, including with biotechnology or biopharmaceutical companies, contract development manufacturing organizations or hospitals. On November 6, we announced that we had entered a strategic collaboration with Celest Therapeutics (Shanghai) Co. Ltd (“Celest”) for the clinical development of SENTI-301 to treat solid tumors in China. The competition for collaborators is intense, and the negotiation process is time-consuming and complex. If we are not able to enter into strategic transactions, or if we fail to realize a benefit from the collaboration with Celest or from a transaction with a different organization, we may not have access to required liquidity or expertise to further develop our potential future product candidates or our gene circuit platform. Any such collaboration, or other strategic transaction, may require us to incur non-recurring or other charges, increase our near- and long-term expenditures and pose significant integration or implementation challenges or disrupt our management or business.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also may acquire additional technologies and assets, form strategic alliances or create joint ventures with third parties that we believe will complement or augment our existing business, but we may not be able to realize the benefit of acquiring such assets. Conversely, any new collaboration that we do enter into may be on terms that are not optimal for us, our product candidates or our technologies. These transactions would entail numerous operational and financial risks, including:</w:t>
      </w:r>
    </w:p>
    <w:tbl>
      <w:tblPr>
        <w:tblW w:w="378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815"/>
        <w:gridCol w:w="815"/>
        <w:gridCol w:w="1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exposure to unknown liabilities;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disruption of our business and diversion of our management’s time and attention in order to negotiate and manage a collaboration or develop acquired products, product candidates or technologies;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incurrence of substantial debt or dilutive issuances of equity securities to pay transaction consideration or costs;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higher-than-expected collaboration, acquisition or integration costs, write-downs of assets or goodwill or impairment charges, increased amortization expenses;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difficulty and cost in facilitating the collaboration or combining the operations and personnel of any acquired business;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relationships with key suppliers, manufacturers or customers of any acquired business due to changes in management and ownership; and</w:t>
            </w:r>
          </w:p>
        </w:tc>
      </w:tr>
    </w:tbl>
    <w:tbl>
      <w:tblPr>
        <w:tblW w:w="621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528"/>
        <w:gridCol w:w="1528"/>
        <w:gridCol w:w="2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inability to retain key employees of any acquired business.</w:t>
            </w:r>
          </w:p>
        </w:tc>
      </w:tr>
    </w:tbl>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although there can be no assurance that we will undertake or successfully complete any transactions of the nature described above, any transactions that we do complete may be subject to the foregoing or other risks and our business could be materially harmed by such transactions. Conversely, any failure to enter any collaboration or other strategic transaction that would be beneficial to us could delay the development and potential commercialization of our product candidates and technologies and have a negative impact on the competitiveness of any product candidate or technology that reaches market.</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extent that any future collaborators terminate a collaboration agreement, we may be forced to independently develop our current and future product candidates and technologies, including funding preclinical studies or clinical trials, assuming marketing and distribution costs and maintaining, enforcing and defending intellectual property rights, or, in certain instances, abandon product candidates and technologies altogether, any of which could result in a change to our business plan and have a material adverse effect on our business, financial condition, results of operations and prospects.</w:t>
      </w:r>
    </w:p>
    <w:p>
      <w:pPr>
        <w:pStyle w:val="TextBody"/>
        <w:bidi w:val="0"/>
        <w:spacing w:lineRule="auto" w:line="276"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Risks Related to Manufacturing</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Manufacturing our current or future product candidates is complex and the third parties upon whom we rely to provide manufacturing services may encounter difficulties in production. If we encounter such difficulties,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ability to provide supply of our current or future product candidates for preclinical studies and clinical trials or, if approved, for commercial sale, for commercial purposes could be delayed or halted entirely.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process of manufacturing our current or future product candidates is complex and highly regulated, and it requires significant expertise. including the development of advanced manufacturing techniques and process controls. The process of manufacturing our product candidates is also extremely susceptible to product loss due to contamination, equipment failure or improper installation or operation of equipment, operator error, contamination and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contaminants are discovered in our product candidates or the manufacturing facilities in which they are made, the facilities may need to be closed for an extended period of time to investigate and remedy the contamination. As a result of the complexities, the cost to manufacture biologics in general, and our cell-based product candidates in particular, is generally higher than traditional small molecule chemical compounds, and the manufacturing process is less reliable and is more difficult to reproduce.</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our own manufacturing facilities or personnel and currently rely, and expect to continue to rely, on third party manufacturing organizations, or CMOs, and in particular GeneFab, for the manufacture of our current or future product candidates. GeneFab and any other CMO may not be able to provide adequate resources or capacity to meet our needs. If GeneFab or any other CMO with whom we contract fails to perform its obligations, we may be forced to enter into an agreement with a different CMO, which we may not be able to do on reasonable terms, if at all. This could significantly delay our clinical trials supply as we establish alternative supply sources. In some cases, the technical skills required to manufacture our product candidates or products, if approved,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adverse developments affecting manufacturing operations for our product candidates, if any are approved,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 Furthermore, it is too early to estimate our cost of goods sold. The actual cost to manufacture our product candidates could be greater than we expect because we are early in our development efforts.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Supply of our product candidates for preclinical and clinical development may become limited or interrupted or may not be of satisfactory quantity or quality, and we may experience delays if GeneFab is unable to operate and we are required to relay on third-party back-up manufacturers.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Initial manufacturing efforts under our agreements with GeneFab will focus on our lead programs, SENTI-202 and SENTI-401.We do not currently have arrangements in place for a redundant or second-source supply in the event the facility we sublease to GeneFab is not operational or GeneFab is otherwise unable to meet our supply requirements for our preclinical studies and planned clinical trials. Any delays in manufacturing our product candidates could impede, delay, limit or prevent our drug development efforts, which could harm our business, results of operations, financial condition and prospects.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currently produce our product candidates in quantities sufficient for preclinical and clinical development. We cannot be sure that the manufacturing processes employed by GeneFab or the technologies incorporated for manufacturing will result in viable or scalable yields of our product candidates that will be safe, effective, and meet market demand. GeneFab and any other third-party manufacturers we may contract with must meet applicable manufacturing requirements and undergo rigorous facility and process validation tests required by regulatory authorities in order to comply with regulatory standards, such as cGMP and cGTP. In the event that we or any third-party manufacturer fails to comply with such requirements or to perform obligations in relation to quality, timing or otherwise, or if our supply of components or other materials becomes limited or interrupted for other reasons, we may be forced to or enter into an agreement with another third party, which we may not be able to do on reasonable terms, or at all. In some cases, the technical skills or technology required to manufacture our current and future product candidates may be difficult or impossible to transfer to a third party and a feasible alternative may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exist. If we are required to change manufacturing facilities or manufacturers for any reason, we will be required to verify that the new facilities and procedures comply with quality standards and with all applicable regulations and guidelines.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manufacturing could negatively affect our ability to develop product candidates in a timely manner or within budget.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changes in manufacturers often involve changes in manufacturing procedures and processes, and to regulatory applications, which could require that we conduct bridging studies between our prior clinical supply used in our clinical trials and that of any new manufacturer, and therefore delay timelines. We may be unsuccessful in demonstrating the comparability of clinical supplies which could require the conduct of additional clinical trials.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we receive regulatory approval for any product candidate and we are unable, for any reason, to have sufficient quantities of the product produced, or if we are unable to obtain or maintain third-party manufacturing arrangements on commercially reasonable terms, we may not be able to commercialize the product candidate successfully. Failure to execute on our manufacturing requirements and comply with cGMP and cGTP could adversely affect our business in a number of ways, including:</w:t>
      </w:r>
    </w:p>
    <w:tbl>
      <w:tblPr>
        <w:tblW w:w="849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196"/>
        <w:gridCol w:w="2196"/>
        <w:gridCol w:w="3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3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 inability to initiate or continue clinical trials of product candidates under development;</w:t>
            </w:r>
          </w:p>
        </w:tc>
      </w:tr>
    </w:tbl>
    <w:tbl>
      <w:tblPr>
        <w:tblW w:w="942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464"/>
        <w:gridCol w:w="2464"/>
        <w:gridCol w:w="35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35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delay in submitting regulatory applications, or receiving regulatory approvals, for product candidates;</w:t>
            </w:r>
          </w:p>
        </w:tc>
      </w:tr>
    </w:tbl>
    <w:tbl>
      <w:tblPr>
        <w:tblW w:w="5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370"/>
        <w:gridCol w:w="1370"/>
        <w:gridCol w:w="19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of the cooperation of potential future collaborators;</w:t>
            </w:r>
          </w:p>
        </w:tc>
      </w:tr>
    </w:tbl>
    <w:tbl>
      <w:tblPr>
        <w:tblW w:w="908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366"/>
        <w:gridCol w:w="2366"/>
        <w:gridCol w:w="33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subjecting third-party manufacturing facilities to additional inspections by regulatory authorities;</w:t>
            </w:r>
          </w:p>
        </w:tc>
      </w:tr>
    </w:tbl>
    <w:tbl>
      <w:tblPr>
        <w:tblW w:w="767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951"/>
        <w:gridCol w:w="1951"/>
        <w:gridCol w:w="27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requirements to cease distribution or to recall batches of product candidates;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of approval to market and commercialize a product candidate, an inability to meet commercial demands for our products.</w:t>
            </w:r>
          </w:p>
        </w:tc>
      </w:tr>
    </w:tbl>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GeneFab or any other third-party manufacturers that we use may be unable to successfully scale the manufacturing of our current or potential future product candidates in sufficient quality and quantity, which would delay or prevent us from developing our current and potential future product candidates and commercializing approved products candidates, if any. GeneFab has never operated a cGMP facility before.</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conduct clinical trials for our current and potential future product candidates or to commercialize any approved product candidates, we will need to manufacture large quantities of these product candidates. We currently expect to rely exclusively on GeneFab to produce required quantities of SENTI-202. We, GeneFab, or any future manufacturing partners, may be unable to successfully increase the manufacturing capacity for any current or potential future product candidate in a timely or cost-effective manner, or at all. In addition, quality issues may arise during scale-up activities and may result in lower yields than initially expected. While we believe GeneFab will be able to sufficiently scale to produce commercial quantities, any significant revisions to the manufacturing process may create delays, which could negatively impact our overall development timelines. In addition, GeneFab has never operated a cGMP facility before. Difficulties may be encountered in operating the facility or meeting the requirements of the FDA or other regulatory authorities that we have not anticipated. If GeneFab cannot successfully scale the manufacture of any current or potential future product candidate in sufficient quality and quantity, the development, testing, clinical trials and commercialization of that product candidate may be delayed or infeasible and regulatory approval or commercial launch of any potential resulting product may be delayed or not obtained, which could significantly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are exposed to a number of risks related to our supply chain for the materials required to manufacture our product candidates.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our product candidates is highly complex and requires sourcing specialty materials. Many of the risks associated with the complexity of manufacturing our final products are applicable to the manufacture and supply of the raw materials. In particular, these starting materials are subject to inconsistency in yields, variability in characteristics, contamination, difficulties in scaling the production process and defects. Similar minor deviations in the manufacturing process for these starting materials could result in supply disruption and reduced production yields for our final product. In addition, we rely on third parties for the supply of these materials exposing us to similar risks of reliance on third parties as described above with respect to the manufacturing and supply of our drug products.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manufacturing processes requires many reagents, some of which are drug substance intermediates used in our manufacturing processes to bring about chemical or biological reactions, and other specialty materials and equipment, some of which are manufactured or supplied by small companies with limited resources and experience to support commercial production. We currently depend on a limited number of vendors for certain materials and equipment used in the manufacture of our product candidates. Some of these suppliers may not have the capacity to support commercial products manufactured under cGMP by biopharmaceutical firms or may otherwise be ill-equipped to support our needs. Reagents and other key materials from these suppliers may have inconsistent attributes and introduce variability into our manufactured product candidates, which may contribute to variable patient outcomes and possible adverse events.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some of these reagents, equipment, and materials, we rely and may in the future rely on sole source vendors or a limited number of vendors. An inability to continue to source product from any of these suppliers, which could be due to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GeneFab continues to develop and scale the manufacturing process for our product candidates, we expect that there will be a need to obtain rights to and supplies of certain materials and equipment to be used as part of that process. These rights may not be able to be obtained with respect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a product candidate that is already in clinical testing, the change may require us to perform comparability studies and to collect additional data from patients prior to undertaking more advanced clinical trials.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Changes in methods of product candidate manufacturing or formulation may result in the need to perform new clinical trials, which would require additional costs and cause delay.</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product candidates are developed through preclinical to late-stage clinical trials towards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ongoing, planned or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commence product sales and generate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Operations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the market opportunities for our current and potential future product candidates, including SENTI-202 and SENTI-401, are smaller than we believe they are, our future product revenues may be adversely affected, and our business may suffer.</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understanding of the number of people who suffer from diseases that our current product candidates may be able to treat are based on estimates. These estimates may prove to be incorrect, and new studies may reduce the estimated incidence or prevalence of these diseases. The number of patients in the United States or elsewhere may turn out to be lower than expected, may not be otherwise amenable to treatment with our current or potential future product candidates or patients may become increasingly difficult to identify and access, all of which would adversely affect our business prospects and financial condition. In particular, the treatable population for our candidates may further be reduced if our estimates of addressable populations are erroneous or sub-populations of patients do not derive benefit from our product candidates.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there are several factors that could contribute to making the actual number of patients who receive our current or potential future product candidates less than the potentially addressable market. These include the lack of widespread availability of, and limited reimbursement for, new therapies in many underdeveloped markets.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face competition from companies that have developed or may develop product candidates for the treatment of the diseases that we may target, including companies developing novel therapies and platform technologies. If these companies develop platform technologies or product candidates more rapidly than we do, or if their platform technologies or product candidates are more effective or have fewer side effects, our ability to develop and successfully commercialize product candidates may be adversely affected.</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development and commercialization of cell and gene therapies is highly competitive. We compete with a variety of large pharmaceutical companies, multinational biopharmaceutical companies, other biopharmaceutical companies and specialized biotechnology companies, as well as technology and/or therapeutics being developed at universities and other research institutions. Our competitors are often larger and better funded than we are. Our competitors have developed, are developing or will develop product candidates and processes competitive with ours. Competitive therapeutic treatments include those that have already been approved and accepted by the medical community and any new treatments that are currently in development or that enter the market. We believe that a significant number of product candidates are currently under development, and may become commercially available in the future, for the treatment of conditions for which we may try to develop product candidates. There is intense and rapidly evolving competition in the biotechnology and biopharmaceutical fields. We believe that while our gene circuit platform, its associated intellectual property portfolio, the characteristics of our current and potential future product candidates and our scientific and technical know-how together give us a competitive advantage in this space, competition from many sources remains.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 candidates, the ease with which our product candidates can be administered, the timing and scope of regulatory approvals for these product candidates, the availability and cost of manufacturing, marketing and sales capabilities, price, reimbursement coverage and patent position. Competing products and product candidates could present superior treatment alternatives, including by being more effective, safer, less expensive or marketed and sold more effectively than any products we may develop. Competitive products and product candidates may make any product we develop obsolete or noncompetitive before we recover the expense of developing and commercializing such product. Such competitors could also recruit our employees, which could negatively impact our level of expertise and our ability to execute our business plan.</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Any inability to attract and retain qualified key management, technical personnel and employees would impair our ability to implement our business plan.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largely depends on the continued service of key executive management, advisors and other specialized personnel, including Timothy Lu, our Chief Executive Officer, Kanya Rajangam, our Chief Medical and Development Officer, and Deborah Knobelman, our Chief Financial Officer. Our senior management may terminate their employment with us at any time. We do not maintain “key person” insurance for any of our employees.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loss of one or more members of our executive team, management team or other key employees or advisors could delay our research and development programs and have a material adverse effect on our business, financial condition, results of operations and prospects.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Recruiting and retaining qualified scientific and clinical personnel and, if we progress the development of any of our product candidates, commercialization, manufacturing and sales and marketing personnel, will be critical to our success. The loss of the services of members of our senior management or other key employees could impede the achievement of our research, development and commercialization objectives and seriously harm our ability to successfully implement our business strategy. Furthermore, replacing members of our senior management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Our success also depends on our ability to continue to attract, retain and motivate highly skilled junior, mid-level and senior managers, as well as junior, mid-level and senior scientific and medical personnel. Competition to hire from this limited candidate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may experience difficulties in managing our growth and expanding our operations.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limited experience in therapeutic development. As our current and potential future product candidates enter and advance through preclinical studies and any clinical trials, we will need to expand our development and regulatory capabilities or contract with other organizations to provide these capabilities for us.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 manage our anticipated future growth, we will continue to implement and improve our managerial, operational, and financial systems, and continue to recruit and train additional qualified personnel. Due to our limited financial resources and the complexity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future growth imposes significant added responsibilities on members of management, including: identifying, recruiting, integrating, maintaining, and motivating additional employees; managing our internal development efforts effectively, including the clinical and FDA review process for our product candidates, while complying with our contractual obligations to contractors and other third parties; and improving our operational, financial and management controls, reporting systems and procedures.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may also experience difficulties in the discovery and development of potential future product candidates using our gene circuit platform if we are unable to meet demand as we grow our operations. In the future, we also expect to have to manage additional relationships with collaborators, suppliers and other organizations. Our ability to manage our operations and future growth will require us to continue to improve our operational, financial and management controls, reporting systems and procedures and secure adequate facilities for our operational needs. We may not be able to implement improvements to our management information and control systems in an efficient or timely manner and may discover deficiencies in existing systems and controls.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strategic re-prioritization plan announced in January, 2023 may not result in the full anticipated benefits or may limit or disrupt our operations.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we announced a pipeline re-prioritization plan to streamline our internal research and development efforts, and focus our internal resources on SENTI-202 and SENTI-401, and, with potential partners, to develop gene circuits for other programs. We may not realize the potential benefits, savings, cash runway extensions or improvements in our cost structure from our re-prioritization efforts due to unexpected difficulties, delays, or costs. Further, we may not be able to enter into partnerships for programs that we do not intend to develop internally on acceptable terms or within the timeframes that we expect, or we may not realize the anticipated benefits of those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partnerships we do secure, and we may be forced to dedicate additional time and resources to the maintenance of these programs or to our efforts to enter new or additional partnerships. If we are unable to realize anticipated cost savings from the reorganization, our operating results and financial condition may be adversely affected. Furthermore, implementing changes to our corporate strategy may be disruptive to our operations. For example, we may engage in workforce reductions that could yield unexpected consequences, such as turnover beyond planned reductions or increased difficulty in our day-to-day operations. Any workforce reductions could harm our ability to attract and retain qualified personnel who are critical to our business. Any failure to attract or retain qualified personnel could prevent us from successfully executing key technical and scientific initiatives.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any of our product candidates is approved for marketing and commercialization in the future and we are unable to develop sales, marketing and distribution capabilities on our own or enter into agreements with third parties to perform these functions on acceptable terms, we will be unable to successfully commercialize any such future products.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have no sales, marketing or distribution capabilities or experience. We will need to develop internal sales, marketing and distribution capabilities to commercialize each current and potential future product candidate that gains, if ever, FDA or other regulatory authority approval, which would be expensive and time-consuming, or enter into collaborations with third parties to perform these services. If we decide to market any approved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any approved products or decide to co-promote products with third parties,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we cannot assure you that such third parties will establish adequate sales and distribution capabilities or be successful in gaining market acceptance for any approved product. If we are not successful in commercializing any product approved in the future, either on our own or through third parties, our business and results of operations could be materially and adversely affected.</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potential future international operations may expose us to business, political, operational and financial risks associated with doing business outside of the United States.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risks associated with conducting business internationally. Some of our future clinical trials may be conducted outside of the United States and we may enter into key supply arrangements or do other business with persons outside of the United States. Furthermore, if we or any future collaborator succeeds in developing any products, we anticipate marketing them in the European Union and other jurisdictions in addition to the United States. If approved, we or any future collaborator may hire sales representatives and conduct physician and patient association outreach activities outside of the United States. Doing business internationally involves a number of risks, including but not limited to:</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multiple, conflicting and changing laws and regulations such as those relating to privacy, data protection and cybersecurity, tax laws, export and import restrictions, employment laws, regulatory requirements and other governmental approvals, permits and licenses;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failure by us to obtain and maintain regulatory approvals for the commercialization of our product candidates in various countries;</w:t>
            </w:r>
          </w:p>
        </w:tc>
      </w:tr>
    </w:tbl>
    <w:tbl>
      <w:tblPr>
        <w:tblW w:w="933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437"/>
        <w:gridCol w:w="2437"/>
        <w:gridCol w:w="34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34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rejection or qualification of foreign clinical trial data by the competent authorities of other countries;</w:t>
            </w:r>
          </w:p>
        </w:tc>
      </w:tr>
    </w:tbl>
    <w:tbl>
      <w:tblPr>
        <w:tblW w:w="5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367"/>
        <w:gridCol w:w="1367"/>
        <w:gridCol w:w="19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potentially relevant third-party patent rights;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complexities and difficulties in obtaining, maintaining, protecting and enforcing our intellectual property rights;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tbl>
      <w:tblPr>
        <w:tblW w:w="569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373"/>
        <w:gridCol w:w="1373"/>
        <w:gridCol w:w="19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difficulties in staffing and managing foreign operations;</w:t>
            </w:r>
          </w:p>
        </w:tc>
      </w:tr>
    </w:tbl>
    <w:tbl>
      <w:tblPr>
        <w:tblW w:w="936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447"/>
        <w:gridCol w:w="2447"/>
        <w:gridCol w:w="34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34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complexities associated with managing multiple payor reimbursement regimes, government payors or</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patient self-pay systems;</w:t>
            </w:r>
          </w:p>
        </w:tc>
      </w:tr>
    </w:tbl>
    <w:tbl>
      <w:tblPr>
        <w:tblW w:w="555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332"/>
        <w:gridCol w:w="1332"/>
        <w:gridCol w:w="18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limits in our ability to penetrate international markets;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0"/>
        <w:gridCol w:w="2690"/>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financial risks, such as longer payment cycles, difficulty collecting accounts receivable, the impact of local and regional financial crises on demand and payment for our products and exposure to foreign currency exchange rate fluctuations;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89"/>
        <w:gridCol w:w="2689"/>
        <w:gridCol w:w="38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natural disasters, political and economic instability, including wars, terrorism and political unrest, outbreak of disease (including the lingering impact of the COVID-19 pandemic), boycotts, curtailment of trade and other business restrictions;</w:t>
            </w:r>
          </w:p>
        </w:tc>
      </w:tr>
    </w:tbl>
    <w:tbl>
      <w:tblPr>
        <w:tblW w:w="864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238"/>
        <w:gridCol w:w="2238"/>
        <w:gridCol w:w="31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31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expenses including, among others, expenses for travel, translation and insurance;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and compliance risks that relate to anti-corruption compliance and record-keeping that may fall within the purview of the U.S. Foreign Corrupt Practices Act, its accounting provisions or its anti-bribery provisions or provisions of anti-corruption or anti-bribery laws in other countries.</w:t>
            </w:r>
          </w:p>
        </w:tc>
      </w:tr>
    </w:tbl>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factors could harm our ongoing international operations and supply chain, as well as any future international expansion and operations and, consequently, our business, financial condition, prospects and results of operations.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business entails a significant risk of product liability, and our inability to obtain sufficient insurance coverage could have a material adverse effect on our business, financial condition, results of operations and prospects.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we conduct preclinical studies and future clinical trials of our current and potential future product candidates, we will be exposed to significant product liability risks inherent in the development, testing, manufacturing and marketing of these product candidates.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Any insurance we have or may obtain may not provide sufficient coverage against potential liabilities. Furthermore, clinical trial and product liability insurance is becoming increasingly expensive. As a result, we or any future collaborators may be unable to obtain sufficient insurance at a reasonable cost to protect us against losses caused by product liability claims that could have a material adverse effect on our business, financial condition, results of operations and prospects.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employees, principal investigators, consultants and commercial collaborators may engage in misconduct or other improper activities, including noncompliance with regulatory standards and requirements.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the risk of fraud or other misconduct by our employees, principal investigators, consultants and commercial collaborators. Misconduct by employees could include intentional failures to comply with FDA regulations, provide accurate information to the FDA, comply with manufacturing standards we may establish,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promotion, sales commission, customer incentive programs and other business arrangements.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material adverse effect on our business and financial condition, including the imposition of significant criminal, civil and administrative fines or other sanctions, such as monetary penalties, damages, fines, disgorgement, imprisonment, exclusion from participation in government-funded healthcare programs, such as Medicare and Medicaid, integrity obligations, reputational harm and the curtailment or restructuring of our operations.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depend on sophisticated information technology systems and data processing to operate our business. If we experience security or data privacy breaches or other unauthorized or improper access to, use of, or destruction of our proprietary or confidential data, employee data or personal data, we may face costs, significant liabilities, harm to our brand and business disruption.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information technology systems and data processing that we or our service providers, collaborators, consultants, contractors or partners operate to collect, process, transmit and store electronic information in our day-to-day operations, including a variety of personal data, such as name, mailing address, email addresses, phone number and potentially clinical trial information. Additionally, we, and our service providers, collaborators, consultants, contractors or partners, do or will collect, receive, store, process, generate, use, transfer, disclose, make accessible, protect and share personal information, health information and other information to host or otherwise process some of our anticipated future clinical data and that of users, develop our products, to operate our business, for clinical trial purposes, for legal and marketing purposes, and for other business-related purposes. Our internal computer systems and data processing and those of our third-party vendors, consultants, collaborators, contractors or partners, including future CROs may be vulnerable to a cyber-attack (including supply chain cyber-attacks), malicious intrusion, breakdown, destruction, loss of data privacy, actions or inactions by our employees or contractors that expose security vulnerabilities, theft or destruction of intellectual property or other confidential or proprietary information, business interruption or other significant security incidents. As the cyber-threat landscape evolves, these attacks are growing in frequency, level of persistence, sophistication and intensity, and are becoming increasingly difficult to detect. In addition to traditional computer “hackers,” threat actors, software bugs, malicious code (such as viruses and worms), employee theft or misuse, denial-of-service attacks (such as credential stuffing), phishing and ransomware attacks, sophisticated nation-state and nation-state supported actors now engage in attacks (including advanced persistent threat intrusions). These risks may be increased as a result of the COVID-19 pandemic, owing to an increase in personnel working remotely and higher reliance on internet technology.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we, our service providers, collaborators, consultants, contractors or partners will be successful in efforts to detect, prevent or fully recover systems or data from all breakdowns, service interruptions, attacks or breaches of systems that could adversely affect our business and operations and/or result in the loss of critical or sensitive data. Any failure by us or our service providers, collaborators, consultants, contractors or partners to detect, prevent, respond to or mitigate security breaches or improper access to, use of, or inappropriate disclosure of any of this information or other confidential or sensitive information, including patients’ personal data, or the perception that any such failure has occurred, could result in claims, litigation, regulatory investigations and other proceedings, significant liability under state, federal and international law, and other financial, legal or reputational harm to us. Further, such failures or perceived failures could result in liability and a material disruption of our development programs and our business operations, which could lead to significant delays or setbacks in our research, delays to commercialization of our product candidates, lost revenues or other adverse consequences, any of which could have a material adverse effect on our business, results of operations, financial condition, prospects and cashflow. For example, the loss or alteration of clinical trial data from future clinical trials could result in delays in our regulatory approval efforts and significantly increase our costs to recover or reproduce the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applicable laws and regulations relating to privacy, data protection or cybersecurity, external contractual commitments and internal privacy and security policies may require us to notify relevant stakeholders if there has been a security breach, including affected individuals, business partners and regulators. Such disclosures are costly, and the disclosures or any actual or alleged failure to comply with such requirements could lead to a materially adverse impact on the business, including negative publicity, a loss of confidence in our services or security measures by our business partners or breach of contract claims. There can be no assurance that the limitations of liability in our contracts would be enforceable or adequate or would otherwise protect us from liabilities or damages if we fail to comply with applicable data protection laws, privacy policies or other data protection obligations related to information security or security breaches.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we do not comply with laws regulating the protection of the environment and health and human safety, our business could be adversely affected.</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development and manufacturing involve the use of hazardous materials and various chemicals. We maintain quantities of various flammable and toxic chemicals that are required for our research, development and manufacturing activities. We are subject to federal, state and local laws and regulations governing the use, manufacture, storage, handling and disposal of these hazardous materials. We believe our procedures for storing, handling and disposing of these materials comply with the relevant guidelines of the state of California and the Occupational Safety and Health Administration of the U.S. Department of Labor.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animals and biohazardous materials. Although we maintain workers’ compensation insurance to cover us for costs and expenses we may incur due to injuries to our employees resulting from the use of these materials, this insurance may not provide adequate coverage against potential liabilities. Although we have some environmental liability insurance, we may not maintain adequate insurance for all environmental liability or toxic tort claims that may be asserted against us in connection with our storage or disposal of biological or hazardous materials. Additional federal, state and local laws and regulations affecting our operations may be adopted in the future. We may incur substantial costs to comply with, and substantial fines or penalties if we violate, any of these laws or regulations.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business, operations and clinical development plans and timelines could be adversely affected by global economic and political developments, including high inflation and capital market disruption, the war in Ukraine, the current armed conflict in Israel and the Gaza Strip, economic sanctions and economic slowdowns or recessions, including any lingering impact from the COVID-19 pandemic, or the manufacturing, clinical trial and other business activities performed by us or by third parties with whom we may conduct business, including our anticipated contract manufacturers, CROs, shippers and others.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global financial crisis or slowdown could cause volatility and disruptions in the capital and credit markets. Similarly, any global health epidemic, such as the COVID-19 pandemic, could cause disruptions in our operations and in the operations of third-party manufacturers, CROs, and other third-parties on whom we rely. More recently, the global economy has been impacted by increasing interest rates and high inflation, as well as by the war in Ukraine and the armed conflict in Israel and the Gaza Strip, and the possibility of a wider European and/or Middle-East or global conflict. A severe or prolonged economic downturn could result in a variety of risks to our business, including a reduced ability to raise additional capital when needed on acceptable terms, or at all. Additionally, a weak or declining economy or international trade disputes could strain our suppliers, some of whom are located outside the United States, potentially resulting in supply disruption. Also, the global COVID-19 pandemic and government measures taken in response have also had a significant impact on businesses and commerce worldwide. In connection with COVID-19, we implemented work-from-home policies for most employees. The effects of our work-from-home policies may negatively impact productivity, disrupt our business and delay our clinical programs and timelines, the magnitude of which will depend, in part, our ability to conduct our business in the ordinary course.</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our relationships with our suppliers or other vendors are terminated or scaled back as a result of a health epidemic, we may not be able to enter into arrangements with alternative suppliers or vendors or do so on commercially reasonable terms or in a timely manner. Switching or adding additional suppliers or vendors involves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substantial cost and requires management time and focus. In addition, there is a natural transition period when a new supplier or vendor commences work. As a result, delays may occur, which could adversely impact our ability to meet our desired clinical development and any future commercialization timelines. Although we carefully manage our relationships with our suppliers and vendors, there can be no assurance that we will not encounter challenges or delays in the future or that these delays or challenges will not harm our business.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preclinical studies and future clinical trials may be affected by global health emergencies. Clinical site initiation, patient enrollment and activities that require visits to clinical sites, including data monitoring, may be delayed due to prioritization of hospital resources toward addressing pandemic concerns among patients about participating in clinical trials during a pandemic. Some patients may have difficulty following certain aspects of clinical trial protocols if quarantines impede patient movement or interrupt healthcare services. These challenges may also increase the costs of completing our clinical trials. Similarly, if we are unable to successfully recruit and retain patients and principal investigators and site staff who, as healthcare providers, may have heightened exposure to illness during a global health emergency or experience additional restrictions by their institutions, city or state, our preclinical studies and future clinical trial operations could be adversely impacted.</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global COVID-19 pandemic has disrupted and may continue to disrupt healthcare delivery and healthcare regulatory systems. Such disruptions could divert healthcare resources, or delay the review and approval by the FDA or other regulatory bodies, thereby causing delay for our clinical trials. During a global health crisis, certain manufacturing facilities and materials may be commandeered under the Defense Production Act of 1950, or equivalent foreign legislation, which may make it more difficult to obtain materials or manufacturing slots for the product candidates needed for our clinical trials, which could lead to delays in these trials. These and similar, and perhaps more severe, disruptions in our operations could have a material adverse effect on our business, results of operations, cash flows, financial condition and/or prospects.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effects of a pandemic could have a material impact on our operations, and to the extent a pandemic adversely affects our business, results of operations, cash flows, financial condition and/or prospects, it may also have the effect of heightening many of the other risks described in this “Risk Factors” section.</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Market volatility and economic downturns may harm our business and results of operations and negatively affect our stock price.</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overall performance depends, in part, on worldwide economic conditions. In recent months, we have observed increased economic uncertainty in the United States and abroad. Impacts of such economic weakness include:</w:t>
      </w:r>
    </w:p>
    <w:p>
      <w:pPr>
        <w:pStyle w:val="TextBody"/>
        <w:bidi w:val="0"/>
        <w:spacing w:lineRule="auto" w:line="276" w:before="0" w:after="180"/>
        <w:ind w:left="0" w:right="0" w:firstLine="270"/>
        <w:jc w:val="left"/>
        <w:rPr/>
      </w:pPr>
      <w:r>
        <w:rPr>
          <w:color w:val="000000"/>
        </w:rPr>
        <w:t>•</w:t>
      </w:r>
      <w:r>
        <w:rPr>
          <w:rFonts w:ascii="Times New Roman;sans-serif" w:hAnsi="Times New Roman;sans-serif"/>
          <w:b w:val="false"/>
          <w:color w:val="000000"/>
          <w:sz w:val="20"/>
        </w:rPr>
        <w:t>declining overall demand for goods and services, leading to reduced profitability;</w:t>
      </w:r>
    </w:p>
    <w:p>
      <w:pPr>
        <w:pStyle w:val="TextBody"/>
        <w:bidi w:val="0"/>
        <w:spacing w:lineRule="auto" w:line="276" w:before="0" w:after="180"/>
        <w:ind w:left="0" w:right="0" w:firstLine="270"/>
        <w:jc w:val="left"/>
        <w:rPr/>
      </w:pPr>
      <w:r>
        <w:rPr>
          <w:color w:val="000000"/>
        </w:rPr>
        <w:t>•</w:t>
      </w:r>
      <w:r>
        <w:rPr>
          <w:rFonts w:ascii="Times New Roman;sans-serif" w:hAnsi="Times New Roman;sans-serif"/>
          <w:b w:val="false"/>
          <w:color w:val="000000"/>
          <w:sz w:val="20"/>
        </w:rPr>
        <w:t>reduced credit availability;</w:t>
      </w:r>
    </w:p>
    <w:p>
      <w:pPr>
        <w:pStyle w:val="TextBody"/>
        <w:bidi w:val="0"/>
        <w:spacing w:lineRule="auto" w:line="276" w:before="0" w:after="180"/>
        <w:ind w:left="0" w:right="0" w:firstLine="270"/>
        <w:jc w:val="left"/>
        <w:rPr/>
      </w:pPr>
      <w:r>
        <w:rPr>
          <w:color w:val="000000"/>
        </w:rPr>
        <w:t>•</w:t>
      </w:r>
      <w:r>
        <w:rPr>
          <w:rFonts w:ascii="Times New Roman;sans-serif" w:hAnsi="Times New Roman;sans-serif"/>
          <w:b w:val="false"/>
          <w:color w:val="000000"/>
          <w:sz w:val="20"/>
        </w:rPr>
        <w:t xml:space="preserve">higher borrowing costs; </w:t>
      </w:r>
    </w:p>
    <w:p>
      <w:pPr>
        <w:pStyle w:val="TextBody"/>
        <w:bidi w:val="0"/>
        <w:spacing w:lineRule="auto" w:line="276" w:before="0" w:after="180"/>
        <w:ind w:left="0" w:right="0" w:firstLine="270"/>
        <w:jc w:val="left"/>
        <w:rPr/>
      </w:pPr>
      <w:r>
        <w:rPr>
          <w:color w:val="000000"/>
        </w:rPr>
        <w:t>•</w:t>
      </w:r>
      <w:r>
        <w:rPr>
          <w:rFonts w:ascii="Times New Roman;sans-serif" w:hAnsi="Times New Roman;sans-serif"/>
          <w:b w:val="false"/>
          <w:color w:val="000000"/>
          <w:sz w:val="20"/>
        </w:rPr>
        <w:t xml:space="preserve">reduced liquidity; </w:t>
      </w:r>
    </w:p>
    <w:p>
      <w:pPr>
        <w:pStyle w:val="TextBody"/>
        <w:bidi w:val="0"/>
        <w:spacing w:lineRule="auto" w:line="276" w:before="0" w:after="180"/>
        <w:ind w:left="0" w:right="0" w:firstLine="270"/>
        <w:jc w:val="left"/>
        <w:rPr/>
      </w:pPr>
      <w:r>
        <w:rPr>
          <w:color w:val="000000"/>
        </w:rPr>
        <w:t>•</w:t>
      </w:r>
      <w:r>
        <w:rPr>
          <w:rFonts w:ascii="Times New Roman;sans-serif" w:hAnsi="Times New Roman;sans-serif"/>
          <w:b w:val="false"/>
          <w:color w:val="000000"/>
          <w:sz w:val="20"/>
        </w:rPr>
        <w:t xml:space="preserve">volatility in credit, equity and foreign exchange markets; and </w:t>
      </w:r>
    </w:p>
    <w:p>
      <w:pPr>
        <w:pStyle w:val="TextBody"/>
        <w:bidi w:val="0"/>
        <w:spacing w:lineRule="auto" w:line="276" w:before="0" w:after="180"/>
        <w:ind w:left="0" w:right="0" w:firstLine="270"/>
        <w:jc w:val="left"/>
        <w:rPr/>
      </w:pPr>
      <w:r>
        <w:rPr>
          <w:color w:val="000000"/>
        </w:rPr>
        <w:t>•</w:t>
      </w:r>
      <w:r>
        <w:rPr>
          <w:rFonts w:ascii="Times New Roman;sans-serif" w:hAnsi="Times New Roman;sans-serif"/>
          <w:b w:val="false"/>
          <w:color w:val="000000"/>
          <w:sz w:val="20"/>
        </w:rPr>
        <w:t>bankruptcies.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These developments could lead to supply chain disruption, inflation, higher interest rates, and uncertainty about business continuity, which may adversely affect our business and our results of operations and negatively affect our stock price.</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Recent volatility in capital markets and lower market prices for our securities may affect our ability to access new capital through sales of shares of our common stock or issuance of indebtedness, which may harm our liquidity, limit our ability to grow our business, pursue acquisitions or improve our operating infrastructure and restrict our ability to compete in our markets.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consume substantial amounts of cash, and we intend to continue to make significant investments to support our business growth, respond to business challenges or opportunities, develop new solutions, retain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expand our current levels of personnel, improve our existing solutions, enhance our operating infrastructure, and potentially acquire complementary businesses and technologies. Our future capital requirements may be significantly different from our current estimates and will depend on many factors, including the need to:</w:t>
      </w:r>
    </w:p>
    <w:p>
      <w:pPr>
        <w:pStyle w:val="TextBody"/>
        <w:bidi w:val="0"/>
        <w:spacing w:lineRule="auto" w:line="276" w:before="0" w:after="180"/>
        <w:ind w:left="0" w:right="0" w:firstLine="270"/>
        <w:jc w:val="left"/>
        <w:rPr/>
      </w:pPr>
      <w:r>
        <w:rPr>
          <w:color w:val="000000"/>
        </w:rPr>
        <w:t>•</w:t>
      </w:r>
      <w:r>
        <w:rPr>
          <w:rFonts w:ascii="Times New Roman;sans-serif" w:hAnsi="Times New Roman;sans-serif"/>
          <w:b w:val="false"/>
          <w:color w:val="000000"/>
          <w:sz w:val="20"/>
        </w:rPr>
        <w:t>finance unanticipated working capital requirements;</w:t>
      </w:r>
    </w:p>
    <w:p>
      <w:pPr>
        <w:pStyle w:val="TextBody"/>
        <w:bidi w:val="0"/>
        <w:spacing w:lineRule="auto" w:line="276" w:before="0" w:after="180"/>
        <w:ind w:left="0" w:right="0" w:firstLine="270"/>
        <w:jc w:val="left"/>
        <w:rPr/>
      </w:pPr>
      <w:r>
        <w:rPr>
          <w:color w:val="000000"/>
        </w:rPr>
        <w:t>•</w:t>
      </w:r>
      <w:r>
        <w:rPr>
          <w:rFonts w:ascii="Times New Roman;sans-serif" w:hAnsi="Times New Roman;sans-serif"/>
          <w:b w:val="false"/>
          <w:color w:val="000000"/>
          <w:sz w:val="20"/>
        </w:rPr>
        <w:t>develop or enhance our technological infrastructure and our existing solutions;</w:t>
      </w:r>
    </w:p>
    <w:p>
      <w:pPr>
        <w:pStyle w:val="TextBody"/>
        <w:bidi w:val="0"/>
        <w:spacing w:lineRule="auto" w:line="276" w:before="0" w:after="180"/>
        <w:ind w:left="0" w:right="0" w:firstLine="270"/>
        <w:jc w:val="left"/>
        <w:rPr/>
      </w:pPr>
      <w:r>
        <w:rPr>
          <w:color w:val="000000"/>
        </w:rPr>
        <w:t>•</w:t>
      </w:r>
      <w:r>
        <w:rPr>
          <w:rFonts w:ascii="Times New Roman;sans-serif" w:hAnsi="Times New Roman;sans-serif"/>
          <w:b w:val="false"/>
          <w:color w:val="000000"/>
          <w:sz w:val="20"/>
        </w:rPr>
        <w:t>pursue acquisitions or other strategic relationships; and</w:t>
      </w:r>
    </w:p>
    <w:p>
      <w:pPr>
        <w:pStyle w:val="TextBody"/>
        <w:bidi w:val="0"/>
        <w:spacing w:lineRule="auto" w:line="276" w:before="0" w:after="180"/>
        <w:ind w:left="0" w:right="0" w:firstLine="270"/>
        <w:jc w:val="left"/>
        <w:rPr/>
      </w:pPr>
      <w:r>
        <w:rPr>
          <w:color w:val="000000"/>
        </w:rPr>
        <w:t>•</w:t>
      </w:r>
      <w:r>
        <w:rPr>
          <w:rFonts w:ascii="Times New Roman;sans-serif" w:hAnsi="Times New Roman;sans-serif"/>
          <w:b w:val="false"/>
          <w:color w:val="000000"/>
          <w:sz w:val="20"/>
        </w:rPr>
        <w:t>respond to competitive pressures.</w:t>
      </w:r>
    </w:p>
    <w:p>
      <w:pPr>
        <w:pStyle w:val="TextBody"/>
        <w:bidi w:val="0"/>
        <w:spacing w:lineRule="auto" w:line="276" w:before="0" w:after="18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Rising inflation rates could negatively impact our revenues and profitability if increases in the prices of our products or a decrease in consumer spending results in lower sales. In addition, if our costs increase and we are not able to pass along these price increases to our customers, our net income would be adversely affected, and the adverse impact may be material.</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Inflation rates, particularly in the United States, have increased recently to levels not seen in years. Increased inflation may result in decreased demand for our products and services, increased operating costs (including our labor costs), reduced liquidity, and limitations on our ability to access credit or otherwise raise debt and equity capital. In addition, the United States Federal Reserve has raised, and may again raise, interest rates in response to concerns about inflation. Increases in interest rates, especially if coupled with reduced government spending and volatility in financial markets, may have the effect of further increasing economic uncertainty and heightening these risks.</w:t>
      </w:r>
    </w:p>
    <w:p>
      <w:pPr>
        <w:pStyle w:val="TextBody"/>
        <w:bidi w:val="0"/>
        <w:spacing w:lineRule="auto" w:line="276"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we are unable to obtain or protect intellectual property rights related to our technology and current or future product candidates, or if our intellectual property rights are inadequate, our competitors could develop and commercialize products and technology similar or identical to ours, and we may not be able to compete effectively in our market or successfully commercialize any product candidates we may develop.</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our ability to obtain and maintain protection for our owned and in-licensed intellectual property rights and proprietary technology. We rely on a combination of patents, trademarks, trade secret protection and confidentiality agreements, including in-licenses of intellectual property rights and biologic materials of others, to protect our current or future platform technologies, product candidates, methods used to manufacture our current or future product candidates and methods for treating patients using our current or future product candidates.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own or in-license patents and patent applications relating to our platform technologies and product candidates. There is no guarantee that any patents covering our platform technologies or product candidates will issue from the patent applications we own, in-license or may file in the future, or, if they do, that the issued claims will provide adequate protection for our platform technologies or product candidates, or any meaningful competitive advantage. Further, there cannot be any assurance that such patents issued will not be infringed, designed around, invalidated by third parties or effectively prevent others from commercializing competitive technologies, products or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patent prosecution process is expensive, complex and time-consuming. Patent license negotiations also can be complex and protracted, with uncertain results. We may not be able to file, prosecute, maintain, enforce or license all necessary or desirable patents and patent applications at a reasonable cost or in a timely manner. It is also possible that we will fail to identify patentable aspects of our research and development output before it is too late to obtain patent protection. The patent applications that we own or in-license may fail to result in issued patents, and, even if they do issue as patents, such patents may not cover our current or future technologies or product candidates in the United States or in other countries or provide sufficient protection from competitors. In addition, the coverage claimed in a patent application can be significantly reduced before the patent is issued, and its scope can be reinterpreted after issuance. We do not have exclusive control over the preparation, filing and prosecution of patent applications under certain of our in-license agreements, and we may not have the right to control the preparation, filing and prosecution of patent applications, or to maintain the rights to patents, that we out-license to third parties. Therefore, these patents and applications may not be prosecuted and enforced in a manner consistent with the best interests of our business. Even if our owned or in-licensed patent applications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product candidates in a non-infringing manner.</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 although we make reasonable efforts to ensure patentability of our inventions, we cannot guarantee that all of the potentially relevant prior art relating to our owned or in-licensed patents and patent applications has been found. For example, publications of discoveries in scientific literature often lag behind the actual discoveries, and patent applications in the United States and other jurisdictions are typically not published until 18 months after filing, and in some cases not at all. Additionally, pending patent applications that have been published can, subject to certain limitations, be later amended in a manner that could cover our platform technologies, our product candidates, or the use of our technologies. We thus cannot know with certainty whether we or our licensors were the first to file for patent protection of such inventions. In addition, the United States Patent and Trademark Office, or USPTO, might require that the term of a patent issuing from a pending patent application be disclaimed and limited to the term of another patent that is commonly owned or names a common inventor. There is no assurance that all potentially relevant prior art relating to our owned or in-licensed patent applications has been found. For this reason, and because there is no guarantee that any prior art search is absolutely correct and comprehensive, we may be unaware of prior art that could be used to invalidate an issued patent or to prevent our owned or in-licensed patent applications from issuing as patents. Invalidation of any of our patent rights, including in-licensed patent rights, could materially harm our business.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Moreover, the patent positions of biotechnology companies like ours are generally uncertain because they may involve complex legal and factual considerations that have, in recent years, been the subject of legal development and change. The relevant patent laws and their interpretation, both inside and outside of the United States, is also uncertain. Changes in either the patent laws or their interpretation in the United States and other jurisdictions may diminish our ability to protect our platform technology or product candidates and could affect the value of such intellectual property. In particular, our ability to stop third parties from making, using, selling, offering to sell or importing products that infringe, misappropriate or otherwise violate our intellectual property will depend in part on our success in obtaining and enforcing patent claims that cover our platform technology, product candidates, inventions and improvements. We cannot guarantee that patents will be granted with respect to any of our owned or licensed pending patent applications or with respect to any patent applications we may file or license in the future, nor can we be sure that any patents that may be granted to us or our licensors in the future will be commercially useful in protecting our products, the methods of use or manufacture of those products. Additionally, third parties, including our former employees and collaborators, may challenge the ownership or inventorship of our patent rights to claim that they are entitled to ownership and inventorship interest, and we may not be successful in defending against such claims. However, we are not currently facing any such challenges. Moreover, issued patents do not guarantee the right to practice our technology in relation to the commercialization of our products. Issued patents only allow us to block—in some cases—potential competitors from practicing the claimed inventions of the issued patents.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issuance, scope, validity, enforceability and commercial value of our pending patent rights are uncertain. The standards applied by the USPTO and foreign patent offices in granting patents are not always certain and moreover, are not always applied uniformly or predictably. For example, there is no uniform worldwide policy regarding patentable subject matter or the scope of claims allowable in patents. Our pending and future patent applications may not result in patents being issued in the United States or in other jurisdictions which protect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or products or which effectively prevent others from commercializing competitive technologies and products. Changes in either the patent laws or interpretation of the patent laws in the United States and other countries may diminish the value of our owned or in-licensed patent applications or narrow the scope of any patent protection we may obtain from our owned or in-licensed patent applications. In addition, the laws of foreign countries may not protect our rights to the same extent as the laws of the United States.</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Further, patents and other intellectual property rights in the pharmaceutical and biotechnology space are evolving and involve many risks and uncertainties. For example, third parties may have blocking patents that could be used to prevent us from commercializing our product candidates and any future product candidates and practicing our proprietary technology, and any issued patents may be challenged, invalidated or circumvented, which could limit our ability to stop competitors from marketing related products or could limit the term of patent protection that otherwise may exist for our product candidate and any future product candidates. In addition, the scope of the rights granted under any issued patents may not provide us with protection or competitive advantages against competitors or other parties with similar technology. Additionally, our competitors may initiate legal proceedings, such as declaratory judgment actions in federal court or reexaminations or an</w:t>
      </w:r>
      <w:r>
        <w:rPr>
          <w:color w:val="000000"/>
        </w:rPr>
        <w:t xml:space="preserve">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review at the USPTO in an attempt to invalidate or narrow the scope of our patents. However, we are not currently facing any such proceedings. Furthermore, our competitors or other parties may independently develop similar technologies that are outside the scope of the rights granted under any issued patents. For these reasons, we may face competition with respect to our product candidates and any future product candidates. Moreover, because of the extensive time required for development, testing and regulatory review of a potential product, it is possible that, before any particular product candidate can be commercialized, any patent protection for such product candidate may expire or remain in force for only a short period following commercialization, thereby reducing the commercial advantage the patent provides.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Even if patents do successfully issue from our owned or in-licensed patent application, and even if such patents cover our current or any future technologies or product candidates, third parties may challenge their validity, enforceability or scope, which may result in such patents being narrowed, invalidated, or held unenforceable. Any successful challenge to these patents or any other patents owned by or licensed to us could deprive us of rights necessary for the successful commercialization of any current or future technologies or product candidates that we may develop. Likewise, if patent applications we own or have in-licensed with respect to our development programs and current or future technologies or product candidates fail to issue, if their breadth or strength is threatened, or if they fail to provide meaningful exclusivity, other companies could be dissuaded from collaborating with us to develop current or future technologies or product candidates. Lack of valid and enforceable patent protection could threaten our ability to commercialize current or future products and could prevent us from maintaining exclusivity with respect to the invention or feature claimed in the patent applications. Any failure to obtain or any loss of patent protection could have a material adverse impact on our business and ability to achieve profitability. We may be unable to prevent competitors from entering the market with a product that is similar or identical to any of our current or potential future product candidates or from utilizing technologies similar to those in our gene circuit platform technologies.</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The filing of a patent application or the issuance of a patent is not conclusive as to its ownership, inventorship, scope, patentability, validity or enforceability. Issued patents and patent applications may be challenged in the courts and in the patent office in the United States and abroad. For example, our patent applications or patent applications filed by our licensors, or any patents that grant therefrom, may be challenged through third-party submissions, opposition or derivation proceedings. By further example, any issued patents that may result from our owned or in-licensed patent applications may be challenged through reexamination,</w:t>
      </w:r>
      <w:r>
        <w:rPr>
          <w:color w:val="000000"/>
        </w:rPr>
        <w:t xml:space="preserve">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review or post-grant review proceedings before the USPTO, or in declaratory judgment actions or counterclaims. An adverse determination in any such submission, proceeding or litigation could prevent the issuance of, reduce the scope of, invalidate or render unenforceable our owned or in-licensed patent rights, result in the loss of exclusivity, limit our ability to stop others from using or commercializing similar or identical platforms and product candidates, or allow third parties to compete directly with us without payment to us. In addition, if the breadth or strength of protection provided by any patents that might result from our owned or in-licensed patent applications is threatened, it could dissuade companies from collaborating with us to license, develop or commercialize current or future platforms or product candidates. Any of the foregoing could have a material adverse effect on our business, financial condition, results of operations and prospects.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we currently co-own certain patent applications with third parties and may in the future co-own additional patents and patent applications with third parties. If we are unable to obtain an exclusive license to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such third-party co-owners’ interest in such patents or patent application, such co-owners may be able to license their rights to other third parties, including our competitors, and our competitors could market competing products and technology. We may need the cooperation of any such co-owners to enforce such patents against third parties, and such cooperation may not be provided to us. Any of the foregoing could have a material adverse effect on our competitive position, business prospects and financial conditions.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in-licensed patent rights may be subject to a reservation of rights by one or more third parties, such as the U.S. government. In addition, our rights in such inventions may be subject to certain requirements to manufacture product candidates embodying such inventions in the United States. Any exercise by the U.S. government of such rights could harm our competitive position, business, financial condition, results of operations and prospects.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The patent protection and patent prosecution for some of our product candidates and technologies may be dependent on third parties.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While we normally seek to obtain the right to control prosecution, maintenance and enforcement of the patents relating to our product candidates and technologies, there may be times when the filing and prosecution activities for patents and patent applications relating to our product candidates and technologies are controlled by our licensors or collaborators. Our licensors may not successfully prosecute the patent applications to which we are licensed. Even if patents are issued in respect of these patent applications, our licensors may fail to maintain these patents, may determine not to pursue litigation against other companies that are infringing these patents, or may pursue such litigation less aggressively than we would.</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any of our licensors or collaborators fail to prosecute, maintain and enforce such patents and patent applications in a manner consistent with the best interests of our business, including by payment of all applicable fees for patents covering our product candidates and technologies, we could lose our rights to the intellectual property or our exclusivity with respect to those rights, our ability to develop and commercialize those product candidates and technologies may be adversely affected and we may not be able to prevent competitors from making, using and selling competing product candidates. In addition, even where we have the right to control patent prosecution of patents and patent applications we have licensed to and from third parties, we may still be adversely affected or prejudiced by actions or inactions of our licensees, our current and future licensors and their counsel that took place prior to the date upon which we assumed control over patent prosecution.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licensed European patents and patent applications could be challenged in the recently-created Unified Patent Court, or UPC, for the European Union, that is expected to be fully ratified in 2023. Under our current license agreements, we may not have the final or sole decision as to whether we are able to opt out certain of our in-licensed European patents and patent applications from the UPC. Our licensors may decide not to opt out of the UPC, which would subject our in-licensed European patents and patent applications to the jurisdiction of the UPC. Furthermore, even if our licensors decide to opt out of the UPC, we cannot guarantee that our licensors will comply with the legal formalities and requirements for properly opting out of the UPC. Thus, we cannot be certain that our in-licensed European patents and patent applications will not fall under the jurisdiction of the UPC. Under the UPC, a single European patent would be valid and enforceable in numerous European countries. A challenge to the validity of a European patent in a central revocation proceeding under the UPC, if successful, could result in a loss of patent protection in numerous European countries, which could have a material adverse impact on our business and our ability to commercialize or license our technology and product candidates.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 we may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proceeding(s) or defense activities may be less vigorous than had we conducted them ourselves.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may be unable to acquire or in-license any relevant third-party intellectual property rights that we identify as necessary or important to our business operations.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of third-party intellectual property rights is a competitive area, and more established companies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Even if we are able to obtain a license, it may be non-exclusive, thereby giving our competitors access to the same technologies licensed to us.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Any of the foregoing could harm our competitive position, business, financial condition, results of operations and prospects.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 our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some intellectual property that we have in-licensed or that we own may have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the U.S. government may have certain rights to intellectual property embodied in our current or future product candidates pursuant to the Bayh-Dole Act of 1980, or Bayh-Dole Act, and implementing regulations. These U.S. government rights in certain inventions developed under a government-funded program include a non-exclusive, non-transferable, irrevocable worldwide license to use inventions for any governmental purpose. In addition, the U.S. government may have the right to require us or our licensors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More specifically, certain currently in-licensed patents that cover certain split, universal and programmable chimeric antigen receptor technology may be subject to march-in-rights. This technology is not embodied in any of our current product candidates. In addition, certain currently in-licensed patents that cover certain components and process for regulating the expression of a fusion protein with the use of a protease inhibitor are subject to march-in-rights, which technology can be embodied in certain regulator dial gene circuits. We also own a patent family claiming an invention made under research partially funded by the federal government. Such invention covers mesenchymal stem cells that express combinations of immune effectors for autoimmunity. While the foregoing invention is not embodied in any current product candidates, it is subject to march-in-rights. The U.S. government also has the right to take title to these inventions made through government funded programs if we, or the applicable licensor, fail to disclose the invention to the government and fail to file an application to register the intellectual property within specified time limits. These time limits have recently been changed by regulation, and may change in the future. Intellectual property generated under a government-funded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currently, and in the future may continue to, enter into agreements involving licenses or collaborations that provide for access or sharing of intellectual property. These intellectual property-related agreements may impose certain obligations and restrictions on our ability to develop and commercialize our product candidates and technologies that are the subject of such licenses.</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We license rights from third parties to use certain intellectual property relevant to one or more of our current and future product candidates. In the future, we may need to obtain additional licenses from others to advance our research and development activities or allow the commercialization of our current and future product candidates we may identify and pursue. These existing license agreements impose, and any future license agreements we enter into are likely to impose, various development, commercialization, funding, milestone, royalty, diligence, sublicensing, insurance, patent prosecution and enforcement or other obligations on us. For example, we are a party to three license agreements with the U.S. Department of Health and Human Services, as represented by the National Cancer Institute, or NCI, for intellectual property relevant to our product candidates. For a more detailed description of the license agreements with NCI, see the section titled “</w:t>
      </w:r>
      <w:r>
        <w:rPr>
          <w:rFonts w:ascii="Times New Roman;sans-serif" w:hAnsi="Times New Roman;sans-serif"/>
          <w:b w:val="false"/>
          <w:i/>
          <w:color w:val="000000"/>
          <w:sz w:val="20"/>
        </w:rPr>
        <w:t>Business—Material License and Collaboration Agreements</w:t>
      </w:r>
      <w:r>
        <w:rPr>
          <w:color w:val="000000"/>
        </w:rPr>
        <w:t xml:space="preserve">” </w:t>
      </w:r>
      <w:r>
        <w:rPr>
          <w:rFonts w:ascii="Times New Roman;sans-serif" w:hAnsi="Times New Roman;sans-serif"/>
          <w:b w:val="false"/>
          <w:color w:val="000000"/>
          <w:sz w:val="20"/>
        </w:rPr>
        <w:t>in the Annual Report on Form 10-K for the year ended December 31, 2022.</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 we or our licensors, if any,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licensors fail to establish, maintain or protect such patents and other intellectual property rights, such rights may be reduced or eliminated. If our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 financial conditions, results of operations and prospects.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we may not have the right to control the preparation, filing, prosecution, maintenance, enforcement and defense of patents and patent applications that we license from third parties. In certain circumstances, our licensed patent rights are subject to our reimbursing our licensors for their patent prosecution and maintenance costs. If our licensors and future licensors fail to prosecute, maintain, enforce and defend patents we may license, or lose rights to licensed patents or patent applications, our licensed rights may be reduced or eliminated. In such circumstances, our right to develop and commercialize any of our products or product candidates that is the subject of such licensed rights could be materially adversely affected. Even where we have the right to control prosecution of patents and patent applications under license from third parties, we may still be adversely affected or prejudiced by actions or inactions of our predecessors or licensors and their counsel that took place prior to us assuming control over patent prosecution.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technology acquired or licensed currently or in the future from various third parties is or may be subject to retained rights. Our predecessors or licensors do and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licensors limit their use of the technology to these uses, and we could incur substantial expenses to enforce our rights to our licensed technology in the event of misuse.</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limited in our ability to utilize acquired or licensed technologies, or if we lose our rights to critical in-licensed technology, we may be unable to successfully develop, out-license, market and sell our product candidates, which could prevent or delay new product introductions. Our business strategy depends on the successful development of acquired technologies and licensed technology into commercial product candidates. Therefore,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limitations on our ability to utilize these technologies may impair our ability to develop, out-license or market and sell our product candidates.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we fail to comply with our obligations under any existing or future license, collaboration or other intellectual property-related agreements, we may be required to pay damages and could lose intellectual property rights that may be necessary for developing, commercializing and protecting our current or future technologies or product candidates or we could lose certain rights to grant sublicenses.</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We have certain obligations to third-party licensors from whom we license certain patent rights that are relevant to one or more current and future product candidates. In the future, we may need to obtain additional licenses from other third parties to advance our research and development activities or allow the commercialization of our current and future product candidates. Our existing license agreements impose, and any future license agreements we enter into are likely to impose, various development, commercialization, funding, milestone, royalty, diligence, sublicensing, insurance, patent prosecution and enforcement or other obligations on us. For a more detailed description of our existing license agreements, see the section titled “</w:t>
      </w:r>
      <w:r>
        <w:rPr>
          <w:rFonts w:ascii="Times New Roman;sans-serif" w:hAnsi="Times New Roman;sans-serif"/>
          <w:b w:val="false"/>
          <w:i/>
          <w:color w:val="000000"/>
          <w:sz w:val="20"/>
        </w:rPr>
        <w:t>Business—Material License and Collaboration Agreements</w:t>
      </w:r>
      <w:r>
        <w:rPr>
          <w:color w:val="000000"/>
        </w:rPr>
        <w:t xml:space="preserve">” </w:t>
      </w:r>
      <w:r>
        <w:rPr>
          <w:rFonts w:ascii="Times New Roman;sans-serif" w:hAnsi="Times New Roman;sans-serif"/>
          <w:b w:val="false"/>
          <w:color w:val="000000"/>
          <w:sz w:val="20"/>
        </w:rPr>
        <w:t>in the Annual Report on Form 10-K for the year ended December 31, 2022. If we breach any of these obligations, including diligence obligations with respect to development and commercialization of product candidates covered by the intellectual property licensed to us, or use the intellectual property licensed to us in an unauthorized manner or we are subject to bankruptcy-related proceedings, we may be required to pay damages and the licensor may have the right to terminate the respective agreement or materially modify the terms of the license, such as by rendering currently exclusive licenses non-exclusive. License termination or modification could result in our inability to develop, manufacture and sell products that are covered by the licensed intellectual property or could enable a competitor to gain access to the licensed intellectual property.</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certain circumstances, our licensed patent rights are subject to our reimbursing our licensors for their patent prosecution and maintenance costs. If our licensors and future licensors fail to prosecute, maintain, enforce and defend patents we may license, or lose rights to licensed patents or patent applications, our licensed rights may be reduced or eliminated. In such circumstances, our right to develop and commercialize any of our products or product candidates that are the subject of such licensed rights could be materially adversely affected.</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or future licensors may own or control intellectual property that has not been licensed to us and, as a result, we may be subject to claims, regardless of their merit, that we are infringing, misappropriating or otherwise violating the licensor’s intellectual property rights. In addition, while we cannot currently determine the amount of the royalty obligations we would be required to pay on sales of future products if infringement or misappropriation were found, those amounts could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Disputes may arise between us and our present and future licensors regarding intellectual property subject to a licensing agreement, including: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scope of rights granted under the license agreement and other interpretation-related issues, including but not limited to our right to transfer or assign the license;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whether and the extent to which our product candidates, technology and processes infringe on intellectual property of the licensor that is not subject to the licensing agreement;</w:t>
            </w:r>
          </w:p>
        </w:tc>
      </w:tr>
    </w:tbl>
    <w:tbl>
      <w:tblPr>
        <w:tblW w:w="97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561"/>
        <w:gridCol w:w="2561"/>
        <w:gridCol w:w="36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right to sublicense patents and other rights to third parties, including the terms and conditions thereof;</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diligence obligations with respect to the development and commercialization of our product candidates that are covered by the license agreement, and what activities satisfy those diligence obligations;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tbl>
      <w:tblPr>
        <w:tblW w:w="444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10"/>
        <w:gridCol w:w="1010"/>
        <w:gridCol w:w="14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right to transfer or assign the license;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inventorship and ownership of inventions and know-how resulting from the joint creation or use of intellectual property by our licensors and us and our collaborators; and</w:t>
            </w:r>
          </w:p>
        </w:tc>
      </w:tr>
    </w:tbl>
    <w:tbl>
      <w:tblPr>
        <w:tblW w:w="509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196"/>
        <w:gridCol w:w="1196"/>
        <w:gridCol w:w="1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priority of invention of patented technology.</w:t>
            </w:r>
          </w:p>
        </w:tc>
      </w:tr>
    </w:tbl>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disputes over intellectual property that we license in the future prevent or impair our ability to maintain our licensing arrangements on acceptable terms, we may not be able to successfully develop and commercialize the affected product candidates, which would have a material adverse effect on our business, financial condition, results of operations and prospects.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agreements under which we currently license intellectual property or technology from the NCI and other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 results of operations and prospects.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while we currently do not have any liens, security interests, or other encumbrances on the intellectual property that we own, we may, in the future, need to obtain a loan or a line of credit that will require that we put up our intellectual property as collateral to our lenders or creditors. If we do so, and we violate the terms of any such loan or credit agreement, our lenders or creditors may take possession of such intellectual property, including the rights to receive proceeds derived from such intellectual property.</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Patent terms may not be able to protect our competitive position for an adequate period of time with respect to our current or future technologies or product candidates.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Patents have a limited lifespan. The term of individual patents and applications in our portfolio depends upon the legal term of patents in the countries in which they are obtained. In most countries in which we file, including the United States, the patent term is 20 years from the earliest date of filing a non-provisional patent application. Extensions of patent term may be available, but there is no guarantee that we would have patents eligible for extension, or that we would succeed in obtaining any particular extension, and no guarantee any such extension would confer a patent term for a sufficient period of time to exclude others from commercializing product candidates similar or identical to ours. In the United States, the term of a patent may be eligible for patent term adjustment, which permits patent term restoration as compensation for delays incurred at the USPTO during the patent prosecution process. In addition, for patents that cover an FDA-approved drug, the Drug Price Competition and Patent Term Restoration Act of 1984 (the “Hatch-Waxman Act”) permits a patent term extension of up to five years beyond the expiration of the patent. While the length of the patent term extension is related to the length of time the drug is under regulatory review, patent term extension cannot extend the remaining term of a patent beyond a total of 14 years from the date of product approval, and only one patent per approved drug—and only those claims covering the approved drug, a method for using it or a method for manufacturing it—may be extended under the Hatch-Waxman Act. Similar provisions are available in Europe and other foreign jurisdictions to extend the term of a patent that covers an approved drug. In the future, if and when our products receive FDA approval or applicable approval in other jurisdictions, we expect to apply for patent term extensions on issued patents covering those products in the United States and other jurisdiction where such extensions are available; however, there is no guarantee that the applicable authorities, including the FDA in the United States, will agree with our assessment of whether such extensions should be granted, and if granted, the length of such extensions. We also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 patent term extension or the term of any such extension is less than we request, the period during which we can enforce our patent rights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applicable product candidate will be shortened and our competitors may obtain approval to market competing products sooner. As a result, our revenue from applicable products could be reduced. Further, if this occurs, our competitors may be able to launch their products earlier by taking advantage of our investment in development and clinical trials along with our clinical and preclinical data. This could have a material adverse effect on our business and ability to achieve profitability.</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life of a patent and the protection it affords are limited. As a result, our owned and in-licensed patent portfolio provides us with limited rights that may not last for a sufficient period of time to exclude others from commercializing product candidates similar or identical to ours. Even if patents covering our product candidates are obtained, once the patent life has expired, we may be open to competition from competitive products, including generics or biosimilars. For example, given the large amount of time required for the research,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Changes in U.S. patent law or the patent law of other countries or jurisdictions could diminish the value of patents in general, thereby impairing our ability to protect our current or any future technologies or product candidates.</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Changes in either the patent laws or interpretation of the patent laws in the United States or elsewhere could increase the uncertainties and costs surrounding the prosecution of patent applications and the enforcement or defense of issued patents. The United States has enacted and implemented wide-ranging patent reform legislation. On September 16, 2011, the Leahy-Smith America Invents Act (the “Leahy-Smith Act”) was signed into law, which could increase the uncertainties and costs surrounding the prosecution of our owned or in licensed patent applications and the enforcement or defense of any future owned or in-licensed issued patents. The Leahy-Smith Act includes a number of significant changes to U.S. patent law. These include provisions that affect the way patent applications are prosecuted, redefine prior art, may affect patent litigation and switch the U.S. patent system from a “first-to-invent” system to a “first-to-file” system. Under a first-to-file system, assuming the other requirements for patentability are met, the first inventor to file a patent application generally will be entitled to the patent on an invention regardless of whether another inventor had made the invention earlier. A third party that files a patent application in the USPTO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 The Leahy-Smith Act also allows third-party submission of prior art to the USPTO during patent prosecution and sets forth additional procedures to challenge the validity of a patent by USPTO-administered post-grant proceedings, including derivation, reexamination,</w:t>
      </w:r>
      <w:r>
        <w:rPr>
          <w:color w:val="000000"/>
        </w:rPr>
        <w:t xml:space="preserve">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review, post-grant review and interference proceedings. The USPTO developed additional regulations and procedures to govern administration of the Leahy-Smith Act, and many of the substantive changes to patent law associated with the Leahy-Smith Act, and, in particular, the first-to-file provisions, became effective on March 16, 2013. Accordingly, it is not clear what, if any, impact the Leahy-Smith Act will have on the operation of our business. The Leahy-Smith Act and its implementation could increase the uncertainties and costs surrounding the prosecution of our owned or in-licensed patent applications and the enforcement or defense of our issued owned or in-licensed patents, all of which could have a material adverse impact on our business prospects and financial condition.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referenced above, for example, courts in the U.S. continue to refine the heavily fact-and-circumstance-dependent jurisprudence defining the scope of patent protection available for therapeutics, narrowing the scope of patent protection available in certain circumstances or weakening the rights of patent owners in certain situations. This creates uncertainty about our ability to obtain patents in the future and the value of such patents. In addition, the patent positions of companies in the development and commercialization of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protect and enforce our intellectual property in the future. We cannot provide assurance that future developments in U.S. Congress, the federal courts and the USPTO will not adversely impact our owned or in-licensed patents or patent applications. The laws and regulations governing patents could change in unpredictable ways that could weaken our and our licensors’ ability to obtain new patents or to enforce our existing owned or in-licensed patents and patents that we might obtain or in-license in the future. Similarly, changes in patent law and regulations in other countries or jurisdictions or changes in the governmental bodies that enforce them or changes in how the relevant governmental authority enforces patent laws or regulations may have a material adverse effect on our and our licensors’ ability to obtain new patents or to protect and enforce our owned or in-licensed patents or patents that we may obtain or in-license in the future.</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may be subject to lawsuits or litigation to protect or enforce our patents or other intellectual property, which could result in substantial costs and liability and prevent us from commercializing our potential products.</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Third parties may attempt to invalidate our or our licensors’ intellectual property rights via procedures including but not limited to patent infringement lawsuits, declaratory judgment actions, interferences, oppositions and</w:t>
      </w:r>
      <w:r>
        <w:rPr>
          <w:color w:val="000000"/>
        </w:rPr>
        <w:t xml:space="preserve">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reexamination proceedings before the USPTO, U.S. courts and foreign patent offices or foreign courts.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in a district court action. Even if such rights are not directly challenged, disputes could lead to the weakening of our or our licensors’ intellectual property rights. Our defense against any attempt by third parties to circumvent or invalidate our intellectual property rights could be costly to us, could require significant time and attention of our management, and could have a material and adverse impact on our profitability, financial condition and prospects or ability to successfully compete.</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or our licensors may find it necessary to pursue claims or to initiate lawsuits to protect or enforce our owned or in-licensed patent or other intellectual property rights. The cost to us in defending or initiating any litigation or other proceeding relating to our owned or in-licensed patent or other intellectual property rights, even if resolved in our favor, could be substantial, particularly in a foreign jurisdiction, and any litigation or other proceeding would divert our management’s attention. Such litigation or proceedings could materially increase our operating losses and reduce the resources available for development activities or any future sales, marketing or distribution activities. Some of our competitors may be able to more effectively sustain the costs of complex patent litigation because they have substantially greater resources. Uncertainties resulting from the initiation and continuation of patent litigation or other proceedings could delay our research and development efforts and materially limit our ability to continue our operations.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we or our licensors were to initiate legal proceedings against a third party to enforce a patent covering one of our product candidates or our technology,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for example, claiming patent-ineligible subject matter, lack of novelty, indefiniteness, lack of written description, non-enablement, anticipation or obviousness. Grounds for an unenforceability assertion could be an allegation that someone connected with prosecution of the patent withheld relevant information from the USPTO or made a misleading statement during prosecution. The outcome of such invalidity and unenforceability claims is unpredictable. With respect to the validity question, for example, we cannot be certain that there is no invalidating prior art of which we or our licensors and the patent examiner were unaware during prosecution. If a defendant were to prevail on a legal assertion of invalidity or unenforceability, we could lose at least part, and perhaps all, of the patent protection for one or more of our product candidates or certain aspects of our platform technologies. Such a loss of patent protection could have a material adverse effect on our business, financial condition, results of operations and prospects. Patents and other intellectual property rights also will not protect our product candidates and technologies if competitors or third parties design around such product candidates and technologies without legally infringing, misappropriating or violating our owned or in-licensed patents or other intellectual property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European patents and patent applications could be challenged in the UPC. Though we may decide to opt out our European patents and patent applications from the UPC, if certain formalities and requirements are not met, our European patents and patent applications could be challenged for non-compliance and brought under the jurisdiction of the UPC. Potentially, a single proceeding under the UPC could result in loss of patent protection in numerous European countries rather than each validated country separately. Such a loss of patent protection could have a material adverse impact on our business and our ability to commercialize or license our technology and product candidates.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may not be able to protect our intellectual property rights throughout the world, which could negatively impact our business.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Filing, prosecuting and defending patents on current or future technologies or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or other third parties may use our technologies in jurisdictions where we have not obtained patent protection to develop their own products and, further, may export infringing product candidates to territories where we have patent protection or licenses, but enforcement is not as strong as that in the United States. These product candidates may compete with our products, and our patents or other intellectual property rights may not be effective or sufficient to prevent them from competing.</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Many companies have encountered significant difficulties in protecting and defending such rights in such jurisdictions. The legal systems of certain countries, including certain developing countries, do not favor the enforcement of patents and other intellectual property protection, particularly those relating to biotechnology, which could make it difficult for us to stop the infringement of any owned and in-licensed patents we may obtain in other countries, or the marketing of competing products in violation of our intellectual property and proprietary rights generally. Proceedings to enforce our owned or in-licensed intellectual property and proprietary rights in foreign jurisdictions could result in substantial costs and could divert our efforts and attention from other aspects of our business. Such proceedings could also put any owned or in-licensed patents at risk of being invalidated or interpreted narrowly, could put our owned or in-licensed patent applications at risk of not issuing, and could provoke third parties to assert claims against us or our licensors. We or our licensors may not prevail in any lawsuits or other adversarial proceedings that we or our licensors initiate, and the damages or other remedies awarded, if any, may not be commercially meaningful. Accordingly, our and our licensors’ efforts to enforce such intellectual property and proprietary rights around the world may be inadequate to obtain a significant commercial advantage from the intellectual property that we develop or in-license.</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its patents. If we or any of our licensors are forced to grant a license to third parties with respect to any patents relevant to our business, our competitive position in the relevant jurisdiction may be impaired and our business prospects may be materially adversely affected.</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Third parties may initiate legal proceedings alleging that we are infringing, misappropriating or violating their intellectual property rights, the outcome of which would be uncertain and could have a material adverse impact on the success of our business.</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Our commercial success depends, in part, upon our ability or the ability of our potential future collaborators to develop, manufacture, market and sell our current or any future product candidates and to use our proprietary technologies without infringing, misappropriating or violating the proprietary and intellectual property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w:t>
      </w:r>
      <w:r>
        <w:rPr>
          <w:color w:val="000000"/>
        </w:rPr>
        <w:t xml:space="preserve">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 xml:space="preserve">review proceedings before the USPTO, U.S. courts, foreign patent offices or foreign courts. As the field of gene and cell therapies advances, patent applications are being processed by national patent offices around the world. There is uncertainty about which patents will issue, and,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they do, there is uncertainty as to when, to whom, and with what claims. Any claims of patent infringement asserted by third parties would be time consuming and could:</w:t>
      </w:r>
    </w:p>
    <w:tbl>
      <w:tblPr>
        <w:tblW w:w="600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466"/>
        <w:gridCol w:w="1466"/>
        <w:gridCol w:w="20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result in costly litigation that may cause negative publicity;</w:t>
            </w:r>
          </w:p>
        </w:tc>
      </w:tr>
    </w:tbl>
    <w:tbl>
      <w:tblPr>
        <w:tblW w:w="710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786"/>
        <w:gridCol w:w="1786"/>
        <w:gridCol w:w="25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divert the time and attention of our technical personnel and management;</w:t>
            </w:r>
          </w:p>
        </w:tc>
      </w:tr>
    </w:tbl>
    <w:tbl>
      <w:tblPr>
        <w:tblW w:w="333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685"/>
        <w:gridCol w:w="685"/>
        <w:gridCol w:w="9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cause development delays;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prevent us from commercializing any of our product candidates until the asserted patent expires or is held finally invalid or not infringed in a court of law;</w:t>
            </w:r>
          </w:p>
        </w:tc>
      </w:tr>
    </w:tbl>
    <w:tbl>
      <w:tblPr>
        <w:tblW w:w="936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447"/>
        <w:gridCol w:w="2447"/>
        <w:gridCol w:w="34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34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require us to develop non-infringing technology, which may not be possible on a cost-effective basis;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subject us to 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 or</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require us to enter into royalty or licensing agreements, which may not be available on commercially reasonable terms, or at all, or which might be non-exclusive, which could result in our competitors gaining access to the same technology.</w:t>
            </w:r>
          </w:p>
        </w:tc>
      </w:tr>
    </w:tbl>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we may be subject to claims of infringement of the patent rights of third parties. Because patent applications can take many years to issue, there may also be currently pending patent applications that may later result in issued patents that our technology or product candidates may infringe. Further, we cannot guarantee that we are aware of all patents and patent applications potentially relevant to our technology or products. We may not be aware of potentially relevant third-party patents or applications for several reasons. For example, U.S. applications filed before November 29, 2000, and certain U.S. applications filed after that date that will not be filed outside the U.S. remain confidential until a patent issues. Patent applications filed in the United States (after November 29, 2000) and elsewhere are published approximately 18 months after the earliest filing for which priority is claimed, with such earliest filing date being commonly referred to as the priority date. Therefore, patent applications covering our product candidates or platform technologies could have been filed by others without our knowledge. Any such patent application may have priority over our patent applications or patents, which could require us to obtain rights to issued patents covering such technologies. Additionally, claims pending in patent applications that have been published can, subject to certain limitations, be later amended in a manner that could cover our platform, our product candidates or the use of our technologies.</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Although no third party has asserted a claim of patent infringement against us as of the date of this Quarterly Report, others may hold proprietary rights that could prevent our product candidates from being marketed. We or our licensors, or any future strategic collaborator, may be party to, or be threatened with, adversarial proceedings or litigation regarding intellectual property rights with respect to our current or any potential future product candidates and technologies, including derivation, reexamination,</w:t>
      </w:r>
      <w:r>
        <w:rPr>
          <w:color w:val="000000"/>
        </w:rPr>
        <w:t xml:space="preserve">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 xml:space="preserve">review or post-grant review before the USPTO and similar proceedings in jurisdictions outside of the United States such as opposition proceedings. In some instances, we may be required to indemnify our licensors for the costs associated with any such adversarial proceedings or litigation. Third parties may assert infringement claims against us, our licensors or our strategic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collaborators based on existing patents or patents that may be granted in the future, regardless of their merit. There is a risk that third parties may choose to engage in litigation or other adversarial proceedings with us, our licensors or our strategic collaborators to enforce or otherwise assert their patent rights. Even if we believe such claims are without merit, a court of competent jurisdiction could hold that these third-party patents are not invalid, enforceable and infringed, which could have a material adverse impact on our ability to utilize our platform technologies or to commercialize our current or any future product candidates. In order to successfully challenge the validity of any such U.S. patent in federal court, we would need to overcome a presumption of validity by presenting clear and convincing evidence of invalidity. There is no assurance that a court of competent jurisdiction, even if presented with evidence we believe to be clear and convincing, would invalidate the claims of any such U.S. patent.</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 we cannot guarantee that we will be able to successfully settle or otherwise resolve such adversarial proceedings or litigation. If we are unable to successfully settle future claims on terms acceptable to us, we may be required to engage in or to continue costly, unpredictable and time-consuming litigation and may be prevented from or experience substantial delays in marketing our product candidates. If we, or our licensors, or any future strategic collaborators are found to infringe, misappropriate or violate a third-party patent or other intellectual property rights, we could be required to pay damages, including treble damages and attorney’s fees, if we are found to have willfully infringed. In addition, we, or our licensors, or any future strategic collaborators may choose to seek, or be required to seek, a license from a third party, which may not be available on commercially reasonable terms, if at all. Even if a license can be obtained on commercially reasonable terms, the rights may be non-exclusive, which could give our competitors access to the same technology or intellectual property rights licensed to us, and we could be required to make substantial licensing and royalty payments. Parties making claims against us may obtain injunctive or other equitable relief, which could effectively block our ability to further develop and commercialize our current or future product candidates. We could be forced, including by court order, to cease utilizing, developing, manufacturing and commercializing our platform technologies or product candidates deemed to be infringing. We may be forced to redesign current or future technologies or products. Defense of these claims, regardless of their merit, would involve substantial litigation expense and would be a substantial diversion of employee resources from our business. Any of the foregoing could have a material adverse effect on our ability to generate revenue or achieve profitability and possibly prevent us from generating revenue sufficient to sustain our operations.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Thus, it is possible that one or more third parties will hold patent rights to which we will need a license, which may not be available on reasonable terms or at all. If such third parties refuse to grant us a license to such patent rights on reasonable terms or at all, we may be required to expend significant time and resources to redesign our technology, product candidates or the methods for manufacturing our product candidates, or to develop or license replacement technology, all of which may not be commercially or technically feasible. In such case, we may not be able to market such technology or product candidates and may not be able to perform research and development or other activities covered by these patents. This could have a material adverse effect on our ability to commercialize our product candidates and our business and financial condition.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Lastly, if our technology or products are found to infringe the intellectual property rights of third parties, these third parties may assert infringement claims against our licensees and other parties with whom we have business relationships, and we may be required to indemnify those parties for any damages they suffer as a result of these claims. The claims may require us to initiate or defend protracted and costly litigation on behalf of licensees and other parties regardless of the merits of these claims. If any of these claims succeed, we may be forced to pay damages on behalf of those parties or may be required to obtain licenses for the products they use.</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Intellectual property litigation may lead to unfavorable publicity that harms our reputation and causes the market price of our shares of our common stock to decline.</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existing product candidates, approved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Intellectual property rights of third parties could adversely affect our ability to commercialize our current or future technologies or product candidates, and we might be required to litigate or obtain licenses from third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i/>
          <w:color w:val="000000"/>
          <w:sz w:val="20"/>
        </w:rPr>
      </w:pPr>
      <w:r>
        <w:rPr>
          <w:rFonts w:ascii="Times New Roman;sans-serif" w:hAnsi="Times New Roman;sans-serif"/>
          <w:b/>
          <w:i/>
          <w:color w:val="000000"/>
          <w:sz w:val="20"/>
        </w:rPr>
        <w:t>parties to develop or market our current or future technologies or product candidates, which may not be available on commercially reasonable terms or at all.</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Because the gene and cell therapy landscape is still evolving, it is difficult to conclusively assess our freedom to operate without infringing, misappropriating or violating third-party rights.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Also, our determination of the expiration date of any patent in the United States or abroad that we consider relevant may be incorrect.</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numerous companies that have pending patent applications and issued patents broadly covering gene and cell therapy generally or covering related inventions that may be relevant for product candidates that we wish to develop. We are aware of third-party patents and patent applications that claim aspects of our current or potential future product candidates and modifications that we may need to apply to our current or potential future product candidates. There are also many issued patents that claim inventions that may be relevant to products we wish to develop. The holders of such patents may be able to block our ability to develop and commercialize the applicable product candidate unless we obtain a license or until such patent expires. In either case, such a license may not be available on commercially reasonable terms or at all, or it may be non-exclusive, which could result in our competitors gaining access to the same intellectual property.</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competitive position may materially suffer if patents issued to third parties or other third-party intellectual property rights cover our current or future technologies, product candidates or elements thereof or our manufacture or uses relevant to our development plans. In such cases, we may not be in a position to develop or commercialize current or future technologies or product candidates unless we successfully pursue litigation to narrow or invalidate the third-party intellectual property right concerned, or enter into a license agreement with the intellectual property right holder, if available on commercially reasonable terms. There may be issued patents of which we are not aware, held by third parties that, if found to be valid and enforceable, could be alleged to be infringed by our current or future technologies or product candidates. There also may be pending patent applications of which we are not aware that may result in issued patents, which could be alleged to be infringed by our current or future technologies or product candidates. If such an infringement claim should successfully be brought, we may be required to pay substantial damages or be forced to abandon our current or future technologies or product candidates or to seek a license from any patent holders. No assurances can be given that a license will be available on commercially reasonable terms, if at all.</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Third-party intellectual property right holders may also actively bring infringement, misappropriation, or other claims alleging violations of intellectual property rights against us. We cannot guarantee that we will be able to successfully settle or otherwise resolve such claims. If we are unable to successfully settle future claims on terms acceptable to us, we may be required to engage in or to continue costly, unpredictable and time-consuming litigation and may be prevented from or experience substantial delays in marketing our product candidates. If we fail in any such dispute, in addition to being forced to pay damages, we may be temporarily or permanently prohibited from commercializing any of our current or future technologies or product candidates that are held to be infringing, misappropriating or otherwise violating third-party intellectual property rights. We might, if possible, also be forced to redesign current or future technologies or product candidates so that we no longer infringe, misappropriate or violate the third-party intellectual property rights. Any of these events, even if we were ultimately to prevail, could require us to divert substantial financial and management resources that we would otherwise be able to devote to our business, which could have a material adverse effect on our financial condition and results of operations.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we are unable to protect the confidentiality of our trade secrets, our business and competitive position would be harmed.</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seeking patent protection for certain aspects of our current or future technologies and product candidates, we rely on trade secrets, including confidential and unpatented know-how, technology and other proprietary information, to maintain our competitive position and to protect aspects of our business that are not amenable to, or that we do not consider appropriate for, patent protection. Elements of our product candidates, including processes for their preparation and manufacture, may involve proprietary know-how, information, or technology that is not covered by patents, and thus for these aspects we may consider trade secrets and know-how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be our primary intellectual property. Our trade secrets include, for example, certain program specific synthesis, formulations, patient selection strategies and certain aspects of our research.</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Trade secrets and know-how can be difficult to protect. We seek to protect trade secrets and confidential and unpatented know-how, in part, by entering into non-disclosure and confidentiality agreements with parties who have access to such knowledge, such as our employees, corporate collaborators, outside scientific collaborators, contract research organizations, contract manufacturers, consultants, advisors and other third parties. We also enter into confidentiality and invention or patent assignment agreements with our employees and consultants under which they are obligated to maintain confidentiality and to assign their inventions to us. However, we cannot be certain that such agreements have been entered into with all relevant parties, and we cannot be certain that our trade secrets and other confidential proprietary information will not be disclosed or that competitors will not otherwise gain access (such as through a cybersecurity breach) to our trade secrets or independently develop substantially equivalent information and techniques. Moreover, individuals with whom we have such agreements may not comply with their terms. Any of these parties may breach such agreements and disclose our proprietary information, including our trade secrets, and we may not be able to obtain adequate remedies for any such breaches. In addition, we take other appropriate precautions, such as physical and technological security measures, to guard against misappropriation of our proprietary technology by third parties.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may also become involved in inventorship disputes relating to inventions and patents developed by our employees or consultants under such agreements. Enforcing a claim that a party illegally disclosed or misappropriated a trade secret, or securing title to an employee-or consultant-developed invention if a dispute arises, is difficult, expensive and time-consuming, and the outcome is unpredictable. In addition, some courts in the United States and certain foreign jurisdictions disfavor or are unwilling to protect trade secrets.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 Further, if any of our trade secrets were to be lawfully obtained or independently developed by a competitor, we would have no right to prevent that competitor from using the technology or information to compete with us. If, in the future, any of our trade secrets were to be disclosed to or independently developed by a competitor, our competitive position would be materially and adversely harmed.</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may be subject to claims that we or our employees or consultants have wrongfully used or disclosed alleged trade secrets or other proprietary information of third parties, including our employees’ or consultants’ former employers or their clients.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party to various contracts under which we are obligated to maintain the confidentiality of trade secrets or other confidential and proprietary information of third parties, including our licensors and strategic partners. In addition, many of our employees or consultants and our licensors’ employees or consultants were previously employed at universities or biotechnology or biopharmaceutical companies, including our competitors or potential competitors. We may be subject to claims that one or more of these employees or consultants or we have inadvertently or otherwise used or disclosed trade secrets or other proprietary information of third parties, including former employers of our employees and consultants. Litigation or arbitration may be necessary to defend against these claims. If we fail in defending such claims, in addition to paying monetary damages, we may lose valuable intellectual property rights or personnel or may be enjoined from using such intellectual property. Any such proceedings and possible aftermath would likely divert significant resources from our core business, including distracting our technical and management personnel from their normal responsibilities. A loss of key research personnel or their work product could limit our ability to commercialize, or prevent us from commercializing, our current or future technologies or product candidates, which could materially harm our business. Even if we are successful in defending against any such claims, litigation or arbitration could result in substantial costs and could be a distraction to management.</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may be subject to claims challenging the inventorship of our patents and other intellectual property.</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or our licensors may be subject to claims that former employees, collaborators or other third parties have an interest in our owned or in-licensed patents as an inventor or co-inventor, or in our trade secrets or other intellectual property as a contributor to its development. The failure to name the proper inventors on a patent application can result in the patents issuing thereon being unenforceable. Inventorship disputes may arise from conflicting views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Alternatively, or additionally, we may enter into agreements to clarify the scope of our rights in such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Also, our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 results of operations and prospects.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Periodic maintenance fees, renewal fees, annuity fees and various other government fees on patents or applications will be due to be paid to the USPTO and various government patent agencies outside of the United States over the lifetime of our owned and in-licensed patents or applications and any patent rights we may own or in-license in the future. The USPTO and various non-U.S. patent offices require compliance with several procedural, documentary, fee payment and other similar provisions during the patent application process. We employ reputable law firms and other professionals to help us comply with these requirements, and we are also dependent on our licensors to take the necessary action to comply with these requirements with respect to our in-licensed intellectual property. In many cases, an inadvertent lapse, including due to the effect of a global health emergency such as the COVID-19 pandemic on us, our patent counsel or other applicable patent maintenance vendors,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 candidates or platforms, which could have a material adverse effect on our business prospects and financial condition.</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and will continue to use registered and/or unregistered trademarks or trade names to brand and market ourselves and our products. Our trademarks or trade names may be challenged, infringed, circumvented, declared generic or determined to be infringing on other marks. We may not be able to protect our rights to these trademarks and trade names or may be forced to stop using these names, which we use for name recognition by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we may not be able to compete effectively, and our business may be materially adversely affected.</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may also license our trademarks and trade names to third parties, such as distributors. Though these license agreements may provide guidelines for how our trademarks and trade names may be used, a breach of these agreements or misuse of our trademarks and trade names by our licensees may jeopardize our rights in or diminish the goodwill associated with our trademarks and trade names.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Intellectual property rights do not necessarily address all potential threats to our business.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afforded by our intellectual property rights is uncertain because intellectual property rights have limitations and may not adequately protect our business. The following examples are illustrative: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others may be able to create gene circuit technologies that are similar to our technologies or our product candidates, but that are not covered by the claims of any patents that we own, license or control;</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or any strategic collaborators might not have been the first to make the inventions covered by the issued patents or pending patent applications that we own, license or control;</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or our licensors might not have been the first to file patent applications covering certain of our owned and in-licensed inventions;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others may independently develop the same, similar, or alternative technologies without infringing, misappropriating or violating our owned or in-licensed intellectual property rights;</w:t>
            </w:r>
          </w:p>
        </w:tc>
      </w:tr>
    </w:tbl>
    <w:tbl>
      <w:tblPr>
        <w:tblW w:w="942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465"/>
        <w:gridCol w:w="2465"/>
        <w:gridCol w:w="35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35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 is possible that our owned or in-licensed pending patent applications will not lead to issued patents;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issued patents that we own, in-license, or control may not provide us with any competitive advantages, or may be narrowed or held invalid or unenforceable, including as a result of legal challenges;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tc>
      </w:tr>
    </w:tbl>
    <w:tbl>
      <w:tblPr>
        <w:tblW w:w="935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443"/>
        <w:gridCol w:w="2443"/>
        <w:gridCol w:w="34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34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may choose not to file a patent application in order to maintain certain trade secrets</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 know-how, and a third party may subsequently file a patent application covering such trade secrets</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 know-how; and</w:t>
            </w:r>
          </w:p>
        </w:tc>
      </w:tr>
    </w:tbl>
    <w:tbl>
      <w:tblPr>
        <w:tblW w:w="635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565"/>
        <w:gridCol w:w="1565"/>
        <w:gridCol w:w="22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patents of others may have an adverse effect on our business.</w:t>
            </w:r>
          </w:p>
        </w:tc>
      </w:tr>
    </w:tbl>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Should any of these events occur, they could have a material adverse impact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Risks Related to Government Regulation</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Clinical development includes a lengthy and expensive process with an uncertain outcome, and results of earlier studies and trials may not be predictive of future trial results.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All of our current product candidates are in preclinical development and their risk of failure is high. It is impossible to predict when or if our candidates or any potential future product candidates will prove effective in humans or will receive regulatory approval. Before obtaining marketing approval from regulatory authorities for the sale of any product candidate, we must complete preclinical studies for our current product candidates and then conduct extensive clinical trials to demonstrate the safety, purity and potency, or efficacy of that product candidate in humans. Clinical testing is expensive and can take many years to complete, and its outcome is inherently uncertain. Failure can occur at any time during the development process. The results of preclinical studies and clinical trials of any of our current or potential future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pharmaceutical industry have suffered significant setbacks in advanced clinical trials due to lack of efficacy or safety profiles, notwithstanding promising results in earlier trials.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conducting IND-enabling studies for our current product candidates. We may experience delays in completing our preclinical studies and initiating or completing our clinical studies. We do not know whether planned preclinical studies and clinical trials will be completed on schedule or at all, or whether planned clinical trials will begin on time, need to be redesigned, enroll patients on time or be completed on schedule, if at all. Our development programs may be delayed for a variety of reasons, including delays related to:</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FDA or other regulatory authorities requiring us to submit additional data or imposing other requirements before permitting us to initiate a clinical trial;</w:t>
            </w:r>
          </w:p>
        </w:tc>
      </w:tr>
    </w:tbl>
    <w:tbl>
      <w:tblPr>
        <w:tblW w:w="594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449"/>
        <w:gridCol w:w="1449"/>
        <w:gridCol w:w="20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obtaining regulatory approval to commence a clinical trial;</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reaching agreement on acceptable terms with prospective CROs and clinical trial sites, the terms of which can be subject to extensive negotiation and may vary significantly among different CROs and clinical trial sites;</w:t>
            </w:r>
          </w:p>
        </w:tc>
      </w:tr>
    </w:tbl>
    <w:tbl>
      <w:tblPr>
        <w:tblW w:w="675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683"/>
        <w:gridCol w:w="1683"/>
        <w:gridCol w:w="23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obtaining IRB or ethics committee approval at each clinical trial site;</w:t>
            </w:r>
          </w:p>
        </w:tc>
      </w:tr>
    </w:tbl>
    <w:tbl>
      <w:tblPr>
        <w:tblW w:w="588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432"/>
        <w:gridCol w:w="1432"/>
        <w:gridCol w:w="20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recruiting suitable patients to participate in a clinical trial;</w:t>
            </w:r>
          </w:p>
        </w:tc>
      </w:tr>
    </w:tbl>
    <w:tbl>
      <w:tblPr>
        <w:tblW w:w="749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903"/>
        <w:gridCol w:w="1903"/>
        <w:gridCol w:w="26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having patients complete a clinical trial or return for post-treatment follow-up;</w:t>
            </w:r>
          </w:p>
        </w:tc>
      </w:tr>
    </w:tbl>
    <w:tbl>
      <w:tblPr>
        <w:tblW w:w="699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753"/>
        <w:gridCol w:w="1753"/>
        <w:gridCol w:w="24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 sites deviating from trial protocol or dropping out of a trial;</w:t>
            </w:r>
          </w:p>
        </w:tc>
      </w:tr>
    </w:tbl>
    <w:tbl>
      <w:tblPr>
        <w:tblW w:w="455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39"/>
        <w:gridCol w:w="1039"/>
        <w:gridCol w:w="14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FDA placing the clinical trial on hold;</w:t>
            </w:r>
          </w:p>
        </w:tc>
      </w:tr>
    </w:tbl>
    <w:tbl>
      <w:tblPr>
        <w:tblW w:w="659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635"/>
        <w:gridCol w:w="1635"/>
        <w:gridCol w:w="23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subjects failing to enroll or remain in our trial at the rate we expect;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subjects choosing an alternative treatment for the indication for which we are developing or other product candidates, or participating in competing clinical trials;</w:t>
            </w:r>
          </w:p>
        </w:tc>
      </w:tr>
    </w:tbl>
    <w:tbl>
      <w:tblPr>
        <w:tblW w:w="554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328"/>
        <w:gridCol w:w="1328"/>
        <w:gridCol w:w="1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lack of adequate funding to continue the clinical trial;</w:t>
            </w:r>
          </w:p>
        </w:tc>
      </w:tr>
    </w:tbl>
    <w:tbl>
      <w:tblPr>
        <w:tblW w:w="69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756"/>
        <w:gridCol w:w="1756"/>
        <w:gridCol w:w="24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subjects experiencing severe or unexpected drug-related adverse events;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tbl>
      <w:tblPr>
        <w:tblW w:w="726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835"/>
        <w:gridCol w:w="1835"/>
        <w:gridCol w:w="26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any changes to our manufacturing process that may be necessary or desired;</w:t>
            </w:r>
          </w:p>
        </w:tc>
      </w:tr>
    </w:tbl>
    <w:tbl>
      <w:tblPr>
        <w:tblW w:w="393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860"/>
        <w:gridCol w:w="860"/>
        <w:gridCol w:w="12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adding new clinical trial sites; and</w:t>
            </w:r>
          </w:p>
        </w:tc>
      </w:tr>
    </w:tbl>
    <w:tbl>
      <w:tblPr>
        <w:tblW w:w="806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067"/>
        <w:gridCol w:w="2067"/>
        <w:gridCol w:w="29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sufficient quantities of our product candidates for use in clinical trials.</w:t>
            </w:r>
          </w:p>
        </w:tc>
      </w:tr>
    </w:tbl>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we expect to rely on our CROs and clinical trial sites to ensure the proper and timely conduct of our clinical trials and, while we expect to enter into agreements governing their committed activities, we have limited influence over their actual performance.</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could encounter delays if prescribing physicians encounter unresolved ethical issues associated with enrolling patients in clinical trials of our current or potential future product candidates in lieu of prescribing existing treatments that have established safety and efficacy profiles. Further, a clinical trial may be suspended or terminated by us, our collaborators, the IRBs of the institutions in which such trials are being conducted, the Data Safety Monitoring Board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or therapeutic biologic, changes in governmental regulations or administrative actions or lack of adequate funding to continue the clinical trial.</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Moreover,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the marketing application we submit. Any such delay or rejection could prevent or delay us from commercializing our current or future product candidates.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we experience delays in the completion of, or termination of, any clinical trial of any of our current or potential future product candidates, the commercial prospects of such product candidate will be harmed, and our ability to generate product revenue from such product candidates will be delayed. In addition, any delays in completing our clinical trials will increase our costs, slow our product development and approval process and jeopardize our ability to commence product sales and generate revenue. Any of these occurrences may have a material adverse effect on our business, financial condition, results of operations and prospects. In addition, many of the factors that cause, or lead to, a delay in the commencement or completion of clinical trials may also ultimately lead to the denial of regulatory approval of our current or potential future product candidates.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may be unable to obtain U.S. or foreign regulatory approval and, as a result, be unable to commercialize our current or potential future product candidates.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and any potential future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time-consuming, uncertain and subject to unanticipated delays. It is possible that none of the product candidates we may develop will obtain the regulatory approvals necessary for us or our potential future collaborators to begin selling them.</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very limited experience in conducting and managing the clinical trials necessary to obtain regulatory approvals, including approval by the FDA and other regulatory authorities.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require judgment and can change, which makes it difficult to predict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regulatory policy during the period of product development, clinical trials and FDA regulatory review in the United States and other jurisdictions. It is impossible to predict whether legislative changes will be enacted, or whether FDA or foreign regulations, guidance or interpretations will be changed, or what the impact of such changes, if any, may be.</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delay or failure in obtaining required approvals could have a material adverse effect on our ability to generate revenue from the particular product candidate for which we are seeking approval. Further, we and our potential future collaborators may never receive approval to market and commercialize any product candidate. Even if we or a potential future collaborator obtains regulatory approval, the approval may be for targets, disease indications or patient populations that are not as broad as we intended or desired or may require labeling that includes significant use or distribution restrictions or safety warnings.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Once a product obtains regulatory approval, numerous post approval requirements apply, including periodic monitoring and reporting obligations, review of promotional material, reports on ongoing clinical trials and adverse events and inspections of manufacturing facilities. In addition, material changes to approved products, including any changes to the manufacturing process or labeling, require further review by the appropriate authorities before marketing. Approvals may also be withdrawn or revoked due to safety, effectiveness or potency concerns, including as a result of adverse events reported in patients or ongoing clinical trials, or failure to comply with cGMP. In addition to revocation or withdrawal of approvals, we and our partners may be subject to warnings, fines, recalls, criminal prosecution or other sanctions if we fail to comply with regulatory requirements. If we or our partners are unable to obtain or maintain regulatory approvals for our products and product candidates, our business, financial position, results of operations and future growth prospects will be negatively impacted and we or our partners may be subject to sanctions. If any of our product candidates prove to be ineffective, unsafe or commercially unviable, we may have to re-engineer our current or potential future product candidates, and our entire pipeline could have little, if any, value, which could require us to change our focus and approach to product candidate discovery and therapeutic development, which would have a material adverse effect on our business, financial condition, results of operations and prospects.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will also be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we succeed in developing any products, we intend to market them in the United States as well as the European Union and other foreign jurisdictions. In order to market and sell our products in other jurisdictions, we must obtain separate marketing approvals and comply with numerous and varying regulatory requirements.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or EMA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Obtaining foreign regulatory approvals and compliance with foreign regulatory requirements could result in significant delays, difficulties and costs for us and could delay or prevent the introduction of our products in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countries. If we or any partner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may in the future conduct certain of our clinical trials for our product candidates outside of the United States. However, the FDA and other foreign equivalents may not accept data from such trials, in which case our development plans will be delayed, which could materially harm our business.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may in the future choose to conduct one or more of our clinical trials for our product candidates outside the United States. Although the FDA may accept data from clinical trials conducted outside the United States, acceptance of this data is subject to certain conditions imposed by the FDA. In cases where data from foreign clinical trials are intended to serve as the basis for marketing approval in the United States, the FDA will not approve the application on the basis of foreign data alone unless (i) those data are applicable to the U.S. population and U.S. medical practice; (ii) the studies were performed by clinical investigators of recognized competence; and (iii) the data are considered valid without the need for an on-site inspection by the FDA or, if the FDA considers such an inspection to be necessary, the FDA is able to validate the data through an on-site inspection or other appropriate means. For studies that are conducted only at sites outside of the United States and not subject to an IND, the FDA requires the clinical trial to have been conducted in accordance with GCPs, and the FDA must be able to validate the data from the clinical trial through an on-site inspection if it deems such inspection necessary. For such studies not subject to an IND, the FDA generally does not provide advance comment on the clinical protocols for the studies, and therefore there is an additional potential risk that the FDA could determine that the study design or protocol for a non-U.S. clinical trial was inadequate, which could require us to conduct additional clinical trials. There can be no assurance the FDA will accept data from clinical trials conducted outside of the United States. If the FDA does not accept data from our clinical trials of our product candidates, it would likely result in the need for additional clinical trials, which would be costly and time consuming and delay or permanently halt our development of our product candidates.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Conducting clinical trials outside the United States also exposes us to additional risks, including risks associated with:</w:t>
      </w:r>
    </w:p>
    <w:tbl>
      <w:tblPr>
        <w:tblW w:w="465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69"/>
        <w:gridCol w:w="1069"/>
        <w:gridCol w:w="15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foreign regulatory requirements;</w:t>
            </w:r>
          </w:p>
        </w:tc>
      </w:tr>
    </w:tbl>
    <w:tbl>
      <w:tblPr>
        <w:tblW w:w="363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771"/>
        <w:gridCol w:w="771"/>
        <w:gridCol w:w="1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fluctuations;</w:t>
            </w:r>
          </w:p>
        </w:tc>
      </w:tr>
    </w:tbl>
    <w:tbl>
      <w:tblPr>
        <w:tblW w:w="80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071"/>
        <w:gridCol w:w="2071"/>
        <w:gridCol w:w="29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9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compliance with foreign manufacturing, customs, shipment and storage requirements;</w:t>
            </w:r>
          </w:p>
        </w:tc>
      </w:tr>
    </w:tbl>
    <w:tbl>
      <w:tblPr>
        <w:tblW w:w="641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584"/>
        <w:gridCol w:w="1584"/>
        <w:gridCol w:w="22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cultural differences in medical practice and clinical research; and</w:t>
            </w:r>
          </w:p>
        </w:tc>
      </w:tr>
    </w:tbl>
    <w:tbl>
      <w:tblPr>
        <w:tblW w:w="638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574"/>
        <w:gridCol w:w="1574"/>
        <w:gridCol w:w="22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diminished protection of intellectual property in some countries.</w:t>
            </w:r>
          </w:p>
        </w:tc>
      </w:tr>
    </w:tbl>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Even if we receive regulatory approval for any of our current or potential future product candidates, we will be subject to ongoing regulatory obligations and continued regulatory review, which may result in significant additional expense. Additionally, our current or potential future product candidates, if approved, could be subject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i/>
          <w:color w:val="000000"/>
          <w:sz w:val="20"/>
        </w:rPr>
      </w:pPr>
      <w:r>
        <w:rPr>
          <w:rFonts w:ascii="Times New Roman;sans-serif" w:hAnsi="Times New Roman;sans-serif"/>
          <w:b/>
          <w:i/>
          <w:color w:val="000000"/>
          <w:sz w:val="20"/>
        </w:rPr>
        <w:t>to labeling and other restrictions and market withdrawal and we may be subject to penalties if we fail to comply with regulatory requirements or experience unanticipated problems with our products.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regulatory approvals that we or potential future collaborators obtain for any of our current or potential future product candidates will be subject to limitations on the approved indicated uses for which a product may be marketed or may be subject to the conditions of approval, or contain requirements for potentially costly post-marketing testing, and surveillance to monitor the safety and efficacy of such product candidate. In addition, if the FDA or any other regulatory authority approves any of our current or potential future product candidates, the manufacturing processes, labeling, packaging, distribution, adverse event reporting, storage, import, export, advertising, promotion and recordkeeping for such product will be subject to extensive and ongoing regulatory requirements. These requirements include submissions of safety and other post-marketing information and reports, registration, as well as continued compliance with cGMP and good clinical practices for any clinical trials that we conduct post-approval. In addition, manufacturers and manufacturers’ facilities are required to comply with extensive FDA and comparable foreign regulatory authority requirements, including registering their establishments with the FDA and certain state agencies, ensuring that quality control and manufacturing procedures conform to cGMP and cGTP regulations and applicable product tracking and tracing requirements. Manufacturing facilities are subject to periodic announced and unannounced inspections by the FDA and certain state agencies for compliance with cGMP requirements and other regulatory requirements. Accordingly, manufacturers must continue to expend time, money and effort in the area of production and quality control to maintain cGMP compliance. The discovery of violative conditions, including failure to conform to cGMP regulations, could result in enforcement actions.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Later discovery of previously unknown problems with a product candidate, including adverse events of unanticipated severity or frequency, or with our third-party manufacturers or manufacturing processes, or failure to comply with regulatory requirements, may result in, among other things: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restrictions on the marketing or manufacturing of the product candidate, withdrawal of the product candidate from the market or voluntary or mandatory product recalls;</w:t>
            </w:r>
          </w:p>
        </w:tc>
      </w:tr>
    </w:tbl>
    <w:tbl>
      <w:tblPr>
        <w:tblW w:w="623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531"/>
        <w:gridCol w:w="1531"/>
        <w:gridCol w:w="21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fines, warning letters, untitled letters or holds on clinical trials;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refusal by the FDA to approve pending applications or supplements to approved applications filed by us or our strategic collaborators;</w:t>
            </w:r>
          </w:p>
        </w:tc>
      </w:tr>
    </w:tbl>
    <w:tbl>
      <w:tblPr>
        <w:tblW w:w="495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157"/>
        <w:gridCol w:w="1157"/>
        <w:gridCol w:w="16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suspension or revocation of product approvals;</w:t>
            </w:r>
          </w:p>
        </w:tc>
      </w:tr>
    </w:tbl>
    <w:tbl>
      <w:tblPr>
        <w:tblW w:w="45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25"/>
        <w:gridCol w:w="1025"/>
        <w:gridCol w:w="14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suspension of any ongoing clinical trials;</w:t>
            </w:r>
          </w:p>
        </w:tc>
      </w:tr>
    </w:tbl>
    <w:tbl>
      <w:tblPr>
        <w:tblW w:w="803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055"/>
        <w:gridCol w:w="2055"/>
        <w:gridCol w:w="29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9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 seizure or detention or refusal to permit the import or export of products; and</w:t>
            </w:r>
          </w:p>
        </w:tc>
      </w:tr>
    </w:tbl>
    <w:tbl>
      <w:tblPr>
        <w:tblW w:w="735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859"/>
        <w:gridCol w:w="1859"/>
        <w:gridCol w:w="26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injunctions or the imposition of civil or criminal penalties or monetary fines.</w:t>
            </w:r>
          </w:p>
        </w:tc>
      </w:tr>
    </w:tbl>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occurrence of any event or penalty described above may inhibit our ability to commercialize our product candidates and generate revenue.</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FDA has the authority to require a risk evaluation and mitigation strategy (“REMS”) as part of a biologics license application, or BLA, or after approval, which may impose further requirements or restrictions on the distribution or use of an approved product, such as limiting prescribing to certain physicians or medical centers that have undergone specialized training, limiting treatment to patients who meet certain safe-use criteria and requiring treated patients to enroll in a registry.</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the FDA strictly regulates marketing, labeling, advertising and promotion of products that are placed on the market. Products may be promoted only for the approved indications and in accordance with the provisions of the approved label. While physicians may prescribe, in their independent professional medical judgment, products for off-label uses as the FDA does not regulate the behavior of physicians in their choice of drug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treatments, the FDA does restrict a manufacturer’s communications on the subject of off-label use of their products. Companies may only share truthful and not misleading information that is otherwise consistent with a product’s FDA approved labeling. The FDA and other authorities actively enforce the laws and regulations prohibiting the promotion of off-label uses and a company that is found to have improperly promoted off-label uses may be subject to significant liability including, among other things, adverse publicity, warning letters, corrective advertising and potential civil and criminal penalties. The federal government has levied large civil and criminal fines against companies for alleged improper promotion of off-label use and has enjoined companies from engaging in off-label promotion.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FDA and other regulatory authorities have also required that companies enter into consent decrees or permanent injunctions under which specified promotional conduct is changed or curtailed.</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Occurrence of any of the foregoing could have a material adverse effect on our business and results of operations. 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Any product candidates for which we intend to seek approval as biologic products may face competition sooner than anticipated.</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Affordable Care Act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twelve years from the date on which the reference product was first licensed. During this twelve-year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 The law is complex. The BPCIA could have a material adverse effect on the future commercial prospects for our biological products.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any of our future product candidates approved as a biological product under a BLA should qualify for the twelve-year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could be substituted for any one of our reference products in a way that is similar to traditional generic substitution for non-biological products will depend on a number of marketplace and regulatory factors that are still developing.</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Healthcare legislative reform measures may have a material adverse effect on our business and results of operations.</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The United States and several other jurisdictions are considering, or have already enacted, a number of legislative and regulatory proposals to change the healthcare system in ways that could affect our ability to sell any of our product candidates profitably, if approved. Among policy-makers and payers in the United States and elsewhere, there is significant interest in promoting changes in healthcare systems, with the stated goals of containing healthcare costs, improving quality and expanding access to healthcare. In the United States, the pharmaceutical industry has been a particular focus of these efforts and has been significantly affected by major legislative initiatives. See section titled “</w:t>
      </w:r>
      <w:r>
        <w:rPr>
          <w:rFonts w:ascii="Times New Roman;sans-serif" w:hAnsi="Times New Roman;sans-serif"/>
          <w:b w:val="false"/>
          <w:i/>
          <w:color w:val="000000"/>
          <w:sz w:val="20"/>
        </w:rPr>
        <w:t>Business - Government Regulation – Healthcare Reform</w:t>
      </w:r>
      <w:r>
        <w:rPr>
          <w:color w:val="000000"/>
        </w:rPr>
        <w:t xml:space="preserve">” </w:t>
      </w:r>
      <w:r>
        <w:rPr>
          <w:rFonts w:ascii="Times New Roman;sans-serif" w:hAnsi="Times New Roman;sans-serif"/>
          <w:b w:val="false"/>
          <w:color w:val="000000"/>
          <w:sz w:val="20"/>
        </w:rPr>
        <w:t>in the Annual Report on Form 10-K for the year ended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has been increasing legislative and enforcement interest in the United States with respect to drug pricing practices. The Inflation Reduction Act of 2022, or IRA includes several provisions that may impact our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the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The effects of the IRA on our business and the healthcare industry in general is not yet known.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President Biden has issued multiple executive orders that have sought to reduce prescription drug costs. In February 2023, HHS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cannot predict the initiatives that may be adopted in the future. The continuing efforts of the government, insurance companies, managed care organizations, and other payers of healthcare services to contain or reduce the costs of healthcare may adversely affect:</w:t>
      </w:r>
    </w:p>
    <w:p>
      <w:pPr>
        <w:pStyle w:val="TextBody"/>
        <w:bidi w:val="0"/>
        <w:spacing w:lineRule="auto" w:line="276" w:before="0" w:after="180"/>
        <w:ind w:left="0" w:right="0" w:firstLine="270"/>
        <w:jc w:val="left"/>
        <w:rPr/>
      </w:pPr>
      <w:r>
        <w:rPr>
          <w:color w:val="000000"/>
        </w:rPr>
        <w:t>•</w:t>
      </w:r>
      <w:r>
        <w:rPr>
          <w:rFonts w:ascii="Times New Roman;sans-serif" w:hAnsi="Times New Roman;sans-serif"/>
          <w:b w:val="false"/>
          <w:color w:val="000000"/>
          <w:sz w:val="20"/>
        </w:rPr>
        <w:t xml:space="preserve">the demand for any of our product candidates, if approved; </w:t>
      </w:r>
    </w:p>
    <w:p>
      <w:pPr>
        <w:pStyle w:val="TextBody"/>
        <w:bidi w:val="0"/>
        <w:spacing w:lineRule="auto" w:line="276" w:before="0" w:after="180"/>
        <w:ind w:left="0" w:right="0" w:firstLine="270"/>
        <w:jc w:val="left"/>
        <w:rPr/>
      </w:pPr>
      <w:r>
        <w:rPr>
          <w:color w:val="000000"/>
        </w:rPr>
        <w:t>•</w:t>
      </w:r>
      <w:r>
        <w:rPr>
          <w:rFonts w:ascii="Times New Roman;sans-serif" w:hAnsi="Times New Roman;sans-serif"/>
          <w:b w:val="false"/>
          <w:color w:val="000000"/>
          <w:sz w:val="20"/>
        </w:rPr>
        <w:t xml:space="preserve">our ability to set a price that we believe is fair for any of our product candidates, if approved; </w:t>
      </w:r>
    </w:p>
    <w:p>
      <w:pPr>
        <w:pStyle w:val="TextBody"/>
        <w:bidi w:val="0"/>
        <w:spacing w:lineRule="auto" w:line="276" w:before="0" w:after="180"/>
        <w:ind w:left="0" w:right="0" w:firstLine="270"/>
        <w:jc w:val="left"/>
        <w:rPr/>
      </w:pPr>
      <w:r>
        <w:rPr>
          <w:color w:val="000000"/>
        </w:rPr>
        <w:t>•</w:t>
      </w:r>
      <w:r>
        <w:rPr>
          <w:rFonts w:ascii="Times New Roman;sans-serif" w:hAnsi="Times New Roman;sans-serif"/>
          <w:b w:val="false"/>
          <w:color w:val="000000"/>
          <w:sz w:val="20"/>
        </w:rPr>
        <w:t xml:space="preserve">our ability to generate revenues or maintain profitability; </w:t>
      </w:r>
    </w:p>
    <w:p>
      <w:pPr>
        <w:pStyle w:val="TextBody"/>
        <w:bidi w:val="0"/>
        <w:spacing w:lineRule="auto" w:line="276" w:before="0" w:after="180"/>
        <w:ind w:left="0" w:right="0" w:firstLine="270"/>
        <w:jc w:val="left"/>
        <w:rPr/>
      </w:pPr>
      <w:r>
        <w:rPr>
          <w:color w:val="000000"/>
        </w:rPr>
        <w:t>•</w:t>
      </w:r>
      <w:r>
        <w:rPr>
          <w:rFonts w:ascii="Times New Roman;sans-serif" w:hAnsi="Times New Roman;sans-serif"/>
          <w:b w:val="false"/>
          <w:color w:val="000000"/>
          <w:sz w:val="20"/>
        </w:rPr>
        <w:t xml:space="preserve">the level of taxes that we are required to pay; and </w:t>
      </w:r>
    </w:p>
    <w:p>
      <w:pPr>
        <w:pStyle w:val="TextBody"/>
        <w:bidi w:val="0"/>
        <w:spacing w:lineRule="auto" w:line="276" w:before="0" w:after="180"/>
        <w:ind w:left="0" w:right="0" w:firstLine="270"/>
        <w:jc w:val="left"/>
        <w:rPr/>
      </w:pPr>
      <w:r>
        <w:rPr>
          <w:color w:val="000000"/>
        </w:rPr>
        <w:t>•</w:t>
      </w:r>
      <w:r>
        <w:rPr>
          <w:rFonts w:ascii="Times New Roman;sans-serif" w:hAnsi="Times New Roman;sans-serif"/>
          <w:b w:val="false"/>
          <w:color w:val="000000"/>
          <w:sz w:val="20"/>
        </w:rPr>
        <w:t>the availability of capital.</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Legislative and regulatory proposals have been made to expand post-approval requirements and to restrict sales and promotional activities for pharmaceutical and biologic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if approved..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the healthcare reform measures that have been adopted and may be adopted in the future, may result in more rigorous coverage criteria and in additional downward pressure on the price that we receive for any approved product and could harm our future revenues. Any reduction in reimbursement from Medicare or other government programs may result in a similar reduction in payments from private payors. The implementation of cost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containment measures or other healthcare reforms may prevent us from being able to generate revenue, attain profitability or commercialize our products. </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Failure to comply with health and data protection laws and regulations could lead to government enforcement actions (which could include civil or criminal penalties), private litigation or adverse publicity and could negatively affect our operating results and business.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may collect, receive, store, process, generate, use, transfer, disclose, make accessible, protect and share personal information, health information and other sensitive information to develop our products, to operate our business, for clinical trial purposes, for legal and marketing purposes, and for other business-related purposes.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and any potential future collaborators, partners or service providers may be subject to federal, state and foreign data protection laws, regulations and regulatory guidance, the number and scope of which is changing, subject to differing applications and interpretations, and which may be inconsistent among jurisdictions, or in conflict with other rules, laws or contractual obligations. In the United States, numerous federal and state laws and regulations, including federal health information privacy laws, such as the Health Insurance Portability and Accountability Act (“HIPAA”), state data breach notification laws, state health information privacy laws and federal and state consumer protection laws, that govern the collection, use, disclosure and protection of health-related and other personal information could apply to our operations or the operations of any future potential collaborators or service providers.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obtain health information from third parties (including research institutions from which we obtain clinical trial data) that are subject to privacy and security requirements under HIPAA, or other privacy and data security laws. Depending on the facts and circumstances, we could be subject to civil or criminal penalties if we obtain, use, or disclose individually identifiable health information maintained by a HIPAA-covered entity in a manner that is not authorized or permitted by HIPAA, or if we otherwise violate applicable privacy and data security laws.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data protection laws, including the EU’s General Data Protection Regulation, and the UK’s implementation of the same, or GDPR, may also apply to health-related and other personal information obtained outside of the United States. The GDPR imposes stringent data protection requirements for processing personal data of individuals within the European Economic Area, or EEA, and the UK, as well as potential fines for noncompliant companies of up to the greater of €20 million (£17.5 million) or 4% of annual global revenue. The GDPR imposes numerous requirements for the collection, use and disclosure of personal data, including stringent requirements relating to consent and the information that must be shared with data subjects about how their personal information is used, the obligation to notify regulators and affected individuals of personal data breaches, extensive internal privacy governance obligations and obligations to honor expanded rights of individuals in relation to their personal information.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GDPR places restrictions on cross-border data transfers. On June 4, 2021, the European Commission issued new forms of standard contractual clauses (one of the primary mechanisms for U.S. companies to import personal information from Europe) for data transfers from controllers or processors in the EEA (or otherwise subject to the GDPR) to controllers or processors established outside the EEA (and not subject to the GDPR). The new standard contractual clauses do not apply in the UK, but the UK Information Commissioner’s Office issued a UK-specific transfer mechanism, the International Data Transfer Agreement. We are required to transition to the new forms of transfer mechanisms and doing so will require significant effort and cost. The new transfer mechanisms may also impact our business as companies based in Europe may be reluctant to utilize the new clauses to legitimize transfers of personal information to third countries given the burdensome requirements of transfer impact assessments and the substantial obligations that the new standard contractual clauses impose upon exporters.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with us. Any of the foregoing could materially harm our business, prospects, financial condition, and results of operations.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GDPR has increased our responsibilities and potential liability in relation to personal data processed subject to the GDPR, and we may be required to put in place additional mechanisms to ensure compliance with the GDPR, including as implemented by individual countries. In addition, any failure by us (or our business partners who handle personal data) to comply with GDPR and applicable laws and regulations relating to privacy and data protection of EEA member states and the UK may result in regulators prohibiting our processing of the personal data of EEA and UK data subjects, which could impact our operations and ability to develop our products and provide our services, including interrupting or ending EEA and UK clinical trials.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U.S., state laws also govern the privacy and security of personal information and states are constantly adopting new laws or amending existing laws, requiring attention to frequently changing regulatory requirements. For example, the California Consumer Privacy Act, as amended by the California Privacy Rights Act (the “CCPA”) gives California residents expanded rights to access, correct, and delete their personal information, opt out of certain personal information sharing and certain uses of sensitive data, and receive detailed information about how their personal information is used by requiring covered companies to provide disclosures to California consumers (as that term is broadly defined and includes any of our current or future employees who may be California residents) and provide such residents ways to opt-out of certain sales of personal information. The CCPA provides for civil penalties for violations, as well as a private right of action for data breaches and statutory damages, which is expected to increase data breach class action litigation and result in significant exposure to costly legal judgments and settlements. It will also create a new California data protection agency authorized to issue substantive regulations which could result in increased privacy and information security enforcement. Although the law includes limited exceptions for health-related information, including clinical trial data, such exceptions may not apply to all of our operations and processing activities. As we expand our operations and trials (both preclinical and clinical), the CCPA may increase our compliance costs and potential liability. Beyond the CCPA, broad and comprehensive privacy and data protection legislation has been passed in another twelve states. In addition, certain states have passed privacy laws focused on particular types of data. For example, the state of Washington has enacted a law that protects the privacy of health and medical information not subject to HIPAA and a small number of states have laws that apply specifically to biometric information. Furthermore, other U.S. states, such as New York, Massachusetts, and Utah, have enacted stringent data security laws, and numerous other states have proposed similar privacy laws. In the event that we are subject to or affected by HIPAA, the GDPR, the CCPA, the CPRA or other domestic privacy and data protection laws, any liability from failure to comply with the requirements of these laws could adversely affect our financial condition.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Compliance with U.S. and international data protection laws and regulations could require us to take on more onerous obligations in our contracts, restrict our ability to collect, use and disclose data, or in some cases, impact our ability to operate in certain jurisdictions. Laws and regulations worldwide relating to privacy, data protection and cybersecurity are, and are likely to remain, uncertain for the foreseeable future. While we strive to comply with applicable laws and regulations relating to privacy, data protection and cybersecurity, external and internal privacy and security policies and contractual obligations relating to privacy, data protection and cybersecurity to the extent possible, we may at times fail to do so, or may be perceived to have failed to do so. Moreover, despite our efforts, we may not be successful in achieving compliance if our personnel, collaborators, partners or vendors do not comply with applicable laws and regulations relating to privacy, data protection and cybersecurity, external and internal privacy and security policies and contractual obligations relating to privacy, data protection and cybersecurity. Actual or perceived failure to comply with any laws and regulations relating to privacy, data protection or cybersecurity in the U.S. or foreign jurisdictions could result in government enforcement actions (which could include civil or criminal penalties), private litigation or adverse publicity and could negatively affect our operating results and business. Moreover, clinical trial subjects about whom we or our potential collaborators or service providers obtain information, as well as the providers who share this information with us, may contractually limit our ability to use and disclose the information. Claims that we have violated individuals’ privacy rights, failed to comply with applicable laws or regulations, or breached our contractual obligations, even if we are not found liable, could be expensive and time consuming to defend, result in regulatory actions and proceedings, in addition to private claims and litigation, and could result in adverse publicity that could harm our business.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are, or may be asserted to be, subject to the terms of our external and internal privacy and security policies, representations, certifications, publications and frameworks and contractual obligations to third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related to privacy, data protection, information security and processing. Failure to comply or the perceived failure to comply with any of these, or if any of these policies or any of our representations, certifications, publications or frameworks are, in whole or part, found or perceived to be inaccurate, incomplete, deceptive, unfair or misrepresentative of our actual practices, could result in reputational harm, result in litigation, cause a material adverse impact to business operations or financial results and otherwise result in other material harm to our business.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we or our existing or potential future collaborators, manufacturers or service providers fail to comply with healthcare laws and regulations, we or they could be subject to enforcement actions, which could affect our ability to develop, market and sell our product candidates and may harm our reputation.</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 xml:space="preserve">Healthcare providers, physicians and third-party payors, among others, will play a primary role in the prescription and recommendation of any product candidates for which we obtain marketing approval. Our current and future arrangements with third-party payors, providers and customers, among others,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See section titled </w:t>
      </w:r>
      <w:r>
        <w:rPr>
          <w:color w:val="000000"/>
        </w:rPr>
        <w:t>“</w:t>
      </w:r>
      <w:r>
        <w:rPr>
          <w:rFonts w:ascii="Times New Roman;sans-serif" w:hAnsi="Times New Roman;sans-serif"/>
          <w:b w:val="false"/>
          <w:i/>
          <w:color w:val="000000"/>
          <w:sz w:val="20"/>
        </w:rPr>
        <w:t>Business - Government Regulation - Other U.S. Healthcare Laws” in the Annual Report on Form 10-K for the year ended December 31, 2022.</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scope and enforcement of each of these laws is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of future statures, regulations, agency guidance, or case law involving applicable fraud and abuse or other healthcare laws and regulations. If our operations are found to be in violation of any of the laws described above or any other governmental laws and regulations that may apply to use, we may be subject to significant penalties, including administrative, civil, and criminal penalties, damages, fines, disgorgement, the exclusion from participation in federal and state healthcare programs, individual imprisonment, reputational harm, and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 from government funded healthcare programs and imprisonment. If any of the above occur, our ability to operate our business and our results of operations could be adversely affected.</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we fail to comply with U.S. and foreign regulatory requirements, regulatory authorities could limit or withdraw any marketing or commercialization approvals we may receive and subject us to other penalties that could materially harm our business.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United States and any foreign jurisdiction in which we seek regulatory approval. The FDA and other regulatory authorities have significant post- market authority, including the authority to require labeling changes based on new safety information and to require post-market studies or clinical trials to evaluate safety risks related to the use of a product or to require withdrawal of the product candidate from the market. The FDA and other regulatory authorities also have the authority to require a REMS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authorities, including for continued compliance with cGMP and cGTP requirements. The discovery of any new or previously unknown problems with our third-party manufacturers, manufacturing processes or facilities may result in restrictions on the product candidate, manufacturer or facility, including withdrawal of the product candidate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We intend to rely on third-party manufacturers and we will not have control over compliance with applicable rules and regulations by such manufacturers. Any product promotion and advertising will also be subject to regulatory requirements and continuing regulatory review. If we or our existing or future collaborators, manufacturers or service providers fail to comply with applicable continuing regulatory requirements in the U.S. or foreign jurisdictions in which we seek to market our products, we or they may be subject to, among other things, fines, warning letters, holds on clinical trials, delay of approval or refusal by the FDA or other regulatory authorities to approve pending applications or supplements to approved applications, suspension or withdrawal of regulatory approval, product recalls and seizures, administrative detention of products, refusal to permit the import or export of products, operating restrictions, injunction, civil penalties and criminal prosecution.</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Even if we are able to commercialize any product candidate, such product candidate may become subject to unfavorable pricing regulations or third-party coverage and reimbursement policies, which would harm our business.</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Further, due to the COVID-19 pandemic, millions of individuals have lost employer-based insurance coverage, which may adversely affect our ability to commercialize our products. It is unclear what effect, if any, the American Rescue Plan will have on the number of covered individuals. See section titled “</w:t>
      </w:r>
      <w:r>
        <w:rPr>
          <w:rFonts w:ascii="Times New Roman;sans-serif" w:hAnsi="Times New Roman;sans-serif"/>
          <w:b w:val="false"/>
          <w:i/>
          <w:color w:val="000000"/>
          <w:sz w:val="20"/>
        </w:rPr>
        <w:t>Business - Government Regulation - Coverage and Reimbursement” in the Annual Report on Form 10-K for the year ended December 31, 2022.</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Patients who are prescribed medications for the treatment of their conditions generally rely on third-party payors to reimburse all or part of the costs associated with their prescription drugs. Coverage and adequate reimbursement from government healthcare programs, such as Medicare and Medicaid, and private health insurers are critical to new product acceptance. Patients are unlikely to use our future products, if any, unless coverage is provided and reimbursement is adequate to cover a significant portion of the cost. Obtaining coverage and adequate reimbursement for our product candidates may be particularly difficult because of the higher prices often associated with drugs administered under the supervision of a physician. Similarly, because our product candidates are physician-administered, separate reimbursement for the product itself may or may not be available. Instead, the administering physician may or may not be reimbursed for providing the treatment or procedure in which our product is used.</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Cost-containment is a priority in the U.S. healthcare industry and elsewhere. As a result,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Third-party payors also may request additional clinical evidence beyond the data required to obtain marketing approval, requiring a company to conduct expensive pharmacoeconomic studies in order to demonstrate the medical necessity and cost-effectiveness of its product. Commercial third-party payors often rely upon Medicare coverage policy and payment limitations in setting their reimbursement rates, but also have their own methods and approval process apart from Medicare determinations. Therefore, coverage and reimbursement for pharmaceutical products in the U.S. can differ significantly from payor to payor. We cannot be sure that coverage and adequate reimbursement will be available for any product that we commercialize and, if reimbursement is available, that the level of reimbursement will be adequate. Coverage and reimbursement may impact the demand for, or the price of, any product candidate for which we obtain marketing approval. If coverage and reimbursement are not available or are available only at limited levels, we may not be able to successfully commercialize any product candidate for which we obtain marketing approval.</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from the sale of the product in that country. Adverse pricing limitations may hinder our ability to recoup our investment in one or more product candidates, even if our product candidates obtain regulatory approval.</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are subject to U.S. and foreign anti-corruption and anti-money laundering laws with respect to our operations and non-compliance with such laws can subject us to criminal or civil liability and harm our business.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the U.S. Foreign Corrupt Practices Act of 1977, as amended (the “FCPA”), the U.S. domestic bribery statute contained in 18 U.S.C. § 201, the U.S. Travel Act, the USA PATRIOT Act, and possibly other 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We interact with officials and employees of government agencies and government-affiliated hospitals, universities and other organizations. In addition, we may engage third-party intermediaries to promote our clinical research activities abroad or to obtain necessary permits, licenses and other regulatory approvals. We can be held liable for the corrupt or other illegal activities of these third-party intermediaries, our employees, representatives, contractors, collaborators and agents, even if we do not explicitly authorize or have actual knowledge of such activities.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adopted a Code of Business Conduct and Ethics and we expect to prepare and implement policies and procedures to ensure compliance with such code. The Code of Business Conduct and Ethics mandates compliance with the FCPA and other anti-corruption laws applicable to our business throughout the world. However, we cannot assure you that our employees and third-party intermediaries will comply with this code or such anti-corruption laws. 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or debarment from contracting with certain persons, the loss of export privileges, reputational harm, adverse media coverage and other collateral consequences. If any subpoenas, investigations or other enforcement actions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w:t>
      </w:r>
    </w:p>
    <w:p>
      <w:pPr>
        <w:pStyle w:val="TextBody"/>
        <w:bidi w:val="0"/>
        <w:spacing w:lineRule="auto" w:line="276"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Risks Related to Senti and the shares of our common stock</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stock price is volatile, and you could lose part of all of your investment.</w:t>
      </w:r>
    </w:p>
    <w:p>
      <w:pPr>
        <w:pStyle w:val="TextBody"/>
        <w:bidi w:val="0"/>
        <w:spacing w:lineRule="auto" w:line="276" w:before="0" w:after="180"/>
        <w:ind w:left="0" w:right="0" w:firstLine="360"/>
        <w:jc w:val="left"/>
        <w:rPr/>
      </w:pPr>
      <w:r>
        <w:rPr>
          <w:rFonts w:ascii="Times New Roman;sans-serif" w:hAnsi="Times New Roman;sans-serif"/>
          <w:b w:val="false"/>
          <w:color w:val="000000"/>
          <w:sz w:val="20"/>
        </w:rPr>
        <w:t>Similar to the trading prices of the common stock of other biotechnology companies, the trading price of our common stock is subject to wide fluctuations in response to various factors, some of which are beyond our control, including limited trading volume. The market price for our shares of our Common Stock may be influenced by many factors, including the other risks described in the section of the Quarterly Report entitled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and the following:</w:t>
      </w:r>
    </w:p>
    <w:tbl>
      <w:tblPr>
        <w:tblW w:w="821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113"/>
        <w:gridCol w:w="2113"/>
        <w:gridCol w:w="29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advance our current or potential future product candidates into the clinic;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results of preclinical studies for our current or potential future product candidates, or those of our competitors or potential future collaborators;</w:t>
            </w:r>
          </w:p>
        </w:tc>
      </w:tr>
    </w:tbl>
    <w:tbl>
      <w:tblPr>
        <w:tblW w:w="452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32"/>
        <w:gridCol w:w="1032"/>
        <w:gridCol w:w="14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impact of macroeconomic conditions;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regulatory or legal developments in the United States and other countries, especially changes in laws or regulations applicable to our future products;</w:t>
            </w:r>
          </w:p>
        </w:tc>
      </w:tr>
    </w:tbl>
    <w:tbl>
      <w:tblPr>
        <w:tblW w:w="813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090"/>
        <w:gridCol w:w="2090"/>
        <w:gridCol w:w="2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successfully construct and operate our planned cGMP and cGTP facility;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tbl>
      <w:tblPr>
        <w:tblW w:w="539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284"/>
        <w:gridCol w:w="1284"/>
        <w:gridCol w:w="1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success of competitive products or technologies;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introductions and announcements of new products by us, our future commercialization collaborators, or our competitors, and the timing of these introductions or announcements;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actions taken by regulatory authorities with respect to our future products, clinical trials, manufacturing process or sales and marketing terms;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actual or anticipated variations in our financial results or those of companies that are perceived to be similar to us;</w:t>
            </w:r>
          </w:p>
        </w:tc>
      </w:tr>
    </w:tbl>
    <w:tbl>
      <w:tblPr>
        <w:tblW w:w="966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540"/>
        <w:gridCol w:w="2540"/>
        <w:gridCol w:w="35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35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success of our efforts to acquire or in-license additional technologies, products or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developments concerning any future collaborations, including, but not limited to, those with any sources of manufacturing supply and future commercialization collaborators;</w:t>
            </w:r>
          </w:p>
        </w:tc>
      </w:tr>
    </w:tbl>
    <w:tbl>
      <w:tblPr>
        <w:tblW w:w="666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661"/>
        <w:gridCol w:w="1661"/>
        <w:gridCol w:w="2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market conditions in the pharmaceutical and biotechnology sectors;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market conditions and sentiment involving companies that have recently completed a business combination with a special purpose acquisition company, or SPAC;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announcements by us or our competitors of significant acquisitions, strategic alliances, joint ventures or capital commitments;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developments or disputes concerning patents or other proprietary rights, including patents, litigation matters and our ability to obtain patent protection for our products;</w:t>
            </w:r>
          </w:p>
        </w:tc>
      </w:tr>
    </w:tbl>
    <w:tbl>
      <w:tblPr>
        <w:tblW w:w="792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028"/>
        <w:gridCol w:w="2028"/>
        <w:gridCol w:w="28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or inability to raise additional capital and the terms on which it is raised;</w:t>
            </w:r>
          </w:p>
        </w:tc>
      </w:tr>
    </w:tbl>
    <w:tbl>
      <w:tblPr>
        <w:tblW w:w="485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127"/>
        <w:gridCol w:w="1127"/>
        <w:gridCol w:w="16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recruitment or departure of key personnel;</w:t>
            </w:r>
          </w:p>
        </w:tc>
      </w:tr>
    </w:tbl>
    <w:tbl>
      <w:tblPr>
        <w:tblW w:w="564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361"/>
        <w:gridCol w:w="1361"/>
        <w:gridCol w:w="19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structure of healthcare payment systems;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actual or anticipated changes in earnings estimates or changes in stock market analyst recommendations regarding our common stock, other comparable companies or the industry generally;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failure or the failure of our competitors to meet analysts’ projections or guidance that we or our competitors may give to the market;</w:t>
            </w:r>
          </w:p>
        </w:tc>
      </w:tr>
    </w:tbl>
    <w:tbl>
      <w:tblPr>
        <w:tblW w:w="839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160"/>
        <w:gridCol w:w="2160"/>
        <w:gridCol w:w="30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30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fluctuations in the valuation of companies perceived by investors to be comparable to us;</w:t>
            </w:r>
          </w:p>
        </w:tc>
      </w:tr>
    </w:tbl>
    <w:tbl>
      <w:tblPr>
        <w:tblW w:w="623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530"/>
        <w:gridCol w:w="1530"/>
        <w:gridCol w:w="21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announcement and expectation of additional financing efforts;</w:t>
            </w:r>
          </w:p>
        </w:tc>
      </w:tr>
    </w:tbl>
    <w:tbl>
      <w:tblPr>
        <w:tblW w:w="524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243"/>
        <w:gridCol w:w="1243"/>
        <w:gridCol w:w="17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speculation in the press or investment community;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tbl>
      <w:tblPr>
        <w:tblW w:w="495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156"/>
        <w:gridCol w:w="1156"/>
        <w:gridCol w:w="16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trading volume of shares of our common stock;</w:t>
            </w:r>
          </w:p>
        </w:tc>
      </w:tr>
    </w:tbl>
    <w:tbl>
      <w:tblPr>
        <w:tblW w:w="543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299"/>
        <w:gridCol w:w="1299"/>
        <w:gridCol w:w="18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sales of our common stock by us or our stockholders;</w:t>
            </w:r>
          </w:p>
        </w:tc>
      </w:tr>
    </w:tbl>
    <w:tbl>
      <w:tblPr>
        <w:tblW w:w="594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446"/>
        <w:gridCol w:w="1446"/>
        <w:gridCol w:w="20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concentrated ownership of shares of our common stock;</w:t>
            </w:r>
          </w:p>
        </w:tc>
      </w:tr>
    </w:tbl>
    <w:tbl>
      <w:tblPr>
        <w:tblW w:w="389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847"/>
        <w:gridCol w:w="847"/>
        <w:gridCol w:w="12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accounting principles;</w:t>
            </w:r>
          </w:p>
        </w:tc>
      </w:tr>
    </w:tbl>
    <w:tbl>
      <w:tblPr>
        <w:tblW w:w="612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501"/>
        <w:gridCol w:w="1501"/>
        <w:gridCol w:w="21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terrorist acts, acts of war or periods of widespread civil unrest;</w:t>
            </w:r>
          </w:p>
        </w:tc>
      </w:tr>
    </w:tbl>
    <w:tbl>
      <w:tblPr>
        <w:tblW w:w="620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522"/>
        <w:gridCol w:w="1522"/>
        <w:gridCol w:w="2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natural disasters, public health crises and other calamities; and</w:t>
            </w:r>
          </w:p>
        </w:tc>
      </w:tr>
    </w:tbl>
    <w:tbl>
      <w:tblPr>
        <w:tblW w:w="525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247"/>
        <w:gridCol w:w="1247"/>
        <w:gridCol w:w="17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economic, industry and market conditions.</w:t>
            </w:r>
          </w:p>
        </w:tc>
      </w:tr>
    </w:tbl>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stock markets in general, and the markets for SPAC post-Merger businesses, pharmaceutical, biopharmaceutical and biotechnology stocks in particular, have experienced extreme volatility, including since the public announcement of the Business Combination Agreement in December 2021. This volatility can often be unrelated to the operating performance of the underlying business. These broad market and industry factors may seriously harm the market price of shares of our common stock, regardless of our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may incur significant costs from class action litigation due to the expected stock volatility.</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stock price may fluctuate for many reasons, including as a result of public announcements regarding the progress of development efforts for our platform and product candidates, the development efforts of future collaborators or competitors, the addition or departure of key personnel, variations in quarterly operating results and changes in market valuations of biopharmaceutical and biotechnology companies. This risk is especially relevant to us because biopharmaceutical and biotechnology companies have experienced significant stock price volatility in recent years, including since the public announcement of the Business Combination Agreement in December 2021. In addition, recently there has been significant stock price volatility involving the shares of companies that have recently completed a Merger with a SPAC. When the market price of a stock has been volatile as our stock price may be, holders of that stock have occasionally brought securities class action litigation against the company that issued the stock. Additionally, there has recently been a general increase in litigation against companies that have recently completed a Merger with a SPAC alleging fraud and other claims based on inaccurate or misleading disclosures. If any of our stockholders were to bring a lawsuit of this type against us, even if the lawsuit is without merit, we could incur substantial costs defending the lawsuit. The lawsuit could also divert the time and attention of management.</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are an “emerging growth company” and it cannot be certain if the reduced disclosure requirements applicable to emerging growth companies will make the shares of our common stock less attractive to investors and may make it more difficult to compare performance with other public companies.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emerging growth company as defined in the JOBS Act, and we intend to continue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periodic reports and proxy statements, and exemptions from the requirements of holding a nonbinding advisory vote on executive compensation and stockholder approval of any golden parachute payments not previously approved. Investors may find shares of our common stock less attractive because we will continue to rely on these exemptions.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some investors find our shares of our common stock less attractive as a result, there may be a less active trading market for their common stock, and the stock price may be more volatile.</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 emerging growth company may elect to delay the adoption of new or revised accounting standards. With DYNS making this election, Section 102(b)(2) of the JOBS Act allows us to delay adoption of new or revised accounting standards until those standards apply to non-public business entities.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a “smaller reporting company” as defined int he Exchange Act, and have elected to take advantage of certain of the scaled disclosures available to smaller reporting companies.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the condensed financial statements contained in this Quarterly Report and those that we will file in the future may not be comparable to companies that comply with public business entities revised accounting standards effective dates.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certain holders of our common stock sell a significant portion of their securities, it may negatively impact the market price of the shares of our common stock and such holders still may receive significant proceeds.</w:t>
      </w:r>
    </w:p>
    <w:p>
      <w:pPr>
        <w:pStyle w:val="TextBody"/>
        <w:bidi w:val="0"/>
        <w:spacing w:lineRule="auto" w:line="276" w:before="0" w:after="180"/>
        <w:jc w:val="left"/>
        <w:rPr/>
      </w:pPr>
      <w:r>
        <w:rPr>
          <w:rFonts w:ascii="Times New Roman;sans-serif" w:hAnsi="Times New Roman;sans-serif"/>
          <w:b w:val="false"/>
          <w:color w:val="000000"/>
          <w:sz w:val="20"/>
        </w:rPr>
        <w:t>As of the date of this Quarterly Report on Form 10-Q, the market price of our common stock is below $10.00 per share, which was the price per share of common stock sold in the initial public offering of our predecessor, DYNS, the per share price of the 5,060,000 shares of our Common Stock sold to certain investors in connection with our PIPE financing and also the per share value of the consideration issued to former stockholders of Senti Sub I, Inc. (formerly Senti Biosciences, Inc.) upon consummation of our Merger. However, certain of our stockholders who hold shares of our common stock that were (i) originally purchased by our predecessor’s sponsor, Dynamics Sponsor LLC, in a private placement prior to our predecessor’s initial public offering (the “Founder Shares”) or (ii) issued to the Anchor Investors in consideration for their agreement not to redeem their shares of Class A common stock of DYNS in connection with the Merger. In particular, 4,878,972 of the Founder Shares registered for resale in our prospectus dated August 8, 2022 filed pursuant to Rule 424(b)(3) (Registration No. 333-265873), as supplemented from time to time (the “Prior Resale Prospectus”), were purchased at an effective price of $0.004 per share, and 871,028 of the shares of our common stock held by the Anchor Investors and registered for resale in the Prior Resale Prospectus were issued solely in consideration for the Anchor Investors’ agreement not to redeem their shares of Class A common stock as described above. Accordingly, holders of these 5,750,000 shares of our common stock could sell their securities at a per share price that is less than $10.00 and still realize a significant return from the sale of those securities that could not be realized by our other stockholders. On</w:t>
      </w:r>
      <w:r>
        <w:rPr>
          <w:color w:val="000000"/>
        </w:rPr>
        <w:t xml:space="preserve"> </w:t>
      </w:r>
      <w:r>
        <w:rPr>
          <w:rFonts w:ascii="Times New Roman;sans-serif" w:hAnsi="Times New Roman;sans-serif"/>
          <w:b w:val="false"/>
          <w:color w:val="000000"/>
          <w:sz w:val="20"/>
        </w:rPr>
        <w:t>November 6, 2023, the closing price of our common stock as reported on the Nasdaq Global Market was $0.29 per share. Based on this closing price, the aggregate sales price of the Founder Shares would be approximately $1.4 million and the aggregate sales price of the shares of our common stock held by the Anchor Investors would be approximately $0.3 million.</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Sales of a substantial number of shares of our common stock in the public market could cause our stock prices to fall.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Certain holders of our common stock have rights, subject to conditions, to require us to file registration statements covering their shares or to include their shares in registration statements that we may file for ourselves or other stockholders. We have also filed registration statements on Form S-8 registering shares of common stock issued or reserved for future issuance under our equity compensation plans. Shares registered under a registration statement on Form S-8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Future sales and issuances of our common stock or rights to purchase common stock could result in additional dilution of the percentage ownership of our stockholders and could cause our stock price to fall.</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additional capital will be needed in the future to continue our planned operations, including further development of our gene circuit platform, preparing IND or equivalent filings, conducting preclinical studies and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as determined from time to time. If we sell common stock, convertible securities or other equity securities, investors may be materially diluted by subsequent sales. Such sales may also result in material dilution to existing stockholders, and new investors could gain rights, preferences and privileges senior to the holders of shares of our common stock.</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Senti Biosciences, Inc. Equity Incentive Plan, our board of directors or compensation committee is authorized to grant stock options to our employees, directors and consultants. Initially, the maximum aggregate number of shares of our common stock that may be issued pursuant to stock awards under the Incentive Plan was 2,492,735 shares of our common stock. Additionally, the number of shares of our common stock reserved for issuance under the Incentive Plan automatically increases on January 1 of each year, beginning on January 1, 2023 and continuing through and including January 1, 2032, by 5% of the total number of shares of our common stock outstanding on December 31 of the preceding calendar year, or a lesser number of shares determined by our board of directors. Unless our board of directors elects not to increase the number of shares available for future grant each year, our stockholders may experience additional dilution, which could cause our stock price to fall. In addition, on August 5, 2022, out board of directors adopted the 2022 Inducement Plan, pursuant to which an aggregate of 2,000,000 shares of our common stock have been reserved for issuance. Our issuance of additional shares of common stock or other equity securities of equal or senior rank would, all else being equal, have the following effects:</w:t>
      </w:r>
    </w:p>
    <w:tbl>
      <w:tblPr>
        <w:tblW w:w="947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478"/>
        <w:gridCol w:w="2478"/>
        <w:gridCol w:w="35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35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cash available per share, including for payment of dividends in the future, may decrease;</w:t>
            </w:r>
          </w:p>
        </w:tc>
      </w:tr>
    </w:tbl>
    <w:tbl>
      <w:tblPr>
        <w:tblW w:w="998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25"/>
        <w:gridCol w:w="2625"/>
        <w:gridCol w:w="37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37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relative voting strength of each previously outstanding share of common stock would be diminished; and</w:t>
            </w:r>
          </w:p>
        </w:tc>
      </w:tr>
    </w:tbl>
    <w:tbl>
      <w:tblPr>
        <w:tblW w:w="603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472"/>
        <w:gridCol w:w="1472"/>
        <w:gridCol w:w="20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shares of our common stock may decline.</w:t>
            </w:r>
          </w:p>
        </w:tc>
      </w:tr>
    </w:tbl>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disclosure controls and procedures may not prevent or detect all errors or acts of fraud.</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Reports published by analysts, including projections in those reports that differ from our actual results, could adversely affect the price and trading volume of shares of our common stock.</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expect that securities research analysts will establish and publish their own periodic financial projections for our business. These projections may vary widely and may not accurately predict the results we actually achieve. Our stock price may decline if our actual results do not match the projections of these securities research analysts. Similarly, if one or more of the analysts who write reports on us downgrades our stock or publishes inaccurate or unfavorable research about our business, our stock price could decline. If one or more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these analysts ceases coverage of us or fails to publish reports on us regularly, our stock price or trading volume could decline. While we expect research analyst coverage, if no analysts commence coverage of us, the trading price and volume for shares of our common stock could be adversely affected.</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The obligations associated with being a public company will involve significant expenses and will require significant resources and management attention, which may divert from our business operations.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subject to the reporting requirements of the Exchange Act and the Sarbanes-Oxley Act. The Exchange Act requires the filing of annual, quarterly and current reports with respect to a public company’s business and financial condition. The Sarbanes-Oxley Act requires, among other things, that a public company establish and maintain effective internal control over financial reporting. As a result, we will incur significant legal, accounting and other expenses that we did not previously incur. Our entire management team and many of our other employees will need to devote substantial time to compliance, and may not effectively or efficiently manage our transition into a public company.</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These rules and regulations will result in us incurring substantial legal and financial compliance costs and will make some activities more time-consuming and costly. For example, these rules and regulations will likely make it more difficult and more expensive for us to obtain director and officer liability insurance, and we may be required to accept reduced policy limits and coverage or incur substantially higher costs to obtain the same or similar coverage. As a result, it may be difficult for us to attract and retain qualified people to serve on our board of directors, our board committees or as executive officers.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Provisions in our second amended and restated certificate of incorporation (“Charter”), our amended and restated bylaws, or Bylaws, and Delaware law may have anti-takeover effects that could discourage an acquisition of us by others, even if an acquisition would be beneficial to our stockholders, and may prevent attempts by our stockholders to replace or remove our current management, which could depress the trading price of shares of our common stock.</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Charter, Bylaws and Delaware law contain provisions that may have the effect of discouraging, delaying or preventing a change in control of us or changes in our management that stockholders may consider favorable, including transactions in which you might otherwise receive a premium for your shares. Our Charter and Bylaws include provisions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authorize “blank check” preferred stock, which could be issued by our board of directors without stockholder approval and may contain voting, liquidation, dividend and other rights superior to our common stock;</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create a classified board of directors whose members serve staggered three-year terms, such that not all members of the board will be elected at one time;</w:t>
            </w:r>
          </w:p>
        </w:tc>
      </w:tr>
    </w:tbl>
    <w:tbl>
      <w:tblPr>
        <w:tblW w:w="872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260"/>
        <w:gridCol w:w="2260"/>
        <w:gridCol w:w="32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32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specify that special meetings of our stockholders can be called only by our board of directors;</w:t>
            </w:r>
          </w:p>
        </w:tc>
      </w:tr>
    </w:tbl>
    <w:tbl>
      <w:tblPr>
        <w:tblW w:w="497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163"/>
        <w:gridCol w:w="1163"/>
        <w:gridCol w:w="16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prohibit stockholder action by written consent;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establish an advance notice procedure for stockholder approvals to be brought before an annual meeting of our stockholders, including proposed nominations of persons for election to our board of directors;</w:t>
            </w:r>
          </w:p>
        </w:tc>
      </w:tr>
    </w:tbl>
    <w:tbl>
      <w:tblPr>
        <w:tblW w:w="810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080"/>
        <w:gridCol w:w="2080"/>
        <w:gridCol w:w="2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specify that no stockholder is permitted to cumulate votes at any election of directors;</w:t>
            </w:r>
          </w:p>
        </w:tc>
      </w:tr>
    </w:tbl>
    <w:tbl>
      <w:tblPr>
        <w:tblW w:w="839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163"/>
        <w:gridCol w:w="2163"/>
        <w:gridCol w:w="30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30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expressly authorize our board of directors to make, alter, amend or repeal our Bylaws; and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require supermajority votes of the holders of our common stock to amend specified provisions of our Charter and Bylaws.</w:t>
            </w:r>
          </w:p>
        </w:tc>
      </w:tr>
    </w:tbl>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These provisions, alone or together, could delay or prevent hostile takeovers and changes in control or changes in our management. These provisions could also limit the price that investors might be willing to pay in the future for shares of our common stock, thereby depressing the market price of shares of our common stock.</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because we are incorporated in the State of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provision of our Charter, Bylaws or Delaware law that has the effect of delaying or deterring a change in control could limit the opportunity for our stockholders to receive a premium for their shares of our common stock, and could also affect the price that some investors are willing to pay for shares of our common stock.</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Bylaws designate the Court of Chancery of the State of Delaware as the exclusive forum for certain state law litigation that may be initiated by our stockholders and the U.S. federal district courts as the exclusive forum for certain securities law actions, which could limit our stockholders’ ability to litigate disputes with us in a different judicial forum and increase the costs for our stockholders to pursue certain claims against us.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our Bylaws, unless we consent in writing to the selection of an alternative forum, the Court of Chancery of the State of Delaware will be the sole and exclusive forum for the following types of actions or proceedings under Delaware statutory or common law: (i) any derivative action or proceeding brought on our behalf; (ii) any action asserting a claim of breach of a fiduciary duty owed by any of our current or former directors, officers or employees to us or our stockholders; (iii) any action asserting a claim arising pursuant to any provision of the General Corporation Law of the State of Delaware, our Charter or our Bylaws (including their interpretation, validity or enforceability); or (iv) any action asserting a claim governed by the internal affairs doctrine. This exclusive forum provision will not apply to any causes of action arising under the Securities Act or the Exchange Act or any other claim for which the federal courts have exclusive jurisdiction. Stockholders cannot waive compliance with the Securities Act, the Exchange Act or any other federal securities laws or the rules and regulations thereunder. Unless we consent in writing to the selection of an alternate forum, the United States federal district courts shall be the sole and exclusive forum for resolving any complaint asserting a cause of action arising under the Securities Act. In addition, our Bylaws provide that any person or entity purchasing or otherwise acquiring any interest in shares of our capital stock is deemed to have notice of and consented to these exclusive forum provisions; provided, however, that stockholders cannot and will not be deemed to have waived our compliance with the U.S. federal securities laws and the rules and regulations thereunder. The forum selection provisions in our Bylaws may impose additional litigation costs on stockholders in pursuing any such claims and may limit our stockholders’ ability to litigate disputes with us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and other state courts have upheld the validity of federal forum selection provisions purporting to require claims under the Securities Act be brought in federal court, there is uncertainty as to whether other courts will enforce the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failure to meet the continued listing requirements of Nasdaq could result in a delisting of our securities.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7, 2023, we received written notice from the Listing Qualifications Department of Nasdaq notifying us that, for the last 30 consecutive trading days, the closing bid price of our common stock was below the minimum bid price requirement of $1.00 per share for continued listing on the Nasdaq Global Market, i.e., the minimum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closing bid price requirement. We have been provided an initial compliance period of 180 calendar days, or until February 5, 2024 to regain compliance with the minimum closing bid price requirement.</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monitor the closing bid price of the Common Stock and may, if appropriate, consider taking actions to regain compliance with the minimum closing bid price requirement. There can be no assurance that the Company will be able to regain compliance with the minimum closing bid price requirement or will otherwise be in compliance with other applicable Nasdaq listing rules. </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we fail to satisfy the continued listing requirements of Nasdaq such as the corporate governance requirements or the minimum closing bid price requirement, Nasdaq may take steps to delist our securities. Such a delisting would likely have a negative effect on the price of the securities and would impair your ability to sell or purchase the securities when you wish to do so. In the event of a delisting, we can provide no assurance that any action taken by us to restore compliance with listing requirements would allow our securities to become listed again, stabilize the market price or improve the liquidity of our securities, prevent our securities from dropping below the Nasdaq minimum bid price requirement or prevent future non-compliance with Nasdaq’s listing requirements. Additionally,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Because we do not anticipate paying any cash dividends on our capital stock in the foreseeable future, capital appreciation, if any, will be investors’ sole source of gain.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cash dividends on our capital stock. We currently intend to retain all of our future earnings, if any, to finance the growth and development of our business. As a result, capital appreciation, if any, of our common stock will be investors’ sole source of gain for the foreseeable future.</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may be at an increased risk of securities class action litigation.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harm our business.</w:t>
      </w:r>
    </w:p>
    <w:p>
      <w:pPr>
        <w:pStyle w:val="TextBody"/>
        <w:bidi w:val="0"/>
        <w:spacing w:lineRule="auto" w:line="276"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Disruptions at the FDA and other government agencies caused by funding shortages or global health concerns could hinder their ability to hire, retain or deploy key leadership and other personnel, or otherwise prevent those agencies from performing normal business functions on which operations of our business may rely, and/or prevent new or modified products from being developed, approved or commercialized in a timely manner or at all, which could negatively impact our business.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the SEC and other government agencies on which our operations and fundraising may rely, including those that fund research and development activities and regulate our access to public markets, is subject to the political process, which is inherently fluid and unpredictable. Disruptions at the FDA and other agencies may also slow the time necessary for new drugs and biologics or modifications to approved drugs and biologics to be reviewed and/or approved by necessary government agencies, which would adversely affect our business. For example, over the past decade, the U.S. government has shut down several times and certain regulatory agencies, such as the FDA and SEC, have had to furlough critical FDA employees and stop critical activities. Most recently, the U.S. government avoided a shutdown by passing a temporary stopgap funding measure in September 2023, which expires in November 2023. If a prolonged government shutdown occurs, it could significantly impact the ability of the FDA to timely review and process our regulatory submission, which could have a material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Since March 2020 when foreign and domestic inspections of facilities were largely placed on hold, the FDA has been working to resume pre-pandemic levels of inspection activities, including routine surveillance, bioresearch monitoring and pre-approval inspections. Should the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Regulatory authorities outside the U.S. may adopt similar restrictions or other policy measures similar to the response to the COVID-19 pandemic and may experience delays in their regulatory activities.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or the third parties upon whom we depend may be adversely affected by natural disasters and our business continuity and disaster recovery plans may not adequately protect us from a serious disaster.</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operations are located in the San Francisco Bay Area. Any unplanned event, such as earthquake, flood, fire, explosion, extreme weather condition, medical epidemics, including any lingering effects from the global spread of COVID-19, power shortage, telecommunication failure or other natural or man-made accidents or incidents that result in us being unable to fully utilize our headquarters, or the manufacturing facilities of our third-party contract manufacturers, may have a material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Natural disasters or pandemics, such as the COVID-19 outbreak could further disrupt our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our investors that the amounts of insurance will be sufficient to satisfy any damages and losses. If our headquarters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adverse effect on our business, financial condition, results of operations and prospects.</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quarterly operating results may fluctuate significantly or may fall below the expectations of investors or securities analysts, each of which may cause our stock price to fluctuate or decline.</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expect our operating results to be subject to quarterly fluctuations. Our net loss and other operating results will be affected by numerous factors, including: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variations in the level of expense related to the ongoing development of our product candidates or future development programs;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results of preclinical studies and clinical trials, or the addition or termination of preclinical studies and clinical trials or funding support by us or potential future collaborators;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execution of any collaboration, licensing or similar arrangements, and the timing of payments we may make or receive under potential future arrangements or the termination or modification of any of our existing or potential future collaboration, licensing or similar arrangements;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any intellectual property infringement, misappropriation or violation lawsuit or opposition, interference or cancellation proceeding in which we may become involved;</w:t>
            </w:r>
          </w:p>
        </w:tc>
      </w:tr>
    </w:tbl>
    <w:tbl>
      <w:tblPr>
        <w:tblW w:w="45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53"/>
        <w:gridCol w:w="1053"/>
        <w:gridCol w:w="14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additions and departures of key personnel;</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strategic decisions by us or our competitors, such as acquisitions, divestitures, spin-offs, joint ventures, strategic investments or changes in business strategy;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0"/>
        <w:gridCol w:w="2690"/>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any of our product candidates receives regulatory approval, the terms of such approval and market acceptance and demand for such product candidates;</w:t>
            </w:r>
          </w:p>
        </w:tc>
      </w:tr>
    </w:tbl>
    <w:tbl>
      <w:tblPr>
        <w:tblW w:w="846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187"/>
        <w:gridCol w:w="2187"/>
        <w:gridCol w:w="30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30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regulatory developments affecting our product candidates or those of our competitors; and</w:t>
            </w:r>
          </w:p>
        </w:tc>
      </w:tr>
    </w:tbl>
    <w:tbl>
      <w:tblPr>
        <w:tblW w:w="540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291"/>
        <w:gridCol w:w="1291"/>
        <w:gridCol w:w="18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general market and economic conditions.</w:t>
            </w:r>
          </w:p>
        </w:tc>
      </w:tr>
    </w:tbl>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pStyle w:val="TextBody"/>
        <w:bidi w:val="0"/>
        <w:spacing w:lineRule="auto" w:line="276"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may be subject to claims that our employees, consultants, or independent contractors have wrongfully used or disclosed confidential information of third parties.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received confidential and proprietary information from third parties.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or that we caused an employee to breach the terms of his or her non-competition or non-solicitation agreement.</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Litigation may be necessary to defend against these claims. Even if we are successful in defending against these claims, litigation could result in substantial cost and be a distraction to our management and employees. If our defenses to these claims fail, in addition to requiring us to pay monetary damages, a court could prohibit us from using technologies or features that are essential to our product candidates, if such technologies or features are found to incorporate or be derived from the trade secrets or other proprietary information of the former employers.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financial condition and prospects. Even if we are successful in defending against such claims, litigation could result in substantial costs and be a distraction to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7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as part of, or incorporated by reference into, this Quarterly Report on Form 10-Q.</w:t>
      </w:r>
    </w:p>
    <w:tbl>
      <w:tblPr>
        <w:tblW w:w="10205" w:type="dxa"/>
        <w:jc w:val="left"/>
        <w:tblInd w:w="0" w:type="dxa"/>
        <w:tblLayout w:type="fixed"/>
        <w:tblCellMar>
          <w:top w:w="28" w:type="dxa"/>
          <w:left w:w="28" w:type="dxa"/>
          <w:bottom w:w="28" w:type="dxa"/>
          <w:right w:w="28" w:type="dxa"/>
        </w:tblCellMar>
      </w:tblPr>
      <w:tblGrid>
        <w:gridCol w:w="424"/>
        <w:gridCol w:w="372"/>
        <w:gridCol w:w="373"/>
        <w:gridCol w:w="109"/>
        <w:gridCol w:w="109"/>
        <w:gridCol w:w="109"/>
        <w:gridCol w:w="2627"/>
        <w:gridCol w:w="2508"/>
        <w:gridCol w:w="357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3574"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9" w:type="dxa"/>
            <w:gridSpan w:val="3"/>
            <w:tcBorders/>
            <w:vAlign w:val="center"/>
          </w:tcPr>
          <w:p>
            <w:pPr>
              <w:pStyle w:val="TableContents"/>
              <w:bidi w:val="0"/>
              <w:spacing w:before="0" w:after="283"/>
              <w:jc w:val="left"/>
              <w:rPr>
                <w:sz w:val="4"/>
                <w:szCs w:val="4"/>
              </w:rPr>
            </w:pPr>
            <w:r>
              <w:rPr>
                <w:sz w:val="4"/>
                <w:szCs w:val="4"/>
              </w:rPr>
            </w:r>
          </w:p>
        </w:tc>
      </w:tr>
      <w:tr>
        <w:trPr/>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9" w:type="dxa"/>
            <w:gridSpan w:val="3"/>
            <w:tcBorders/>
            <w:vAlign w:val="center"/>
          </w:tcPr>
          <w:p>
            <w:pPr>
              <w:pStyle w:val="TableContents"/>
              <w:bidi w:val="0"/>
              <w:spacing w:before="0" w:after="283"/>
              <w:jc w:val="left"/>
              <w:rPr>
                <w:sz w:val="4"/>
                <w:szCs w:val="4"/>
              </w:rPr>
            </w:pPr>
            <w:r>
              <w:rPr>
                <w:sz w:val="4"/>
                <w:szCs w:val="4"/>
              </w:rPr>
            </w:r>
          </w:p>
        </w:tc>
      </w:tr>
      <w:tr>
        <w:trPr/>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9" w:type="dxa"/>
            <w:gridSpan w:val="3"/>
            <w:tcBorders/>
            <w:vAlign w:val="center"/>
          </w:tcPr>
          <w:p>
            <w:pPr>
              <w:pStyle w:val="TableContents"/>
              <w:bidi w:val="0"/>
              <w:spacing w:before="0" w:after="283"/>
              <w:jc w:val="left"/>
              <w:rPr>
                <w:sz w:val="4"/>
                <w:szCs w:val="4"/>
              </w:rPr>
            </w:pPr>
            <w:r>
              <w:rPr>
                <w:sz w:val="4"/>
                <w:szCs w:val="4"/>
              </w:rPr>
            </w:r>
          </w:p>
        </w:tc>
      </w:tr>
      <w:tr>
        <w:trPr/>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9" w:type="dxa"/>
            <w:gridSpan w:val="3"/>
            <w:tcBorders/>
            <w:vAlign w:val="center"/>
          </w:tcPr>
          <w:p>
            <w:pPr>
              <w:pStyle w:val="TableContents"/>
              <w:bidi w:val="0"/>
              <w:spacing w:before="0" w:after="283"/>
              <w:jc w:val="left"/>
              <w:rPr>
                <w:sz w:val="4"/>
                <w:szCs w:val="4"/>
              </w:rPr>
            </w:pPr>
            <w:r>
              <w:rPr>
                <w:sz w:val="4"/>
                <w:szCs w:val="4"/>
              </w:rPr>
            </w:r>
          </w:p>
        </w:tc>
      </w:tr>
      <w:tr>
        <w:trPr/>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9" w:type="dxa"/>
            <w:gridSpan w:val="3"/>
            <w:tcBorders/>
            <w:vAlign w:val="center"/>
          </w:tcPr>
          <w:p>
            <w:pPr>
              <w:pStyle w:val="TableContents"/>
              <w:bidi w:val="0"/>
              <w:spacing w:before="0" w:after="283"/>
              <w:jc w:val="left"/>
              <w:rPr>
                <w:sz w:val="4"/>
                <w:szCs w:val="4"/>
              </w:rPr>
            </w:pPr>
            <w:r>
              <w:rPr>
                <w:sz w:val="4"/>
                <w:szCs w:val="4"/>
              </w:rPr>
            </w:r>
          </w:p>
        </w:tc>
      </w:tr>
      <w:tr>
        <w:trPr/>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9" w:type="dxa"/>
            <w:gridSpan w:val="3"/>
            <w:tcBorders/>
            <w:vAlign w:val="center"/>
          </w:tcPr>
          <w:p>
            <w:pPr>
              <w:pStyle w:val="TableContents"/>
              <w:bidi w:val="0"/>
              <w:spacing w:before="0" w:after="283"/>
              <w:jc w:val="left"/>
              <w:rPr>
                <w:sz w:val="4"/>
                <w:szCs w:val="4"/>
              </w:rPr>
            </w:pPr>
            <w:r>
              <w:rPr>
                <w:sz w:val="4"/>
                <w:szCs w:val="4"/>
              </w:rPr>
            </w:r>
          </w:p>
        </w:tc>
      </w:tr>
      <w:tr>
        <w:trPr/>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9" w:type="dxa"/>
            <w:gridSpan w:val="3"/>
            <w:tcBorders/>
            <w:vAlign w:val="center"/>
          </w:tcPr>
          <w:p>
            <w:pPr>
              <w:pStyle w:val="TableContents"/>
              <w:bidi w:val="0"/>
              <w:spacing w:before="0" w:after="283"/>
              <w:jc w:val="left"/>
              <w:rPr>
                <w:sz w:val="4"/>
                <w:szCs w:val="4"/>
              </w:rPr>
            </w:pPr>
            <w:r>
              <w:rPr>
                <w:sz w:val="4"/>
                <w:szCs w:val="4"/>
              </w:rPr>
            </w:r>
          </w:p>
        </w:tc>
      </w:tr>
      <w:tr>
        <w:trPr/>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9" w:type="dxa"/>
            <w:gridSpan w:val="3"/>
            <w:tcBorders/>
            <w:vAlign w:val="center"/>
          </w:tcPr>
          <w:p>
            <w:pPr>
              <w:pStyle w:val="TableContents"/>
              <w:bidi w:val="0"/>
              <w:spacing w:before="0" w:after="283"/>
              <w:jc w:val="left"/>
              <w:rPr>
                <w:sz w:val="4"/>
                <w:szCs w:val="4"/>
              </w:rPr>
            </w:pPr>
            <w:r>
              <w:rPr>
                <w:sz w:val="4"/>
                <w:szCs w:val="4"/>
              </w:rPr>
            </w:r>
          </w:p>
        </w:tc>
      </w:tr>
      <w:tr>
        <w:trPr/>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9" w:type="dxa"/>
            <w:gridSpan w:val="3"/>
            <w:tcBorders/>
            <w:vAlign w:val="center"/>
          </w:tcPr>
          <w:p>
            <w:pPr>
              <w:pStyle w:val="TableContents"/>
              <w:bidi w:val="0"/>
              <w:spacing w:before="0" w:after="283"/>
              <w:jc w:val="left"/>
              <w:rPr>
                <w:sz w:val="4"/>
                <w:szCs w:val="4"/>
              </w:rPr>
            </w:pPr>
            <w:r>
              <w:rPr>
                <w:sz w:val="4"/>
                <w:szCs w:val="4"/>
              </w:rPr>
            </w:r>
          </w:p>
        </w:tc>
      </w:tr>
      <w:tr>
        <w:trPr/>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9" w:type="dxa"/>
            <w:gridSpan w:val="3"/>
            <w:tcBorders/>
            <w:vAlign w:val="center"/>
          </w:tcPr>
          <w:p>
            <w:pPr>
              <w:pStyle w:val="TableContents"/>
              <w:bidi w:val="0"/>
              <w:spacing w:before="0" w:after="283"/>
              <w:jc w:val="left"/>
              <w:rPr>
                <w:sz w:val="4"/>
                <w:szCs w:val="4"/>
              </w:rPr>
            </w:pPr>
            <w:r>
              <w:rPr>
                <w:sz w:val="4"/>
                <w:szCs w:val="4"/>
              </w:rPr>
            </w:r>
          </w:p>
        </w:tc>
      </w:tr>
      <w:tr>
        <w:trPr/>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9" w:type="dxa"/>
            <w:gridSpan w:val="3"/>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a20230930ex101frameworkagr.htm">
              <w:r>
                <w:rPr>
                  <w:rStyle w:val="InternetLink"/>
                  <w:rFonts w:ascii="Times New Roman;sans-serif" w:hAnsi="Times New Roman;sans-serif"/>
                  <w:b w:val="false"/>
                  <w:color w:val="0000FF"/>
                  <w:sz w:val="20"/>
                  <w:u w:val="single"/>
                </w:rPr>
                <w:t>Framework Agreement by and between Senti Biosciences, Inc., GeneFab, LLC, and Velere Bio, Inc., dated August 7, 2023.</w:t>
              </w:r>
            </w:hyperlink>
            <w:r>
              <w:rPr>
                <w:color w:val="000000"/>
              </w:rPr>
              <w:t xml:space="preserve"> </w:t>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30930ex102sellereconom.htm">
              <w:r>
                <w:rPr>
                  <w:rStyle w:val="InternetLink"/>
                  <w:rFonts w:ascii="Times New Roman;sans-serif" w:hAnsi="Times New Roman;sans-serif"/>
                  <w:b w:val="false"/>
                  <w:color w:val="0000FF"/>
                  <w:sz w:val="20"/>
                  <w:u w:val="single"/>
                </w:rPr>
                <w:t>Seller Economic Share Agreement by and between Senti Biosciences, Inc., GeneGab, LLC, and Valere Bio, Inc., dated August 7, 2023.</w:t>
              </w:r>
            </w:hyperlink>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30930ex103developmenta.htm">
              <w:r>
                <w:rPr>
                  <w:rStyle w:val="InternetLink"/>
                  <w:rFonts w:ascii="Times New Roman;sans-serif" w:hAnsi="Times New Roman;sans-serif"/>
                  <w:b w:val="false"/>
                  <w:color w:val="0000FF"/>
                  <w:sz w:val="20"/>
                  <w:u w:val="single"/>
                </w:rPr>
                <w:t>Development and Manufacturing Services Agreement between Senti Biosciences, Inc. and GeneFab, LLC, dated August 7, 2023.</w:t>
              </w:r>
            </w:hyperlink>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30930ex104subleaseagre.htm">
              <w:r>
                <w:rPr>
                  <w:rStyle w:val="InternetLink"/>
                  <w:rFonts w:ascii="Times New Roman;sans-serif" w:hAnsi="Times New Roman;sans-serif"/>
                  <w:b w:val="false"/>
                  <w:color w:val="0000FF"/>
                  <w:sz w:val="20"/>
                  <w:u w:val="single"/>
                </w:rPr>
                <w:t>Sublease Agreement by and between Senti Biosciences, Inc. and GeneFab, LLC, dated August 7, 2023.</w:t>
              </w:r>
            </w:hyperlink>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80"/>
                  <w:sz w:val="20"/>
                  <w:u w:val="single"/>
                </w:rPr>
                <w:t>Option Agreement by and between</w:t>
              </w:r>
            </w:hyperlink>
            <w:hyperlink r:id="rId3">
              <w:r>
                <w:rPr>
                  <w:rStyle w:val="InternetLink"/>
                  <w:rFonts w:ascii="Times New Roman;sans-serif" w:hAnsi="Times New Roman;sans-serif"/>
                  <w:b w:val="false"/>
                  <w:color w:val="000080"/>
                  <w:sz w:val="20"/>
                  <w:u w:val="single"/>
                </w:rPr>
                <w:t xml:space="preserve"> Senti Biosciences, Inc.</w:t>
              </w:r>
            </w:hyperlink>
            <w:hyperlink r:id="rId4">
              <w:r>
                <w:rPr>
                  <w:rStyle w:val="InternetLink"/>
                  <w:rFonts w:ascii="Times New Roman;sans-serif" w:hAnsi="Times New Roman;sans-serif"/>
                  <w:b w:val="false"/>
                  <w:color w:val="000080"/>
                  <w:sz w:val="20"/>
                  <w:u w:val="single"/>
                </w:rPr>
                <w:t xml:space="preserve"> and GeneFab, LLC, dated August 7, 20</w:t>
              </w:r>
            </w:hyperlink>
            <w:hyperlink r:id="rId5">
              <w:r>
                <w:rPr>
                  <w:rStyle w:val="InternetLink"/>
                  <w:rFonts w:ascii="Times New Roman;sans-serif" w:hAnsi="Times New Roman;sans-serif"/>
                  <w:b w:val="false"/>
                  <w:color w:val="000080"/>
                  <w:sz w:val="20"/>
                  <w:u w:val="single"/>
                </w:rPr>
                <w:t>2</w:t>
              </w:r>
            </w:hyperlink>
            <w:hyperlink r:id="rId6">
              <w:r>
                <w:rPr>
                  <w:rStyle w:val="InternetLink"/>
                  <w:rFonts w:ascii="Times New Roman;sans-serif" w:hAnsi="Times New Roman;sans-serif"/>
                  <w:b w:val="false"/>
                  <w:color w:val="000080"/>
                  <w:sz w:val="20"/>
                  <w:u w:val="single"/>
                </w:rPr>
                <w:t>3</w:t>
              </w:r>
            </w:hyperlink>
            <w:r>
              <w:rPr>
                <w:color w:val="000000"/>
              </w:rPr>
              <w:t xml:space="preserve"> </w:t>
            </w:r>
            <w:r>
              <w:rPr>
                <w:rFonts w:ascii="Times New Roman;sans-serif" w:hAnsi="Times New Roman;sans-serif"/>
                <w:b w:val="false"/>
                <w:color w:val="000000"/>
                <w:sz w:val="13"/>
              </w:rPr>
              <w:t>(1)</w:t>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3093010qex311.htm">
              <w:r>
                <w:rPr>
                  <w:rStyle w:val="InternetLink"/>
                  <w:rFonts w:ascii="Times New Roman;sans-serif" w:hAnsi="Times New Roman;sans-serif"/>
                  <w:b w:val="false"/>
                  <w:color w:val="0000FF"/>
                  <w:sz w:val="20"/>
                  <w:u w:val="single"/>
                </w:rPr>
                <w:t>Certification of Principal Executive Officer Pursuant to Securities Exchange Act Rules 13a-14(a) and 15(d)-14(a), as adopted Pursuant to Section 302 of the Sarbanes-Oxley Act of 2002</w:t>
              </w:r>
            </w:hyperlink>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3093010qex312.htm">
              <w:r>
                <w:rPr>
                  <w:rStyle w:val="InternetLink"/>
                  <w:rFonts w:ascii="Times New Roman;sans-serif" w:hAnsi="Times New Roman;sans-serif"/>
                  <w:b w:val="false"/>
                  <w:color w:val="0000FF"/>
                  <w:sz w:val="20"/>
                  <w:u w:val="single"/>
                </w:rPr>
                <w:t>Certification of Principal Financial Officer Pursuant to Securities Exchange Act Rules 13a-14(a) and 15(d)-14(a), as adopted Pursuant to Section 302 of the Sarbanes-Oxley Act of 2002</w:t>
              </w:r>
            </w:hyperlink>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3093010qex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3093010qex32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for the Company’s Quarterly Report on Form 10-Q has been formatted in Inline XBRL and contained in Exhibit 101.</w:t>
            </w:r>
          </w:p>
        </w:tc>
      </w:tr>
    </w:tbl>
    <w:p>
      <w:pPr>
        <w:pStyle w:val="TextBody"/>
        <w:bidi w:val="0"/>
        <w:spacing w:lineRule="auto" w:line="276"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91"/>
        <w:gridCol w:w="2810"/>
        <w:gridCol w:w="38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1"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c>
          <w:tcPr>
            <w:tcW w:w="38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 This certification will not be deemed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Portions of this exhibit (indicated by asterisks) have been omitted because the registrant has determined that the information is both not material and is of the type that the registrant treats as private or confidential.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Previously filed as an exhibit to Post-Effective Amendment No. 1 to our Form S-1 on Form S-3 filed on November 1, 2023 and incorporated herein by reference.</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76" w:before="0" w:after="180"/>
        <w:jc w:val="left"/>
        <w:rPr/>
      </w:pPr>
      <w:hyperlink w:anchor="i00b89bcd424b4d2486c3bbf18f8fe9ae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 on this 13th day of November, 2023.</w:t>
      </w:r>
    </w:p>
    <w:tbl>
      <w:tblPr>
        <w:tblW w:w="9492" w:type="dxa"/>
        <w:jc w:val="left"/>
        <w:tblInd w:w="0" w:type="dxa"/>
        <w:tblLayout w:type="fixed"/>
        <w:tblCellMar>
          <w:top w:w="28" w:type="dxa"/>
          <w:left w:w="28" w:type="dxa"/>
          <w:bottom w:w="28" w:type="dxa"/>
          <w:right w:w="28" w:type="dxa"/>
        </w:tblCellMar>
      </w:tblPr>
      <w:tblGrid>
        <w:gridCol w:w="797"/>
        <w:gridCol w:w="702"/>
        <w:gridCol w:w="706"/>
        <w:gridCol w:w="109"/>
        <w:gridCol w:w="109"/>
        <w:gridCol w:w="109"/>
        <w:gridCol w:w="274"/>
        <w:gridCol w:w="274"/>
        <w:gridCol w:w="274"/>
        <w:gridCol w:w="371"/>
        <w:gridCol w:w="371"/>
        <w:gridCol w:w="371"/>
        <w:gridCol w:w="1470"/>
        <w:gridCol w:w="1470"/>
        <w:gridCol w:w="2085"/>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SENTI BIOSCIENCES, INC.</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1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Lu, M.D., Ph.D.</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5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Lu, M.D., Ph.D.</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&amp; President</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1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Deborah Knobelman, Ph.D.</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5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Deborah Knobelman, Ph.D.</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Head of Corporate Development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7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before="0" w:after="2"/>
        <w:ind w:left="0" w:right="0" w:firstLine="7"/>
        <w:jc w:val="right"/>
        <w:rPr/>
      </w:pPr>
      <w:r>
        <w:rPr/>
      </w:r>
    </w:p>
    <w:p>
      <w:pPr>
        <w:pStyle w:val="TextBody"/>
        <w:bidi w:val="0"/>
        <w:spacing w:lineRule="auto" w:line="240" w:before="0" w:after="2"/>
        <w:ind w:left="0" w:right="0" w:firstLine="7"/>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FRAMEWORK AGREEMENT</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by and among</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SENTI BIOSCIENCES, INC.,</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VALERE BIO, INC.</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and</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GENEFAB, LLC</w:t>
      </w:r>
    </w:p>
    <w:p>
      <w:pPr>
        <w:pStyle w:val="TextBody"/>
        <w:bidi w:val="0"/>
        <w:spacing w:lineRule="auto" w:line="240" w:before="0" w:after="1440"/>
        <w:jc w:val="center"/>
        <w:rPr>
          <w:rFonts w:ascii="Times New Roman;sans-serif" w:hAnsi="Times New Roman;sans-serif"/>
          <w:b/>
          <w:color w:val="000000"/>
          <w:sz w:val="22"/>
        </w:rPr>
      </w:pPr>
      <w:r>
        <w:rPr>
          <w:rFonts w:ascii="Times New Roman;sans-serif" w:hAnsi="Times New Roman;sans-serif"/>
          <w:b/>
          <w:color w:val="000000"/>
          <w:sz w:val="22"/>
        </w:rPr>
        <w:t>DATED AS OF AUGUST 7, 2023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TABLE OF CONTENTS</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7.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200"/>
        <w:jc w:val="right"/>
        <w:rPr>
          <w:rFonts w:ascii="Times New Roman;sans-serif" w:hAnsi="Times New Roman;sans-serif"/>
          <w:b/>
          <w:color w:val="000000"/>
          <w:sz w:val="22"/>
        </w:rPr>
      </w:pPr>
      <w:r>
        <w:rPr>
          <w:rFonts w:ascii="Times New Roman;sans-serif" w:hAnsi="Times New Roman;sans-serif"/>
          <w:b/>
          <w:color w:val="000000"/>
          <w:sz w:val="22"/>
        </w:rPr>
        <w:t>Page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806"/>
        <w:gridCol w:w="3000"/>
        <w:gridCol w:w="3006"/>
        <w:gridCol w:w="114"/>
        <w:gridCol w:w="114"/>
        <w:gridCol w:w="165"/>
      </w:tblGrid>
      <w:tr>
        <w:trPr/>
        <w:tc>
          <w:tcPr>
            <w:tcW w:w="3806" w:type="dxa"/>
            <w:tcBorders/>
            <w:vAlign w:val="center"/>
          </w:tcPr>
          <w:p>
            <w:pPr>
              <w:pStyle w:val="TableContents"/>
              <w:bidi w:val="0"/>
              <w:spacing w:before="0" w:after="283"/>
              <w:jc w:val="left"/>
              <w:rPr>
                <w:sz w:val="4"/>
                <w:szCs w:val="4"/>
              </w:rPr>
            </w:pPr>
            <w:r>
              <w:rPr>
                <w:sz w:val="4"/>
                <w:szCs w:val="4"/>
              </w:rPr>
            </w:r>
          </w:p>
        </w:tc>
        <w:tc>
          <w:tcPr>
            <w:tcW w:w="3000" w:type="dxa"/>
            <w:tcBorders/>
            <w:vAlign w:val="center"/>
          </w:tcPr>
          <w:p>
            <w:pPr>
              <w:pStyle w:val="TableContents"/>
              <w:bidi w:val="0"/>
              <w:spacing w:before="0" w:after="283"/>
              <w:jc w:val="left"/>
              <w:rPr>
                <w:sz w:val="4"/>
                <w:szCs w:val="4"/>
              </w:rPr>
            </w:pPr>
            <w:r>
              <w:rPr>
                <w:sz w:val="4"/>
                <w:szCs w:val="4"/>
              </w:rPr>
            </w:r>
          </w:p>
        </w:tc>
        <w:tc>
          <w:tcPr>
            <w:tcW w:w="300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Article I DEFINITIONS AND TERMS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1.1</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Definitions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1.2</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Other Definitional Provisions.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16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Article II PURCHASE AND SALE OF ASSETS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16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2.1</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Purchase and Sale of Assets.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16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2.2</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Deferred Assets.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17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2.3</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Excluded Assets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18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2.4</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Assumed Liabilities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18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2.5</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Excluded Liabilities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19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2.6</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Consideration.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20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2.7</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Allocation of Cash Consideration.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22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2.8</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Taxes.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22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2.9</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Purchased Assets and Assumed Liabilities Not Transferred at the Initial Closing or Lease Assignment Closing; Excluded Liabilities Wrongfully Transferred at the Initial Closing or Lease Assignment Closing</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23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2.10</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Facility Lease [***].</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24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2.11</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Shared Contracts.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25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Article III CLOSINGS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26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3.1</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Initial Closing</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26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3.2</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Lease Assignment Closing</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27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3.3</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Initial Closing Deliveries by Seller</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27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3.4</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Initial Closing Deliveries by Purchaser</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27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3.5</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Lease Assignment Closing Deliveries by Seller</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28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3.6</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Lease Assignment Closing Deliveries by Purchaser</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28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Article IV REPRESENTATIONS AND WARRANTIES OF SELLER</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28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4.1</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Organization and Good Standing</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28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4.2</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Authority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28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4.3</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No Conflict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29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4.4</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Required Filings and Consents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29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4.5</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Compliance with Laws.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29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4.6</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Regulatory Compliance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30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4.7</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Undisclosed Liabilities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31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4.8</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Developments.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31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4.9</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Taxes.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32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4.10</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Litigation.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33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4.11</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Contracts.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33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4.12</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Title to and Sufficiency of Purchased Assets.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33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4.13</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The Facility and Facility Lease.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34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4.14</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Environmental Matters.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35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4.15</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Intellectual Property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35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4.16</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Employee Benefits.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36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4.17</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Labor and Employment Matters.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37</w:t>
              </w:r>
            </w:hyperlink>
          </w:p>
        </w:tc>
      </w:tr>
    </w:tbl>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TABLE OF CONTENTS</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628650"/>
                <wp:effectExtent l="0" t="0" r="0" b="0"/>
                <wp:wrapNone/>
                <wp:docPr id="126" name="Frame12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167.55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(continued)</w:t>
      </w:r>
    </w:p>
    <w:p>
      <w:pPr>
        <w:pStyle w:val="TextBody"/>
        <w:bidi w:val="0"/>
        <w:spacing w:lineRule="auto" w:line="240" w:before="0" w:after="200"/>
        <w:jc w:val="right"/>
        <w:rPr>
          <w:rFonts w:ascii="Times New Roman;sans-serif" w:hAnsi="Times New Roman;sans-serif"/>
          <w:b/>
          <w:color w:val="000000"/>
          <w:sz w:val="22"/>
        </w:rPr>
      </w:pPr>
      <w:r>
        <w:rPr>
          <w:rFonts w:ascii="Times New Roman;sans-serif" w:hAnsi="Times New Roman;sans-serif"/>
          <w:b/>
          <w:color w:val="000000"/>
          <w:sz w:val="22"/>
        </w:rPr>
        <w:t>Page</w:t>
      </w:r>
    </w:p>
    <w:p>
      <w:pPr>
        <w:pStyle w:val="TextBody"/>
        <w:bidi w:val="0"/>
        <w:spacing w:before="0" w:after="0"/>
        <w:jc w:val="left"/>
        <w:rPr/>
      </w:pPr>
      <w:r>
        <w:rPr/>
      </w:r>
    </w:p>
    <w:tbl>
      <w:tblPr>
        <w:tblW w:w="9795" w:type="dxa"/>
        <w:jc w:val="left"/>
        <w:tblInd w:w="0" w:type="dxa"/>
        <w:tblLayout w:type="fixed"/>
        <w:tblCellMar>
          <w:top w:w="28" w:type="dxa"/>
          <w:left w:w="28" w:type="dxa"/>
          <w:bottom w:w="28" w:type="dxa"/>
          <w:right w:w="28" w:type="dxa"/>
        </w:tblCellMar>
      </w:tblPr>
      <w:tblGrid>
        <w:gridCol w:w="3407"/>
        <w:gridCol w:w="2993"/>
        <w:gridCol w:w="3004"/>
        <w:gridCol w:w="114"/>
        <w:gridCol w:w="114"/>
        <w:gridCol w:w="163"/>
      </w:tblGrid>
      <w:tr>
        <w:trPr/>
        <w:tc>
          <w:tcPr>
            <w:tcW w:w="3407" w:type="dxa"/>
            <w:tcBorders/>
            <w:vAlign w:val="center"/>
          </w:tcPr>
          <w:p>
            <w:pPr>
              <w:pStyle w:val="TableContents"/>
              <w:bidi w:val="0"/>
              <w:spacing w:before="0" w:after="283"/>
              <w:jc w:val="left"/>
              <w:rPr>
                <w:sz w:val="4"/>
                <w:szCs w:val="4"/>
              </w:rPr>
            </w:pPr>
            <w:r>
              <w:rPr>
                <w:sz w:val="4"/>
                <w:szCs w:val="4"/>
              </w:rPr>
            </w:r>
          </w:p>
        </w:tc>
        <w:tc>
          <w:tcPr>
            <w:tcW w:w="2993" w:type="dxa"/>
            <w:tcBorders/>
            <w:vAlign w:val="center"/>
          </w:tcPr>
          <w:p>
            <w:pPr>
              <w:pStyle w:val="TableContents"/>
              <w:bidi w:val="0"/>
              <w:spacing w:before="0" w:after="283"/>
              <w:jc w:val="left"/>
              <w:rPr>
                <w:sz w:val="4"/>
                <w:szCs w:val="4"/>
              </w:rPr>
            </w:pPr>
            <w:r>
              <w:rPr>
                <w:sz w:val="4"/>
                <w:szCs w:val="4"/>
              </w:rPr>
            </w:r>
          </w:p>
        </w:tc>
        <w:tc>
          <w:tcPr>
            <w:tcW w:w="30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4.18</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Brokers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39</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4.19</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Insurance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40</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4.20</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No Bankruptcy/Dissolution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40</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Article V REPRESENTATIONS AND WARRANTIES OF PURCHASER AND TOPCO</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40</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5.1</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Organization and Good Standing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40</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5.2</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Authority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40</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5.3</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No Conflict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41</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5.4</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Required Filings and Consents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41</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5.5</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Litigation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41</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5.6</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Brokers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41</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5.7</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Sufficiency of Funds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41</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5.8</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Fair Market Value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42</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Article VI COVENANTS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42</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6.1</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Conduct of Business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42</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6.2</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Conduct Regarding Facility Lease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43</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6.3</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Information and Documents.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43</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6.4</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Trade Notification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44</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6.5</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License Agreement, Sub-License Agreement, and Use of Seller's Intellectual Property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44</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6.6</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Other Post-Initial Closing Covenants.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45</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6.7</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Payments under Assumed Contracts and Transferred Permits.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45</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6.8</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[Reserved].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45</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6.9</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Covenants with respect to Licensed Technology.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46</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6.10</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Further Assurances; Governmental Review</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46</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6.11</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Transfer of Permits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46</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6.12</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Employee Matters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46</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Article VII CONDITIONS TO CLOSING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49</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7.1</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Conditions to the Initial Closing Obligations of Purchaser and Seller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49</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7.2</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Conditions to the Initial Closing Obligations of Purchaser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50</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7.3</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Conditions to the Initial Closing Obligations of Seller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50</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7.4</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Conditions to the Lease Assignment Closing Obligations of Purchaser and Seller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51</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7.5</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Conditions to the Lease Assignment Closing Obligations of Purchaser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51</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7.6</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Conditions to the Lease Assignment Closing Obligations of Seller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52</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Article VIII TERMINATION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52</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8.1</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Termination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52</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8.2</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Effect of Termination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53</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Article IX INDEMNIFICATION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53</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9.1</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Survival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53</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9.2</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Indemnification by Seller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53</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9.3</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Indemnification by Purchaser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54</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9.4</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Certain Limitations.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54</w:t>
              </w:r>
            </w:hyperlink>
          </w:p>
        </w:tc>
      </w:tr>
      <w:tr>
        <w:trPr/>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9.5</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Indemnification Claims.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55</w:t>
              </w:r>
            </w:hyperlink>
          </w:p>
        </w:tc>
      </w:tr>
    </w:tbl>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TABLE OF CONTENTS</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628650"/>
                <wp:effectExtent l="0" t="0" r="0" b="0"/>
                <wp:wrapNone/>
                <wp:docPr id="127" name="Frame12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167.55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(continued)</w:t>
      </w:r>
    </w:p>
    <w:p>
      <w:pPr>
        <w:pStyle w:val="TextBody"/>
        <w:bidi w:val="0"/>
        <w:spacing w:lineRule="auto" w:line="240" w:before="0" w:after="200"/>
        <w:jc w:val="right"/>
        <w:rPr>
          <w:rFonts w:ascii="Times New Roman;sans-serif" w:hAnsi="Times New Roman;sans-serif"/>
          <w:b/>
          <w:color w:val="000000"/>
          <w:sz w:val="22"/>
        </w:rPr>
      </w:pPr>
      <w:r>
        <w:rPr>
          <w:rFonts w:ascii="Times New Roman;sans-serif" w:hAnsi="Times New Roman;sans-serif"/>
          <w:b/>
          <w:color w:val="000000"/>
          <w:sz w:val="22"/>
        </w:rPr>
        <w:t>Page</w:t>
      </w:r>
    </w:p>
    <w:p>
      <w:pPr>
        <w:pStyle w:val="TextBody"/>
        <w:bidi w:val="0"/>
        <w:spacing w:before="0" w:after="0"/>
        <w:jc w:val="left"/>
        <w:rPr/>
      </w:pPr>
      <w:r>
        <w:rPr/>
      </w:r>
    </w:p>
    <w:tbl>
      <w:tblPr>
        <w:tblW w:w="5296" w:type="dxa"/>
        <w:jc w:val="left"/>
        <w:tblInd w:w="0" w:type="dxa"/>
        <w:tblLayout w:type="fixed"/>
        <w:tblCellMar>
          <w:top w:w="28" w:type="dxa"/>
          <w:left w:w="28" w:type="dxa"/>
          <w:bottom w:w="28" w:type="dxa"/>
          <w:right w:w="28" w:type="dxa"/>
        </w:tblCellMar>
      </w:tblPr>
      <w:tblGrid>
        <w:gridCol w:w="1776"/>
        <w:gridCol w:w="1563"/>
        <w:gridCol w:w="1566"/>
        <w:gridCol w:w="114"/>
        <w:gridCol w:w="114"/>
        <w:gridCol w:w="163"/>
      </w:tblGrid>
      <w:tr>
        <w:trPr/>
        <w:tc>
          <w:tcPr>
            <w:tcW w:w="1776"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9.6</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Third-Party Claims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56</w:t>
              </w:r>
            </w:hyperlink>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9.7</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Sole Remedy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57</w:t>
              </w:r>
            </w:hyperlink>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9.8</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Indemnity Payments.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57</w:t>
              </w:r>
            </w:hyperlink>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9.9</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EXCEPTIONS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57</w:t>
              </w:r>
            </w:hyperlink>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Article X MISCELLANEOUS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58</w:t>
              </w:r>
            </w:hyperlink>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10.1</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Notices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58</w:t>
              </w:r>
            </w:hyperlink>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10.2</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Amendment; Waiver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59</w:t>
              </w:r>
            </w:hyperlink>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10.3</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Binding Effect; Assignment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59</w:t>
              </w:r>
            </w:hyperlink>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10.4</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Entire Agreement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59</w:t>
              </w:r>
            </w:hyperlink>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10.5</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No Third-Party Beneficiaries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59</w:t>
              </w:r>
            </w:hyperlink>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10.6</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Public Disclosure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59</w:t>
              </w:r>
            </w:hyperlink>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10.7</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Confidentiality; Equitable Relief</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60</w:t>
              </w:r>
            </w:hyperlink>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10.8</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Expenses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60</w:t>
              </w:r>
            </w:hyperlink>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10.9</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Governing Law; Dispute Resolution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60</w:t>
              </w:r>
            </w:hyperlink>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10.10</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Relationship of the Parties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61</w:t>
              </w:r>
            </w:hyperlink>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10.11</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Counterparts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61</w:t>
              </w:r>
            </w:hyperlink>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10.12</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Headings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61</w:t>
              </w:r>
            </w:hyperlink>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10.13</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Severability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61</w:t>
              </w:r>
            </w:hyperlink>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80"/>
                  <w:sz w:val="22"/>
                  <w:u w:val="single"/>
                  <w:effect w:val="none"/>
                </w:rPr>
                <w:t>Section 10.14</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    </w:t>
              </w:r>
            </w:hyperlink>
            <w:hyperlink w:anchor="i85d4ee4748e845b29d71593acff9919e_10">
              <w:r>
                <w:rPr>
                  <w:rStyle w:val="InternetLink"/>
                  <w:rFonts w:ascii="Times New Roman;sans-serif" w:hAnsi="Times New Roman;sans-serif"/>
                  <w:b w:val="false"/>
                  <w:strike w:val="false"/>
                  <w:dstrike w:val="false"/>
                  <w:color w:val="000080"/>
                  <w:sz w:val="22"/>
                  <w:u w:val="single"/>
                  <w:effect w:val="none"/>
                </w:rPr>
                <w:t>Acknowledgement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4ee4748e845b29d71593acff9919e_10">
              <w:r>
                <w:rPr>
                  <w:rStyle w:val="InternetLink"/>
                  <w:rFonts w:ascii="Times New Roman;sans-serif" w:hAnsi="Times New Roman;sans-serif"/>
                  <w:b w:val="false"/>
                  <w:strike w:val="false"/>
                  <w:dstrike w:val="false"/>
                  <w:color w:val="000000"/>
                  <w:sz w:val="22"/>
                  <w:u w:val="none"/>
                  <w:effect w:val="none"/>
                </w:rPr>
                <w:t>62</w:t>
              </w:r>
            </w:hyperlink>
          </w:p>
        </w:tc>
      </w:tr>
    </w:tbl>
    <w:p>
      <w:pPr>
        <w:pStyle w:val="TextBody"/>
        <w:bidi w:val="0"/>
        <w:spacing w:before="0" w:after="240"/>
        <w:ind w:left="0" w:right="0" w:hanging="2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TABLE OF CONTENTS</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628650"/>
                <wp:effectExtent l="0" t="0" r="0" b="0"/>
                <wp:wrapNone/>
                <wp:docPr id="128" name="Frame12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167.55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right"/>
        <w:rPr>
          <w:rFonts w:ascii="Times New Roman;sans-serif" w:hAnsi="Times New Roman;sans-serif"/>
          <w:b/>
          <w:color w:val="000000"/>
          <w:sz w:val="22"/>
        </w:rPr>
      </w:pPr>
      <w:r>
        <w:rPr>
          <w:rFonts w:ascii="Times New Roman;sans-serif" w:hAnsi="Times New Roman;sans-serif"/>
          <w:b/>
          <w:color w:val="000000"/>
          <w:sz w:val="22"/>
        </w:rPr>
        <w:t>Page</w:t>
      </w:r>
    </w:p>
    <w:p>
      <w:pPr>
        <w:pStyle w:val="TextBody"/>
        <w:bidi w:val="0"/>
        <w:spacing w:before="0" w:after="0"/>
        <w:jc w:val="left"/>
        <w:rPr/>
      </w:pPr>
      <w:r>
        <w:rPr/>
      </w:r>
    </w:p>
    <w:p>
      <w:pPr>
        <w:pStyle w:val="TextBody"/>
        <w:bidi w:val="0"/>
        <w:spacing w:before="0" w:after="0"/>
        <w:ind w:left="0" w:right="0" w:hanging="2160"/>
        <w:jc w:val="left"/>
        <w:rPr/>
      </w:pPr>
      <w:r>
        <w:rPr/>
      </w:r>
    </w:p>
    <w:p>
      <w:pPr>
        <w:pStyle w:val="TextBody"/>
        <w:bidi w:val="0"/>
        <w:spacing w:lineRule="auto" w:line="240" w:before="0" w:after="240"/>
        <w:ind w:left="0" w:right="0" w:hanging="2160"/>
        <w:jc w:val="center"/>
        <w:rPr>
          <w:rFonts w:ascii="Times New Roman;sans-serif" w:hAnsi="Times New Roman;sans-serif"/>
          <w:b w:val="false"/>
          <w:color w:val="000000"/>
          <w:sz w:val="22"/>
        </w:rPr>
      </w:pPr>
      <w:r>
        <w:rPr>
          <w:rFonts w:ascii="Times New Roman;sans-serif" w:hAnsi="Times New Roman;sans-serif"/>
          <w:b w:val="false"/>
          <w:color w:val="000000"/>
          <w:sz w:val="22"/>
        </w:rPr>
        <w:t>EXHIBITS</w:t>
      </w:r>
    </w:p>
    <w:p>
      <w:pPr>
        <w:pStyle w:val="TextBody"/>
        <w:bidi w:val="0"/>
        <w:spacing w:before="0" w:after="0"/>
        <w:jc w:val="center"/>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Services Agreement</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Asset Assignment Agreement</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Transitional Services Agreement</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    Sublease Agreement</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    Landlord Consent to Sublease Agreement</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    Option Agreement</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G-1    TopCo Equity Commitment Letter</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G-2    Celadon Equity Commitment Letter</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H    Seller Economic Share Agreement</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Terms of License and Sub-License</w:t>
      </w:r>
    </w:p>
    <w:p>
      <w:pPr>
        <w:pStyle w:val="TextBody"/>
        <w:bidi w:val="0"/>
        <w:spacing w:before="0" w:after="240"/>
        <w:ind w:left="0" w:right="0" w:firstLine="720"/>
        <w:jc w:val="both"/>
        <w:rPr/>
      </w:pPr>
      <w:r>
        <w:rPr/>
      </w:r>
    </w:p>
    <w:p>
      <w:pPr>
        <w:pStyle w:val="TextBody"/>
        <w:bidi w:val="0"/>
        <w:spacing w:lineRule="auto" w:line="240" w:before="0" w:after="24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SCHEDULES</w:t>
      </w:r>
    </w:p>
    <w:p>
      <w:pPr>
        <w:pStyle w:val="TextBody"/>
        <w:bidi w:val="0"/>
        <w:spacing w:before="0" w:after="2"/>
        <w:ind w:left="0" w:right="0" w:firstLine="7"/>
        <w:jc w:val="center"/>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1.1(a)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1.1(b)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1.1(c)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1.1(d)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1.1(e)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1.1(f)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1.1(g)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1.1(h)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1.1(i)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2.1(a)(vi)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2.10(d)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6.12(h)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txbxContent>
                </v:textbox>
                <w10:wrap type="none"/>
              </v:rect>
            </w:pict>
          </mc:Fallback>
        </mc:AlternateContent>
      </w:r>
    </w:p>
    <w:p>
      <w:pPr>
        <w:pStyle w:val="TextBody"/>
        <w:bidi w:val="0"/>
        <w:spacing w:lineRule="auto" w:line="240" w:before="240" w:after="240"/>
        <w:jc w:val="center"/>
        <w:rPr>
          <w:rFonts w:ascii="Times New Roman;sans-serif" w:hAnsi="Times New Roman;sans-serif"/>
          <w:b/>
          <w:color w:val="000000"/>
          <w:sz w:val="22"/>
        </w:rPr>
      </w:pPr>
      <w:r>
        <w:rPr>
          <w:rFonts w:ascii="Times New Roman;sans-serif" w:hAnsi="Times New Roman;sans-serif"/>
          <w:b/>
          <w:color w:val="000000"/>
          <w:sz w:val="22"/>
        </w:rPr>
        <w:t>FRAMEWORK AGREEMENT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This FRAMEWORK AGREEMENT, is made and entered into as of August 7, 2023, is made by and among Senti Biosciences, Inc., a Delaware corporation ("</w:t>
      </w:r>
      <w:r>
        <w:rPr>
          <w:rFonts w:ascii="Times New Roman;sans-serif" w:hAnsi="Times New Roman;sans-serif"/>
          <w:b w:val="false"/>
          <w:color w:val="000000"/>
          <w:sz w:val="22"/>
          <w:u w:val="single"/>
        </w:rPr>
        <w:t>Seller</w:t>
      </w:r>
      <w:r>
        <w:rPr>
          <w:rFonts w:ascii="Times New Roman;sans-serif" w:hAnsi="Times New Roman;sans-serif"/>
          <w:b w:val="false"/>
          <w:color w:val="000000"/>
          <w:sz w:val="22"/>
        </w:rPr>
        <w:t>"), Valere Bio, Inc., a Delaware corporation ("</w:t>
      </w:r>
      <w:r>
        <w:rPr>
          <w:rFonts w:ascii="Times New Roman;sans-serif" w:hAnsi="Times New Roman;sans-serif"/>
          <w:b w:val="false"/>
          <w:color w:val="000000"/>
          <w:sz w:val="22"/>
          <w:u w:val="single"/>
        </w:rPr>
        <w:t>TopCo</w:t>
      </w:r>
      <w:r>
        <w:rPr>
          <w:rFonts w:ascii="Times New Roman;sans-serif" w:hAnsi="Times New Roman;sans-serif"/>
          <w:b w:val="false"/>
          <w:color w:val="000000"/>
          <w:sz w:val="22"/>
        </w:rPr>
        <w:t>"), and GeneFab, LLC, a Delaware limited liability company ("</w:t>
      </w:r>
      <w:r>
        <w:rPr>
          <w:rFonts w:ascii="Times New Roman;sans-serif" w:hAnsi="Times New Roman;sans-serif"/>
          <w:b w:val="false"/>
          <w:color w:val="000000"/>
          <w:sz w:val="22"/>
          <w:u w:val="single"/>
        </w:rPr>
        <w:t>Purchaser</w:t>
      </w:r>
      <w:r>
        <w:rPr>
          <w:rFonts w:ascii="Times New Roman;sans-serif" w:hAnsi="Times New Roman;sans-serif"/>
          <w:b w:val="false"/>
          <w:color w:val="000000"/>
          <w:sz w:val="22"/>
        </w:rPr>
        <w:t>"). Seller, TopCo and Purchaser are collectively referred to herein as the "</w:t>
      </w:r>
      <w:r>
        <w:rPr>
          <w:rFonts w:ascii="Times New Roman;sans-serif" w:hAnsi="Times New Roman;sans-serif"/>
          <w:b w:val="false"/>
          <w:color w:val="000000"/>
          <w:sz w:val="22"/>
          <w:u w:val="single"/>
        </w:rPr>
        <w:t>Parties</w:t>
      </w:r>
      <w:r>
        <w:rPr>
          <w:rFonts w:ascii="Times New Roman;sans-serif" w:hAnsi="Times New Roman;sans-serif"/>
          <w:b w:val="false"/>
          <w:color w:val="000000"/>
          <w:sz w:val="22"/>
        </w:rPr>
        <w:t>" and individually as a "</w:t>
      </w:r>
      <w:r>
        <w:rPr>
          <w:rFonts w:ascii="Times New Roman;sans-serif" w:hAnsi="Times New Roman;sans-serif"/>
          <w:b w:val="false"/>
          <w:color w:val="000000"/>
          <w:sz w:val="22"/>
          <w:u w:val="single"/>
        </w:rPr>
        <w:t>Party</w:t>
      </w:r>
      <w:r>
        <w:rPr>
          <w:rFonts w:ascii="Times New Roman;sans-serif" w:hAnsi="Times New Roman;sans-serif"/>
          <w:b w:val="false"/>
          <w:color w:val="000000"/>
          <w:sz w:val="22"/>
        </w:rPr>
        <w:t>."</w:t>
      </w:r>
    </w:p>
    <w:p>
      <w:pPr>
        <w:pStyle w:val="TextBody"/>
        <w:bidi w:val="0"/>
        <w:spacing w:lineRule="auto" w:line="240" w:before="240" w:after="240"/>
        <w:jc w:val="center"/>
        <w:rPr>
          <w:rFonts w:ascii="Times New Roman;sans-serif" w:hAnsi="Times New Roman;sans-serif"/>
          <w:b/>
          <w:color w:val="000000"/>
          <w:sz w:val="22"/>
        </w:rPr>
      </w:pPr>
      <w:r>
        <w:rPr>
          <w:rFonts w:ascii="Times New Roman;sans-serif" w:hAnsi="Times New Roman;sans-serif"/>
          <w:b/>
          <w:color w:val="000000"/>
          <w:sz w:val="22"/>
        </w:rPr>
        <w:t>RECITALS</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WHEREAS, Seller possesses certain ownership and leasehold interests with respect to the Facility (as defined below) and certain assets and rights relating to the Facility;</w:t>
      </w:r>
      <w:r>
        <w:rPr>
          <w:color w:val="000000"/>
        </w:rPr>
        <w:t xml:space="preserve"> </w:t>
      </w:r>
    </w:p>
    <w:p>
      <w:pPr>
        <w:pStyle w:val="TextBody"/>
        <w:bidi w:val="0"/>
        <w:spacing w:lineRule="auto" w:line="240" w:before="24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Parties desire that, at the Initial Closing, Seller shall sell, assign and transfer to Purchaser, and Purchaser shall purchase and assume from Seller, the Purchased Assets (as defined below), and certain specified Liabilities related to such Purchased Assets upon the terms and conditions set forth herein;</w:t>
      </w:r>
    </w:p>
    <w:p>
      <w:pPr>
        <w:pStyle w:val="TextBody"/>
        <w:bidi w:val="0"/>
        <w:spacing w:lineRule="auto" w:line="240" w:before="24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Parties desire that, at the Lease Assignment Closing, Seller shall assign and transfer to Purchaser, and Purchaser shall assume from Seller, the Facility Lease (as defined below), and certain specified Liabilities related to such Facility Lease upon the terms and conditions set forth herein;</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 xml:space="preserve">WHEREAS, concurrently with the Initial Closing, the Purchaser and Seller will execute and deliver: (a) a development and manufacturing services agreement, substantially in the form attached hereto as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val="false"/>
          <w:color w:val="000000"/>
          <w:sz w:val="22"/>
          <w:u w:val="single"/>
        </w:rPr>
        <w:t>Services Agreement</w:t>
      </w:r>
      <w:r>
        <w:rPr>
          <w:rFonts w:ascii="Times New Roman;sans-serif" w:hAnsi="Times New Roman;sans-serif"/>
          <w:b w:val="false"/>
          <w:color w:val="000000"/>
          <w:sz w:val="22"/>
        </w:rPr>
        <w:t xml:space="preserve">"), (b) an asset assignment agreement, with respect to the Assumed Contracts and Assumed Liabilities (each as defined below), substantially in the form attached hereto as </w:t>
      </w:r>
      <w:r>
        <w:rPr>
          <w:rFonts w:ascii="Times New Roman;sans-serif" w:hAnsi="Times New Roman;sans-serif"/>
          <w:b w:val="false"/>
          <w:color w:val="000000"/>
          <w:sz w:val="22"/>
          <w:u w:val="single"/>
        </w:rPr>
        <w:t>Exhibit B</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val="false"/>
          <w:color w:val="000000"/>
          <w:sz w:val="22"/>
          <w:u w:val="single"/>
        </w:rPr>
        <w:t>Asset Assignment Agreement</w:t>
      </w:r>
      <w:r>
        <w:rPr>
          <w:rFonts w:ascii="Times New Roman;sans-serif" w:hAnsi="Times New Roman;sans-serif"/>
          <w:b w:val="false"/>
          <w:color w:val="000000"/>
          <w:sz w:val="22"/>
        </w:rPr>
        <w:t xml:space="preserve">"), (c) a transition services agreement, substantially in the form attached hereto as </w:t>
      </w:r>
      <w:r>
        <w:rPr>
          <w:rFonts w:ascii="Times New Roman;sans-serif" w:hAnsi="Times New Roman;sans-serif"/>
          <w:b w:val="false"/>
          <w:color w:val="000000"/>
          <w:sz w:val="22"/>
          <w:u w:val="single"/>
        </w:rPr>
        <w:t>Exhibit C</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val="false"/>
          <w:color w:val="000000"/>
          <w:sz w:val="22"/>
          <w:u w:val="single"/>
        </w:rPr>
        <w:t>Transitional Services Agreement</w:t>
      </w:r>
      <w:r>
        <w:rPr>
          <w:rFonts w:ascii="Times New Roman;sans-serif" w:hAnsi="Times New Roman;sans-serif"/>
          <w:b w:val="false"/>
          <w:color w:val="000000"/>
          <w:sz w:val="22"/>
        </w:rPr>
        <w:t xml:space="preserve">"), (d) a sublease agreement, substantially in the form attached hereto as </w:t>
      </w:r>
      <w:r>
        <w:rPr>
          <w:rFonts w:ascii="Times New Roman;sans-serif" w:hAnsi="Times New Roman;sans-serif"/>
          <w:b w:val="false"/>
          <w:color w:val="000000"/>
          <w:sz w:val="22"/>
          <w:u w:val="single"/>
        </w:rPr>
        <w:t>Exhibit D</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val="false"/>
          <w:color w:val="000000"/>
          <w:sz w:val="22"/>
          <w:u w:val="single"/>
        </w:rPr>
        <w:t>Sublease Agreement</w:t>
      </w:r>
      <w:r>
        <w:rPr>
          <w:rFonts w:ascii="Times New Roman;sans-serif" w:hAnsi="Times New Roman;sans-serif"/>
          <w:b w:val="false"/>
          <w:color w:val="000000"/>
          <w:sz w:val="22"/>
        </w:rPr>
        <w:t xml:space="preserve">"), (e) an option agreement, substantially in the form attached hereto as </w:t>
      </w:r>
      <w:r>
        <w:rPr>
          <w:rFonts w:ascii="Times New Roman;sans-serif" w:hAnsi="Times New Roman;sans-serif"/>
          <w:b w:val="false"/>
          <w:color w:val="000000"/>
          <w:sz w:val="22"/>
          <w:u w:val="single"/>
        </w:rPr>
        <w:t>Exhibit F</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color w:val="000000"/>
          <w:sz w:val="22"/>
          <w:u w:val="single"/>
        </w:rPr>
        <w:t>Option Agreement</w:t>
      </w:r>
      <w:r>
        <w:rPr>
          <w:rFonts w:ascii="Times New Roman;sans-serif" w:hAnsi="Times New Roman;sans-serif"/>
          <w:b w:val="false"/>
          <w:color w:val="000000"/>
          <w:sz w:val="22"/>
        </w:rPr>
        <w:t xml:space="preserve">"), and (f) a contractor use agreement, substantially in the form attached hereto as </w:t>
      </w:r>
      <w:r>
        <w:rPr>
          <w:rFonts w:ascii="Times New Roman;sans-serif" w:hAnsi="Times New Roman;sans-serif"/>
          <w:b w:val="false"/>
          <w:color w:val="000000"/>
          <w:sz w:val="22"/>
          <w:u w:val="single"/>
        </w:rPr>
        <w:t>Schedule 2.10(d)</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color w:val="000000"/>
          <w:sz w:val="22"/>
          <w:u w:val="single"/>
        </w:rPr>
        <w:t>Contractor Use Agreement</w:t>
      </w:r>
      <w:r>
        <w:rPr>
          <w:rFonts w:ascii="Times New Roman;sans-serif" w:hAnsi="Times New Roman;sans-serif"/>
          <w:b w:val="false"/>
          <w:color w:val="000000"/>
          <w:sz w:val="22"/>
        </w:rPr>
        <w:t xml:space="preserve">"), each effective as of the Initial Closing; </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 xml:space="preserve">WHEREAS, concurrently with the Initial Closing, the Purchaser, Seller and TopCo will execute and deliver an economic share agreement, substantially in the form attached hereto as </w:t>
      </w:r>
      <w:r>
        <w:rPr>
          <w:rFonts w:ascii="Times New Roman;sans-serif" w:hAnsi="Times New Roman;sans-serif"/>
          <w:b w:val="false"/>
          <w:color w:val="000000"/>
          <w:sz w:val="22"/>
          <w:u w:val="single"/>
        </w:rPr>
        <w:t>Exhibit H</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color w:val="000000"/>
          <w:sz w:val="22"/>
          <w:u w:val="single"/>
        </w:rPr>
        <w:t>Seller Economic Share Agreement</w:t>
      </w:r>
      <w:r>
        <w:rPr>
          <w:rFonts w:ascii="Times New Roman;sans-serif" w:hAnsi="Times New Roman;sans-serif"/>
          <w:b w:val="false"/>
          <w:color w:val="000000"/>
          <w:sz w:val="22"/>
        </w:rPr>
        <w:t xml:space="preserve">"), effective as of the Initial Closing; </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 xml:space="preserve">WHEREAS, concurrently with the Initial Closing, the Landlord, Purchaser and Seller will execute and deliver a written landlord consent to the sublease agreement, substantially in the form attached hereto as </w:t>
      </w:r>
      <w:r>
        <w:rPr>
          <w:rFonts w:ascii="Times New Roman;sans-serif" w:hAnsi="Times New Roman;sans-serif"/>
          <w:b w:val="false"/>
          <w:color w:val="000000"/>
          <w:sz w:val="22"/>
          <w:u w:val="single"/>
        </w:rPr>
        <w:t>Exhibit E</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color w:val="000000"/>
          <w:sz w:val="22"/>
          <w:u w:val="single"/>
        </w:rPr>
        <w:t>Landlord Consent to Sublease Agreement</w:t>
      </w:r>
      <w:r>
        <w:rPr>
          <w:rFonts w:ascii="Times New Roman;sans-serif" w:hAnsi="Times New Roman;sans-serif"/>
          <w:b w:val="false"/>
          <w:color w:val="000000"/>
          <w:sz w:val="22"/>
        </w:rPr>
        <w:t>"), effective as of the Initial Closing;</w:t>
      </w:r>
    </w:p>
    <w:p>
      <w:pPr>
        <w:pStyle w:val="TextBody"/>
        <w:bidi w:val="0"/>
        <w:spacing w:lineRule="auto" w:line="240" w:before="24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concurrently with the Lease Assignment Closing, the Purchaser and Seller will execute and deliver the Lease Assignment Agreement, and the Landlord, Purchaser and Seller will execute and deliver the Landlord Consent to Assignment (each as defined below), each effective as of the Lease Assignment Closing; and</w:t>
      </w:r>
    </w:p>
    <w:p>
      <w:pPr>
        <w:pStyle w:val="TextBody"/>
        <w:bidi w:val="0"/>
        <w:spacing w:lineRule="auto" w:line="240" w:before="24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WHEREAS, the Parties desire to make certain representations, warranties, covenants and agreements, as set forth more fully herein, in connection with this Agreement and the Transactions (as defined below). </w:t>
      </w:r>
    </w:p>
    <w:p>
      <w:pPr>
        <w:pStyle w:val="TextBody"/>
        <w:bidi w:val="0"/>
        <w:spacing w:lineRule="auto" w:line="240" w:before="24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for good and valuable consideration, the receipt and sufficiency of which are hereby acknowledged, and in consideration of the foregoing and the representations, warranties, covenants and agreements contained herein, the Parties, intending to be legally bound, hereby agree as follows:</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ARTICLE I</w:t>
        <w:br/>
        <w:br/>
        <w:t>DEFINITIONS AND TERMS</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98.2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1.1    Definitions</w:t>
      </w:r>
      <w:r>
        <w:rPr>
          <w:rFonts w:ascii="Times New Roman;sans-serif" w:hAnsi="Times New Roman;sans-serif"/>
          <w:b w:val="false"/>
          <w:color w:val="000000"/>
          <w:sz w:val="22"/>
        </w:rPr>
        <w:t>. As used in this Agreement, the following terms shall have the meanings set forth or as referenced below:</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Action</w:t>
      </w:r>
      <w:r>
        <w:rPr>
          <w:rFonts w:ascii="Times New Roman;sans-serif" w:hAnsi="Times New Roman;sans-serif"/>
          <w:b w:val="false"/>
          <w:color w:val="000000"/>
          <w:sz w:val="22"/>
        </w:rPr>
        <w:t>" shall mean any suit, cause of action, charge, audit, investigation, penalty, assessment, fine, mediation, arbitration, claim, complaint, criminal prosecution, governmental or other administrative proceeding, whether at law or at equity or by any court or Governmental Entity, or before any mediator, arbitrator or other tribunal.</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Affiliate</w:t>
      </w:r>
      <w:r>
        <w:rPr>
          <w:rFonts w:ascii="Times New Roman;sans-serif" w:hAnsi="Times New Roman;sans-serif"/>
          <w:b w:val="false"/>
          <w:color w:val="000000"/>
          <w:sz w:val="22"/>
        </w:rPr>
        <w:t>" shall mean, with respect to any Person, any other Person directly or indirectly controlling, controlled by, or under common control with, such Person at any time during the period for which the determination of affiliation is being made. For purposes of this definition, "control" of a Person means the power, direct or indirect, to direct or cause the direction of the management and policies of such Person whether by Contract or otherwise.</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Agreement</w:t>
      </w:r>
      <w:r>
        <w:rPr>
          <w:rFonts w:ascii="Times New Roman;sans-serif" w:hAnsi="Times New Roman;sans-serif"/>
          <w:b w:val="false"/>
          <w:color w:val="000000"/>
          <w:sz w:val="22"/>
        </w:rPr>
        <w:t>" shall mean this Framework Agreement, including all Schedules and Exhibits attached hereto, as the same may be amended, modified or supplemented from time to time in accordance with the terms hereof.</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Allocation</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2.7(a)</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Allocation Adjustment Notice</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2.7(a)</w:t>
      </w:r>
      <w:r>
        <w:rPr>
          <w:rFonts w:ascii="Times New Roman;sans-serif" w:hAnsi="Times New Roman;sans-serif"/>
          <w:b w:val="false"/>
          <w:color w:val="000000"/>
          <w:sz w:val="22"/>
        </w:rPr>
        <w:t>.</w:t>
      </w:r>
    </w:p>
    <w:p>
      <w:pPr>
        <w:pStyle w:val="TextBody"/>
        <w:bidi w:val="0"/>
        <w:spacing w:lineRule="auto" w:line="276"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Ancillary Agreements</w:t>
      </w:r>
      <w:r>
        <w:rPr>
          <w:rFonts w:ascii="Times New Roman;sans-serif" w:hAnsi="Times New Roman;sans-serif"/>
          <w:b w:val="false"/>
          <w:color w:val="000000"/>
          <w:sz w:val="22"/>
        </w:rPr>
        <w:t>" shall mean the Asset Assignment Agreement, Services Agreement, Transitional Services Agreement, Sublease Agreement, Landlord Consent to Sublease Agreement, Option Agreement, Lease Assignment Agreement and Landlord Consent to Assignment, Seller Economic Share Agreement, the Equity Commitment Letters, License Agreement, and the Sub-License Agreement.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Antitrust Laws</w:t>
      </w:r>
      <w:r>
        <w:rPr>
          <w:rFonts w:ascii="Times New Roman;sans-serif" w:hAnsi="Times New Roman;sans-serif"/>
          <w:b w:val="false"/>
          <w:color w:val="000000"/>
          <w:sz w:val="22"/>
        </w:rPr>
        <w:t>" shall mean the Sherman Act, as amended, the Clayton Act, as amended, the Hart-Scott-Rodino Antitrust Improvements Act of 1976, as amended, the Federal Trade Commission Act, as amended, and all other federal, state and foreign statutes, rules, regulations, Orders, decrees, administrative and judicial doctrines, and other laws that are designed or intended to prohibit, restrict or regulate actions having the purpose or effect of monopolization or restraint of trade or lessening of competition through merger or acquisition</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Asset Assignment Agreement</w:t>
      </w:r>
      <w:r>
        <w:rPr>
          <w:rFonts w:ascii="Times New Roman;sans-serif" w:hAnsi="Times New Roman;sans-serif"/>
          <w:b w:val="false"/>
          <w:color w:val="000000"/>
          <w:sz w:val="22"/>
        </w:rPr>
        <w:t xml:space="preserve">" shall have the meaning set forth in the </w:t>
      </w:r>
      <w:r>
        <w:rPr>
          <w:rFonts w:ascii="Times New Roman;sans-serif" w:hAnsi="Times New Roman;sans-serif"/>
          <w:b w:val="false"/>
          <w:color w:val="000000"/>
          <w:sz w:val="22"/>
          <w:u w:val="single"/>
        </w:rPr>
        <w:t>Recitals</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Assumed Contracts</w:t>
      </w:r>
      <w:r>
        <w:rPr>
          <w:rFonts w:ascii="Times New Roman;sans-serif" w:hAnsi="Times New Roman;sans-serif"/>
          <w:b w:val="false"/>
          <w:color w:val="000000"/>
          <w:sz w:val="22"/>
        </w:rPr>
        <w:t xml:space="preserve">" shall mean all Contracts set forth on </w:t>
      </w:r>
      <w:r>
        <w:rPr>
          <w:rFonts w:ascii="Times New Roman;sans-serif" w:hAnsi="Times New Roman;sans-serif"/>
          <w:b w:val="false"/>
          <w:color w:val="000000"/>
          <w:sz w:val="22"/>
          <w:u w:val="single"/>
        </w:rPr>
        <w:t>Schedule 1.1(a)</w:t>
      </w:r>
      <w:r>
        <w:rPr>
          <w:color w:val="000000"/>
        </w:rPr>
        <w:t xml:space="preserve"> </w:t>
      </w:r>
      <w:r>
        <w:rPr>
          <w:rFonts w:ascii="Times New Roman;sans-serif" w:hAnsi="Times New Roman;sans-serif"/>
          <w:b w:val="false"/>
          <w:color w:val="000000"/>
          <w:sz w:val="22"/>
        </w:rPr>
        <w:t xml:space="preserve">related to the Facility or any of the Purchased Assets as described in clauses (iii) through (vi) of </w:t>
      </w:r>
      <w:r>
        <w:rPr>
          <w:rFonts w:ascii="Times New Roman;sans-serif" w:hAnsi="Times New Roman;sans-serif"/>
          <w:b w:val="false"/>
          <w:color w:val="000000"/>
          <w:sz w:val="22"/>
          <w:u w:val="single"/>
        </w:rPr>
        <w:t>Section 2.1(a)</w:t>
      </w:r>
      <w:r>
        <w:rPr>
          <w:color w:val="000000"/>
        </w:rPr>
        <w:t xml:space="preserve"> </w:t>
      </w:r>
      <w:r>
        <w:rPr>
          <w:rFonts w:ascii="Times New Roman;sans-serif" w:hAnsi="Times New Roman;sans-serif"/>
          <w:b w:val="false"/>
          <w:color w:val="000000"/>
          <w:sz w:val="22"/>
        </w:rPr>
        <w:t xml:space="preserve">to which Seller or any of its Affiliates is a party, excluding the Facility Lease but including any other Contract entered into on or after the date hereof and on or prior to the Initial Closing Date in accordance with </w:t>
      </w:r>
      <w:r>
        <w:rPr>
          <w:rFonts w:ascii="Times New Roman;sans-serif" w:hAnsi="Times New Roman;sans-serif"/>
          <w:b w:val="false"/>
          <w:color w:val="000000"/>
          <w:sz w:val="22"/>
          <w:u w:val="single"/>
        </w:rPr>
        <w:t>Section 6.1</w:t>
      </w:r>
      <w:r>
        <w:rPr>
          <w:color w:val="000000"/>
        </w:rPr>
        <w:t xml:space="preserve"> </w:t>
      </w:r>
      <w:r>
        <w:rPr>
          <w:rFonts w:ascii="Times New Roman;sans-serif" w:hAnsi="Times New Roman;sans-serif"/>
          <w:b w:val="false"/>
          <w:color w:val="000000"/>
          <w:sz w:val="22"/>
        </w:rPr>
        <w:t xml:space="preserve">that relates to the Facility or any of the Purchased Assets as described in clauses (iii) through (vi) of </w:t>
      </w:r>
      <w:r>
        <w:rPr>
          <w:rFonts w:ascii="Times New Roman;sans-serif" w:hAnsi="Times New Roman;sans-serif"/>
          <w:b w:val="false"/>
          <w:color w:val="000000"/>
          <w:sz w:val="22"/>
          <w:u w:val="single"/>
        </w:rPr>
        <w:t>Section 2.1(a)</w:t>
      </w:r>
      <w:r>
        <w:rPr>
          <w:color w:val="000000"/>
        </w:rPr>
        <w:t xml:space="preserve"> </w:t>
      </w:r>
      <w:r>
        <w:rPr>
          <w:rFonts w:ascii="Times New Roman;sans-serif" w:hAnsi="Times New Roman;sans-serif"/>
          <w:b w:val="false"/>
          <w:color w:val="000000"/>
          <w:sz w:val="22"/>
        </w:rPr>
        <w:t>to which Seller or any of its Affiliates is a party, but excluding, in each case, any Excluded Contracts.</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Assumed Liabilities</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2.4</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Bankruptcy/Dissolution Event</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4.20</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Basket</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9.4(a)</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Business Day</w:t>
      </w:r>
      <w:r>
        <w:rPr>
          <w:rFonts w:ascii="Times New Roman;sans-serif" w:hAnsi="Times New Roman;sans-serif"/>
          <w:b w:val="false"/>
          <w:color w:val="000000"/>
          <w:sz w:val="22"/>
        </w:rPr>
        <w:t>" shall mean any day other than a Saturday, a Sunday or a day on which banks in San Francisco, California and Hong Kong Special Administrative Region are authorized or obligated by applicable Law or executive Order to close.</w:t>
      </w:r>
    </w:p>
    <w:p>
      <w:pPr>
        <w:pStyle w:val="TextBody"/>
        <w:bidi w:val="0"/>
        <w:spacing w:lineRule="auto" w:line="240" w:before="24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60655"/>
                <wp:effectExtent l="0" t="0" r="0" b="0"/>
                <wp:wrapNone/>
                <wp:docPr id="131" name="Frame1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9.4(a)</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Cash Equivalents</w:t>
      </w:r>
      <w:r>
        <w:rPr>
          <w:rFonts w:ascii="Times New Roman;sans-serif" w:hAnsi="Times New Roman;sans-serif"/>
          <w:b w:val="false"/>
          <w:color w:val="000000"/>
          <w:sz w:val="22"/>
        </w:rPr>
        <w:t>" shall mean cash, checks, money orders, marketable securities, short-term instruments and other cash equivalents, funds in time and demand deposits or similar accounts, and any evidence of indebtedness issued or guaranteed by any Governmental Entity.</w:t>
      </w:r>
    </w:p>
    <w:p>
      <w:pPr>
        <w:pStyle w:val="TextBody"/>
        <w:bidi w:val="0"/>
        <w:spacing w:lineRule="auto" w:line="240" w:before="24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lineRule="auto" w:line="276" w:before="24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Claim Period</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9.5(d)</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Code</w:t>
      </w:r>
      <w:r>
        <w:rPr>
          <w:rFonts w:ascii="Times New Roman;sans-serif" w:hAnsi="Times New Roman;sans-serif"/>
          <w:b w:val="false"/>
          <w:color w:val="000000"/>
          <w:sz w:val="22"/>
        </w:rPr>
        <w:t>" shall mean the United States Internal Revenue Code of 1986, as amended.</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Confidential Information</w:t>
      </w:r>
      <w:r>
        <w:rPr>
          <w:rFonts w:ascii="Times New Roman;sans-serif" w:hAnsi="Times New Roman;sans-serif"/>
          <w:b w:val="false"/>
          <w:color w:val="000000"/>
          <w:sz w:val="22"/>
        </w:rPr>
        <w:t>" shall mean all ideas, information and materials that are confidential and/or proprietary to a Person and are not generally known to the public including Trade Secrets and confidential and/or proprietary information derived from reports, investigations, research, work in progress, codes, marketing and sales programs, financial projections, cost summaries, pricing formulae, contract analyses, financial information, confidential filings with any state or federal agency, methods of doing business, and materials prepared for, by or on behalf of such Person by its employees, officers, directors, agents, consultants or other Representatives.</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Confidentiality Agreement</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10.7(a)</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Contract</w:t>
      </w:r>
      <w:r>
        <w:rPr>
          <w:rFonts w:ascii="Times New Roman;sans-serif" w:hAnsi="Times New Roman;sans-serif"/>
          <w:b w:val="false"/>
          <w:color w:val="000000"/>
          <w:sz w:val="22"/>
        </w:rPr>
        <w:t>" shall mean any written or oral agreement, contract, subcontract, settlement agreement, lease, sublease, binding understanding, instrument, note, option, bond, mortgage, indenture, trust document, loan or credit agreement, license, sublicense, insurance policy or legally binding commitment or undertaking of any nature, as in effect as of the date hereof or as may hereinafter be in effect.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Copyrights</w:t>
      </w:r>
      <w:r>
        <w:rPr>
          <w:rFonts w:ascii="Times New Roman;sans-serif" w:hAnsi="Times New Roman;sans-serif"/>
          <w:b w:val="false"/>
          <w:color w:val="000000"/>
          <w:sz w:val="22"/>
        </w:rPr>
        <w:t>" shall mean all rights in copyrightable works, mask works, works of authorship and moral rights, including copyrights in computer programs, Software (whether in object code or source code), databases, data collections, data compilations and related documents, and all other rights corresponding thereto throughout the world, whether published or unpublished, including rights to use, reproduce, display, perform, modify, enhance, distribute and prepare derivative works thereof, and any registrations or applications for any of the foregoing, including renewals and extensions.</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COVID-19 Pandemic</w:t>
      </w:r>
      <w:r>
        <w:rPr>
          <w:rFonts w:ascii="Times New Roman;sans-serif" w:hAnsi="Times New Roman;sans-serif"/>
          <w:b w:val="false"/>
          <w:color w:val="000000"/>
          <w:sz w:val="22"/>
        </w:rPr>
        <w:t>" shall mean "Coronavirus Disease 2019," "COVID-19," "COVID-19 virus," "coronavirus disease" and/or the "novel coronavirus," and any strains, mutations or permutations thereof, and the outbreak, spread, and transmission thereof, efforts to control or limit the spread and transmission thereof, and any other effects or consequences of the foregoing, including any action of any Governmental Entity.</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Equity Commitment Letters</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3.4(c)</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De Minimis Amount</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9.4(a)</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Deferred Asset</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2.2(a)</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Deferred Consideration</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2.6(c)</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East Wing</w:t>
      </w:r>
      <w:r>
        <w:rPr>
          <w:rFonts w:ascii="Times New Roman;sans-serif" w:hAnsi="Times New Roman;sans-serif"/>
          <w:b w:val="false"/>
          <w:color w:val="000000"/>
          <w:sz w:val="22"/>
        </w:rPr>
        <w:t>" shall mean the Phase I Premises, as defined in the Facility Lease.</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Employee Plan</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4.16(a)</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Encumbrance</w:t>
      </w:r>
      <w:r>
        <w:rPr>
          <w:rFonts w:ascii="Times New Roman;sans-serif" w:hAnsi="Times New Roman;sans-serif"/>
          <w:b w:val="false"/>
          <w:color w:val="000000"/>
          <w:sz w:val="22"/>
        </w:rPr>
        <w:t>" shall mean, with respect to the Facility or any Purchased Asset, any pledges, claims, liens, licenses, charges, encumbrances and security interests of any kind or nature whatsoever.</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60655"/>
                <wp:effectExtent l="0" t="0" r="0" b="0"/>
                <wp:wrapNone/>
                <wp:docPr id="132" name="Frame1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Environmental Claim</w:t>
      </w:r>
      <w:r>
        <w:rPr>
          <w:rFonts w:ascii="Times New Roman;sans-serif" w:hAnsi="Times New Roman;sans-serif"/>
          <w:b w:val="false"/>
          <w:color w:val="000000"/>
          <w:sz w:val="22"/>
        </w:rPr>
        <w:t>" shall mean any claim, action, cause of action, suit, proceeding, investigation, order, demand or notice by any Person alleging actual or potential liability (including actual or potential liability for investigatory costs, cleanup, cleanup costs, governmental response costs, natural resources damages, property damages, personal injuries, attorneys' fees or penalties) arising out of, based on, resulting from or relating to (i) the presence, Release of, or exposure to any Hazardous Materials or (ii) circumstances forming the basis of any violation, or alleged violation, of, or liability with respect to, any Environmental Law.</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Environmental Law</w:t>
      </w:r>
      <w:r>
        <w:rPr>
          <w:rFonts w:ascii="Times New Roman;sans-serif" w:hAnsi="Times New Roman;sans-serif"/>
          <w:b w:val="false"/>
          <w:color w:val="000000"/>
          <w:sz w:val="22"/>
        </w:rPr>
        <w:t>" shall mean all federal, state, local, foreign and common laws, statutes, codes, regulations, ordinances and other enforceable requirements of Governmental Entities relating to (i) pollution or protection of human health and safety (including workplace health and safety), (ii) the protection, restoration or cleanup of or prevention of harm to the environment (including, without limitation, ambient air, surface water, groundwater, land surface or subsurface strata, and natural resources), (iii) the exposure to, or Releases or threatened Releases of, Hazardous Materials, (iv) the manufacture, processing, distribution, use, treatment, generation, storage, containment, disposal, transport or handling of Hazardous Materials, or (v) recordkeeping, notification, disclosure and reporting requirements regarding Hazardous Materials, as well as all authorizations, codes, decrees, demands or demand letters, injunctions, judgments, licenses, notices or notice letters, orders, permits, plans or regulations issued, entered, promulgated or approved thereunder.</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Environmental Permits</w:t>
      </w:r>
      <w:r>
        <w:rPr>
          <w:rFonts w:ascii="Times New Roman;sans-serif" w:hAnsi="Times New Roman;sans-serif"/>
          <w:b w:val="false"/>
          <w:color w:val="000000"/>
          <w:sz w:val="22"/>
        </w:rPr>
        <w:t>" shall mean permits, licenses, approvals, exemptions, registrations, certificates, identification numbers or other authorizations issued pursuant to Environmental Law.</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Equipment</w:t>
      </w:r>
      <w:r>
        <w:rPr>
          <w:rFonts w:ascii="Times New Roman;sans-serif" w:hAnsi="Times New Roman;sans-serif"/>
          <w:b w:val="false"/>
          <w:color w:val="000000"/>
          <w:sz w:val="22"/>
        </w:rPr>
        <w:t>" shall mean all machinery, manufacturing and servicing equipment (including any computers, peripherals or other electronics integrated with such equipment), spare parts, and tangible tools and tooling that is (i) located at the Facility as of the date hereof or the Initial Closing Date, (ii) owned or leased by Seller and (iii) reasonably necessary or useful in the future Exploitation of the other Purchased Assets or in the future operation of the Facility pursuant to the Facility Lease.</w:t>
      </w:r>
    </w:p>
    <w:p>
      <w:pPr>
        <w:pStyle w:val="TextBody"/>
        <w:bidi w:val="0"/>
        <w:spacing w:lineRule="auto" w:line="276"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ERISA</w:t>
      </w:r>
      <w:r>
        <w:rPr>
          <w:rFonts w:ascii="Times New Roman;sans-serif" w:hAnsi="Times New Roman;sans-serif"/>
          <w:b w:val="false"/>
          <w:color w:val="000000"/>
          <w:sz w:val="22"/>
        </w:rPr>
        <w:t>" shall mean the Employee Retirement Income Security Act of 1974, as amended.</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ERISA Affiliate</w:t>
      </w:r>
      <w:r>
        <w:rPr>
          <w:rFonts w:ascii="Times New Roman;sans-serif" w:hAnsi="Times New Roman;sans-serif"/>
          <w:b w:val="false"/>
          <w:color w:val="000000"/>
          <w:sz w:val="22"/>
        </w:rPr>
        <w:t>" shall mean each Person (whether or not incorporated), trade or business that at any relevant time would be required to be treated together with Seller as a "single employer" under Section 414 of the Code.</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Excluded Assets</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2.3</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Excluded Contracts</w:t>
      </w:r>
      <w:r>
        <w:rPr>
          <w:rFonts w:ascii="Times New Roman;sans-serif" w:hAnsi="Times New Roman;sans-serif"/>
          <w:b w:val="false"/>
          <w:color w:val="000000"/>
          <w:sz w:val="22"/>
        </w:rPr>
        <w:t xml:space="preserve">" shall mean all Contracts listed on </w:t>
      </w:r>
      <w:r>
        <w:rPr>
          <w:rFonts w:ascii="Times New Roman;sans-serif" w:hAnsi="Times New Roman;sans-serif"/>
          <w:b w:val="false"/>
          <w:color w:val="000000"/>
          <w:sz w:val="22"/>
          <w:u w:val="single"/>
        </w:rPr>
        <w:t>Schedule 1.1(b)</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Excluded Liabilities</w:t>
      </w:r>
      <w:r>
        <w:rPr>
          <w:rFonts w:ascii="Times New Roman;sans-serif" w:hAnsi="Times New Roman;sans-serif"/>
          <w:b w:val="false"/>
          <w:color w:val="000000"/>
          <w:sz w:val="22"/>
        </w:rPr>
        <w:t>" shall mean all Liabilities, other than the Assumed Liabilities or as provided in the Ancillary Agreements, of Seller or any of its Affiliates, including all Liabilities, whether arising before, on or after the Initial Closing Date arising out of, resulting from or related to the Excluded Assets.</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Excluded Records</w:t>
      </w:r>
      <w:r>
        <w:rPr>
          <w:rFonts w:ascii="Times New Roman;sans-serif" w:hAnsi="Times New Roman;sans-serif"/>
          <w:b w:val="false"/>
          <w:color w:val="000000"/>
          <w:sz w:val="22"/>
        </w:rPr>
        <w:t xml:space="preserve">" shall mean (i) any Tax Return of Seller or any of its Affiliates to the extent it does not pertain solely to the Purchased Assets, (ii) all personnel records pertaining to any personnel of Seller and any of its Affiliates, excluding any records pertaining to Transferred Workers, (iii) any attorney work product, attorney-client communications and other items protected by attorney-client privilege and (iv) any Records specifically described on </w:t>
      </w:r>
      <w:r>
        <w:rPr>
          <w:rFonts w:ascii="Times New Roman;sans-serif" w:hAnsi="Times New Roman;sans-serif"/>
          <w:b w:val="false"/>
          <w:color w:val="000000"/>
          <w:sz w:val="22"/>
          <w:u w:val="single"/>
        </w:rPr>
        <w:t>Schedule 1.1(d)</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Excluded Tangible Assets</w:t>
      </w:r>
      <w:r>
        <w:rPr>
          <w:rFonts w:ascii="Times New Roman;sans-serif" w:hAnsi="Times New Roman;sans-serif"/>
          <w:b w:val="false"/>
          <w:color w:val="000000"/>
          <w:sz w:val="22"/>
        </w:rPr>
        <w:t xml:space="preserve">" shall mean all tangible assets located at the Facility that are not related to the Facility or the Purchased Assets or are not Transferred Tangible Assets, including the tangible assets set forth on </w:t>
      </w:r>
      <w:r>
        <w:rPr>
          <w:rFonts w:ascii="Times New Roman;sans-serif" w:hAnsi="Times New Roman;sans-serif"/>
          <w:b w:val="false"/>
          <w:color w:val="000000"/>
          <w:sz w:val="22"/>
          <w:u w:val="single"/>
        </w:rPr>
        <w:t xml:space="preserve">Schedule 1.1(e). </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Expiration Date</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9.1</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Exploit</w:t>
      </w:r>
      <w:r>
        <w:rPr>
          <w:rFonts w:ascii="Times New Roman;sans-serif" w:hAnsi="Times New Roman;sans-serif"/>
          <w:b w:val="false"/>
          <w:color w:val="000000"/>
          <w:sz w:val="22"/>
        </w:rPr>
        <w:t>" (including with correlative meaning the terms "</w:t>
      </w:r>
      <w:r>
        <w:rPr>
          <w:rFonts w:ascii="Times New Roman;sans-serif" w:hAnsi="Times New Roman;sans-serif"/>
          <w:b w:val="false"/>
          <w:color w:val="000000"/>
          <w:sz w:val="22"/>
          <w:u w:val="single"/>
        </w:rPr>
        <w:t>Exploitation</w:t>
      </w:r>
      <w:r>
        <w:rPr>
          <w:rFonts w:ascii="Times New Roman;sans-serif" w:hAnsi="Times New Roman;sans-serif"/>
          <w:b w:val="false"/>
          <w:color w:val="000000"/>
          <w:sz w:val="22"/>
        </w:rPr>
        <w:t>" and "</w:t>
      </w:r>
      <w:r>
        <w:rPr>
          <w:rFonts w:ascii="Times New Roman;sans-serif" w:hAnsi="Times New Roman;sans-serif"/>
          <w:b w:val="false"/>
          <w:color w:val="000000"/>
          <w:sz w:val="22"/>
          <w:u w:val="single"/>
        </w:rPr>
        <w:t>Exploited</w:t>
      </w:r>
      <w:r>
        <w:rPr>
          <w:rFonts w:ascii="Times New Roman;sans-serif" w:hAnsi="Times New Roman;sans-serif"/>
          <w:b w:val="false"/>
          <w:color w:val="000000"/>
          <w:sz w:val="22"/>
        </w:rPr>
        <w:t>") shall mean any or all of the following: research, development, design, test, modify, manufacture, service, make, use, sell, have made, used or sold, offer for sale, import, reproduce, promote, market, distribute, commercialize, support, maintain, correct and create derivative works or, as the context requires, operate the Facility to manufacture therapeutic or diagnostic products.</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60655"/>
                <wp:effectExtent l="0" t="0" r="0" b="0"/>
                <wp:wrapNone/>
                <wp:docPr id="133" name="Frame1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Facility</w:t>
      </w:r>
      <w:r>
        <w:rPr>
          <w:rFonts w:ascii="Times New Roman;sans-serif" w:hAnsi="Times New Roman;sans-serif"/>
          <w:b w:val="false"/>
          <w:color w:val="000000"/>
          <w:sz w:val="22"/>
        </w:rPr>
        <w:t>" shall mean the manufacturing facility, and other real property and improvements leased by Seller pursuant to the Facility Lease, located at 1430 Harbor Bay Parkway, Alameda, California, as more particularly described in the Facility Lease, which includes without limitations, for the avoidance of doubt, a West Wing, an East Wing, a warehouse, quality control testing labs, and office support areas.</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Facility Lease</w:t>
      </w:r>
      <w:r>
        <w:rPr>
          <w:rFonts w:ascii="Times New Roman;sans-serif" w:hAnsi="Times New Roman;sans-serif"/>
          <w:b w:val="false"/>
          <w:color w:val="000000"/>
          <w:sz w:val="22"/>
        </w:rPr>
        <w:t xml:space="preserve">" shall mean that certain Research and Development and Laboratory Lease Agreement for the Facility, dated as of June 3, 2021, between Landlord and Seller and all amendments, modifications and supplemental agreements thereto, and guarantees thereof. </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Facility Workers</w:t>
      </w:r>
      <w:r>
        <w:rPr>
          <w:rFonts w:ascii="Times New Roman;sans-serif" w:hAnsi="Times New Roman;sans-serif"/>
          <w:b w:val="false"/>
          <w:color w:val="000000"/>
          <w:sz w:val="22"/>
        </w:rPr>
        <w:t xml:space="preserve">" shall mean: (i) all current Seller employees or individuals currently engaged as independent contractors located at or primarily reporting to (whether remote or otherwise) the Facility, unless expressly excluded as set forth on </w:t>
      </w:r>
      <w:r>
        <w:rPr>
          <w:rFonts w:ascii="Times New Roman;sans-serif" w:hAnsi="Times New Roman;sans-serif"/>
          <w:b w:val="false"/>
          <w:color w:val="000000"/>
          <w:sz w:val="22"/>
          <w:u w:val="single"/>
        </w:rPr>
        <w:t>Schedule 1.1(c)</w:t>
      </w:r>
      <w:r>
        <w:rPr>
          <w:rFonts w:ascii="Times New Roman;sans-serif" w:hAnsi="Times New Roman;sans-serif"/>
          <w:b w:val="false"/>
          <w:color w:val="000000"/>
          <w:sz w:val="22"/>
        </w:rPr>
        <w:t xml:space="preserve">; (ii) any other employee of Seller or its Affiliates listed as a Facility Worker on </w:t>
      </w:r>
      <w:r>
        <w:rPr>
          <w:rFonts w:ascii="Times New Roman;sans-serif" w:hAnsi="Times New Roman;sans-serif"/>
          <w:b w:val="false"/>
          <w:color w:val="000000"/>
          <w:sz w:val="22"/>
          <w:u w:val="single"/>
        </w:rPr>
        <w:t>Schedule 1.1(c)</w:t>
      </w:r>
      <w:r>
        <w:rPr>
          <w:rFonts w:ascii="Times New Roman;sans-serif" w:hAnsi="Times New Roman;sans-serif"/>
          <w:b w:val="false"/>
          <w:color w:val="000000"/>
          <w:sz w:val="22"/>
        </w:rPr>
        <w:t xml:space="preserve">; and (iii) Seller's independent contractors listed on </w:t>
      </w:r>
      <w:r>
        <w:rPr>
          <w:rFonts w:ascii="Times New Roman;sans-serif" w:hAnsi="Times New Roman;sans-serif"/>
          <w:b w:val="false"/>
          <w:color w:val="000000"/>
          <w:sz w:val="22"/>
          <w:u w:val="single"/>
        </w:rPr>
        <w:t>Schedule 1.1(c)</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in each case, that such employee or independent contractor remains employed or engaged by Seller as of the day Purchaser may provide them with offers of employment or engagement (as applicable) in accordance with this Agreement. For the avoidance of doubt, </w:t>
      </w:r>
      <w:r>
        <w:rPr>
          <w:rFonts w:ascii="Times New Roman;sans-serif" w:hAnsi="Times New Roman;sans-serif"/>
          <w:b w:val="false"/>
          <w:color w:val="000000"/>
          <w:sz w:val="22"/>
          <w:u w:val="single"/>
        </w:rPr>
        <w:t>Schedule 1.1(c)</w:t>
      </w:r>
      <w:r>
        <w:rPr>
          <w:color w:val="000000"/>
        </w:rPr>
        <w:t xml:space="preserve"> </w:t>
      </w:r>
      <w:r>
        <w:rPr>
          <w:rFonts w:ascii="Times New Roman;sans-serif" w:hAnsi="Times New Roman;sans-serif"/>
          <w:b w:val="false"/>
          <w:color w:val="000000"/>
          <w:sz w:val="22"/>
        </w:rPr>
        <w:t>may be updated upon the mutual agreement of the Parties.</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FDA</w:t>
      </w:r>
      <w:r>
        <w:rPr>
          <w:rFonts w:ascii="Times New Roman;sans-serif" w:hAnsi="Times New Roman;sans-serif"/>
          <w:b w:val="false"/>
          <w:color w:val="000000"/>
          <w:sz w:val="22"/>
        </w:rPr>
        <w:t>" shall mean the United States Food and Drug Administration and any successor agency.</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Final Tranche Payment</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2.6(c)</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Fraud</w:t>
      </w:r>
      <w:r>
        <w:rPr>
          <w:rFonts w:ascii="Times New Roman;sans-serif" w:hAnsi="Times New Roman;sans-serif"/>
          <w:b w:val="false"/>
          <w:color w:val="000000"/>
          <w:sz w:val="22"/>
        </w:rPr>
        <w:t xml:space="preserve">" shall mean actual and intentional misrepresentation of a material existing fact in connection with the representations and warranties set forth in </w:t>
      </w:r>
      <w:r>
        <w:rPr>
          <w:rFonts w:ascii="Times New Roman;sans-serif" w:hAnsi="Times New Roman;sans-serif"/>
          <w:b w:val="false"/>
          <w:color w:val="000000"/>
          <w:sz w:val="22"/>
          <w:u w:val="single"/>
        </w:rPr>
        <w:t>Article IV</w:t>
      </w:r>
      <w:r>
        <w:rPr>
          <w:color w:val="000000"/>
        </w:rPr>
        <w:t xml:space="preserve"> </w:t>
      </w:r>
      <w:r>
        <w:rPr>
          <w:rFonts w:ascii="Times New Roman;sans-serif" w:hAnsi="Times New Roman;sans-serif"/>
          <w:b w:val="false"/>
          <w:color w:val="000000"/>
          <w:sz w:val="22"/>
        </w:rPr>
        <w:t xml:space="preserve">(with respect to Seller) or </w:t>
      </w:r>
      <w:r>
        <w:rPr>
          <w:rFonts w:ascii="Times New Roman;sans-serif" w:hAnsi="Times New Roman;sans-serif"/>
          <w:b w:val="false"/>
          <w:color w:val="000000"/>
          <w:sz w:val="22"/>
          <w:u w:val="single"/>
        </w:rPr>
        <w:t>Article V</w:t>
      </w:r>
      <w:r>
        <w:rPr>
          <w:color w:val="000000"/>
        </w:rPr>
        <w:t xml:space="preserve"> </w:t>
      </w:r>
      <w:r>
        <w:rPr>
          <w:rFonts w:ascii="Times New Roman;sans-serif" w:hAnsi="Times New Roman;sans-serif"/>
          <w:b w:val="false"/>
          <w:color w:val="000000"/>
          <w:sz w:val="22"/>
        </w:rPr>
        <w:t>(with respect to Purchaser) of this Agreement with actual knowledge of its falsity and made for the purpose of inducing the other Party to act, and upon which the other Party justifiably relies with resulting Losses.</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FTC</w:t>
      </w:r>
      <w:r>
        <w:rPr>
          <w:rFonts w:ascii="Times New Roman;sans-serif" w:hAnsi="Times New Roman;sans-serif"/>
          <w:b w:val="false"/>
          <w:color w:val="000000"/>
          <w:sz w:val="22"/>
        </w:rPr>
        <w:t>" shall mean the United States Federal Trade Commission.</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Fundamental Reps</w:t>
      </w:r>
      <w:r>
        <w:rPr>
          <w:rFonts w:ascii="Times New Roman;sans-serif" w:hAnsi="Times New Roman;sans-serif"/>
          <w:b w:val="false"/>
          <w:color w:val="000000"/>
          <w:sz w:val="22"/>
        </w:rPr>
        <w:t xml:space="preserve">" shall mean the representations and warranties set forth in </w:t>
      </w:r>
      <w:r>
        <w:rPr>
          <w:rFonts w:ascii="Times New Roman;sans-serif" w:hAnsi="Times New Roman;sans-serif"/>
          <w:b w:val="false"/>
          <w:color w:val="000000"/>
          <w:sz w:val="22"/>
          <w:u w:val="single"/>
        </w:rPr>
        <w:t>Section 4.1</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i/>
          <w:color w:val="000000"/>
          <w:sz w:val="22"/>
        </w:rPr>
        <w:t>Organization and Good Standing</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4.2</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i/>
          <w:color w:val="000000"/>
          <w:sz w:val="22"/>
        </w:rPr>
        <w:t>Authority</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4.18</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i/>
          <w:color w:val="000000"/>
          <w:sz w:val="22"/>
        </w:rPr>
        <w:t>Brokers</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5.1</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i/>
          <w:color w:val="000000"/>
          <w:sz w:val="22"/>
        </w:rPr>
        <w:t>Organization and Good Standing</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5.2</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i/>
          <w:color w:val="000000"/>
          <w:sz w:val="22"/>
        </w:rPr>
        <w:t>Authority</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Section 5.6</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i/>
          <w:color w:val="000000"/>
          <w:sz w:val="22"/>
        </w:rPr>
        <w:t>Brokers</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GAAP</w:t>
      </w:r>
      <w:r>
        <w:rPr>
          <w:rFonts w:ascii="Times New Roman;sans-serif" w:hAnsi="Times New Roman;sans-serif"/>
          <w:b w:val="false"/>
          <w:color w:val="000000"/>
          <w:sz w:val="22"/>
        </w:rPr>
        <w:t>" shall mean accounting principles generally accepted in the United States, as in effect as of the date hereof.</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Governmental Entity</w:t>
      </w:r>
      <w:r>
        <w:rPr>
          <w:rFonts w:ascii="Times New Roman;sans-serif" w:hAnsi="Times New Roman;sans-serif"/>
          <w:b w:val="false"/>
          <w:color w:val="000000"/>
          <w:sz w:val="22"/>
        </w:rPr>
        <w:t>" shall mean any United States federal, state or local or any foreign government or any court, administrative or other governmental or government-authorized authority, commission, department, board, tribunal, or agency, domestic, foreign or supranational, including any Regulatory Authority.</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Hazardous Materials</w:t>
      </w:r>
      <w:r>
        <w:rPr>
          <w:rFonts w:ascii="Times New Roman;sans-serif" w:hAnsi="Times New Roman;sans-serif"/>
          <w:b w:val="false"/>
          <w:color w:val="000000"/>
          <w:sz w:val="22"/>
        </w:rPr>
        <w:t>" shall mean any material, substance, chemical or waste (or combination thereof) that is listed, defined, designated, regulated or classified as hazardous, toxic, radioactive, dangerous, a pollutant, a contaminant, or words of similar meaning or effect under any Environmental Law.</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Indemnification Cap</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9.4(a)</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Indemnification Notice</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9.5(a)</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Indemnified Party</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9.5(a)</w:t>
      </w:r>
      <w:r>
        <w:rPr>
          <w:rFonts w:ascii="Times New Roman;sans-serif" w:hAnsi="Times New Roman;sans-serif"/>
          <w:b w:val="false"/>
          <w:color w:val="000000"/>
          <w:sz w:val="22"/>
        </w:rPr>
        <w:t>.</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60655"/>
                <wp:effectExtent l="0" t="0" r="0" b="0"/>
                <wp:wrapNone/>
                <wp:docPr id="134" name="Frame1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Indemnifying Party</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9.5(a)</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Independent Accounting Firm</w:t>
      </w:r>
      <w:r>
        <w:rPr>
          <w:rFonts w:ascii="Times New Roman;sans-serif" w:hAnsi="Times New Roman;sans-serif"/>
          <w:b w:val="false"/>
          <w:color w:val="000000"/>
          <w:sz w:val="22"/>
        </w:rPr>
        <w:t>" shall mean such independent accounting firm with known experiences in the construction industry to which the Parties mutually agree in writing.</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Initial Closing</w:t>
      </w:r>
      <w:r>
        <w:rPr>
          <w:rFonts w:ascii="Times New Roman;sans-serif" w:hAnsi="Times New Roman;sans-serif"/>
          <w:b w:val="false"/>
          <w:color w:val="000000"/>
          <w:sz w:val="22"/>
        </w:rPr>
        <w:t>" shall mean the consummation of the transactions contemplated by this Agreement, excluding those transaction solely related to the assignment and consent to such assignment by the Landlord of the Facility Lease, pursuant to the terms of this Agreement.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Initial Closing Consideration</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2.6(b)</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Initial Closing Date</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3.1</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Intellectual Property</w:t>
      </w:r>
      <w:r>
        <w:rPr>
          <w:rFonts w:ascii="Times New Roman;sans-serif" w:hAnsi="Times New Roman;sans-serif"/>
          <w:b w:val="false"/>
          <w:color w:val="000000"/>
          <w:sz w:val="22"/>
        </w:rPr>
        <w:t>" shall mean all intellectual property rights, intangible industrial property rights, other similar proprietary rights, and all related priority rights protected, created or arising under the Laws of the United States or any other jurisdiction or under any international convention, including (i) all Patents, Trademarks, Copyrights, Trade Secrets, and Software, (ii) all copies of tangible embodiments of the foregoing (in whatever form or medium) and any rights equivalent to any of the foregoing anywhere in the world, (iii) all royalties, fees, income, payments and other proceeds now or hereafter due or payable with respect to any of the foregoing, and (iv) all claims and causes of action, with respect to any of the foregoing, whether accruing before, on or after the date of this Agreement, including all rights to and claims for damages, restitution and injunctive relief for infringement, dilution, misappropriation, violation, misuse, breach or default, with the right but not the obligation to sue for such legal and equitable relief, and to collect, or otherwise recover, any such damages, including costs and attorney's fees.</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Knowledge of Seller</w:t>
      </w:r>
      <w:r>
        <w:rPr>
          <w:rFonts w:ascii="Times New Roman;sans-serif" w:hAnsi="Times New Roman;sans-serif"/>
          <w:b w:val="false"/>
          <w:color w:val="000000"/>
          <w:sz w:val="22"/>
        </w:rPr>
        <w:t>" or "</w:t>
      </w:r>
      <w:r>
        <w:rPr>
          <w:rFonts w:ascii="Times New Roman;sans-serif" w:hAnsi="Times New Roman;sans-serif"/>
          <w:b w:val="false"/>
          <w:color w:val="000000"/>
          <w:sz w:val="22"/>
          <w:u w:val="single"/>
        </w:rPr>
        <w:t>Seller's Knowledge</w:t>
      </w:r>
      <w:r>
        <w:rPr>
          <w:rFonts w:ascii="Times New Roman;sans-serif" w:hAnsi="Times New Roman;sans-serif"/>
          <w:b w:val="false"/>
          <w:color w:val="000000"/>
          <w:sz w:val="22"/>
        </w:rPr>
        <w:t xml:space="preserve">" shall mean the actual or constructive knowledge after duly diligent inquiry of [***], and [***]; and solely for the purposes of </w:t>
      </w:r>
      <w:r>
        <w:rPr>
          <w:rFonts w:ascii="Times New Roman;sans-serif" w:hAnsi="Times New Roman;sans-serif"/>
          <w:b w:val="false"/>
          <w:color w:val="000000"/>
          <w:sz w:val="22"/>
          <w:u w:val="single"/>
        </w:rPr>
        <w:t>Section 4.14</w:t>
      </w:r>
      <w:r>
        <w:rPr>
          <w:rFonts w:ascii="Times New Roman;sans-serif" w:hAnsi="Times New Roman;sans-serif"/>
          <w:b w:val="false"/>
          <w:color w:val="000000"/>
          <w:sz w:val="22"/>
        </w:rPr>
        <w:t xml:space="preserve">, shall include the actual or constructive knowledge of [***] or [***] after duly diligent inquiry of [***]. </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Landlord</w:t>
      </w:r>
      <w:r>
        <w:rPr>
          <w:rFonts w:ascii="Times New Roman;sans-serif" w:hAnsi="Times New Roman;sans-serif"/>
          <w:b w:val="false"/>
          <w:color w:val="000000"/>
          <w:sz w:val="22"/>
        </w:rPr>
        <w:t>" shall mean 1430 South Loop Owner, LLC, a Delaware limited liability company, and its successors and assigns.</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Landlord Consent to Assignment</w:t>
      </w:r>
      <w:r>
        <w:rPr>
          <w:rFonts w:ascii="Times New Roman;sans-serif" w:hAnsi="Times New Roman;sans-serif"/>
          <w:b w:val="false"/>
          <w:color w:val="000000"/>
          <w:sz w:val="22"/>
        </w:rPr>
        <w:t>" shall mean an executed copy of Landlord's written consent to the assignment of the Facility Lease from Seller to Purchaser, by and among Landlord, Seller and Purchaser, in a form reasonably acceptable to Seller and Purchaser.</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Landlord Consent to Sublease Agreement</w:t>
      </w:r>
      <w:r>
        <w:rPr>
          <w:rFonts w:ascii="Times New Roman;sans-serif" w:hAnsi="Times New Roman;sans-serif"/>
          <w:b w:val="false"/>
          <w:color w:val="000000"/>
          <w:sz w:val="22"/>
        </w:rPr>
        <w:t xml:space="preserve">" shall have the meaning set forth in the </w:t>
      </w:r>
      <w:r>
        <w:rPr>
          <w:rFonts w:ascii="Times New Roman;sans-serif" w:hAnsi="Times New Roman;sans-serif"/>
          <w:b w:val="false"/>
          <w:color w:val="000000"/>
          <w:sz w:val="22"/>
          <w:u w:val="single"/>
        </w:rPr>
        <w:t>Recitals</w:t>
      </w:r>
      <w:r>
        <w:rPr>
          <w:rFonts w:ascii="Times New Roman;sans-serif" w:hAnsi="Times New Roman;sans-serif"/>
          <w:b w:val="false"/>
          <w:color w:val="000000"/>
          <w:sz w:val="22"/>
        </w:rPr>
        <w:t xml:space="preserve">. </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Laws</w:t>
      </w:r>
      <w:r>
        <w:rPr>
          <w:rFonts w:ascii="Times New Roman;sans-serif" w:hAnsi="Times New Roman;sans-serif"/>
          <w:b w:val="false"/>
          <w:color w:val="000000"/>
          <w:sz w:val="22"/>
        </w:rPr>
        <w:t>" shall mean, as applicable, any United States federal, state or local or any foreign or supranational statute, law, rule, regulation, ordinance, code or any other requirement or rule of law, in each case as interpreted by courts of competent and relevant jurisdiction.</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Lease Assignment Agreement</w:t>
      </w:r>
      <w:r>
        <w:rPr>
          <w:rFonts w:ascii="Times New Roman;sans-serif" w:hAnsi="Times New Roman;sans-serif"/>
          <w:b w:val="false"/>
          <w:color w:val="000000"/>
          <w:sz w:val="22"/>
        </w:rPr>
        <w:t>" shall mean an assignment and assumption agreement between Seller and Purchaser with respect to the Facility Lease substantially in the form attached to the Landlord Consent to Assignment, in a form reasonably acceptable to Seller and Purchaser.</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Lease Assignment Closing</w:t>
      </w:r>
      <w:r>
        <w:rPr>
          <w:rFonts w:ascii="Times New Roman;sans-serif" w:hAnsi="Times New Roman;sans-serif"/>
          <w:b w:val="false"/>
          <w:color w:val="000000"/>
          <w:sz w:val="22"/>
        </w:rPr>
        <w:t>" shall mean the consummation of the transactions contemplated by this Agreement related solely to the assignment and consent to such assignment by the Landlord of the Facility Lease, pursuant to the terms of this Agreement, the Lease Assignment Agreement and the Landlord Consent to Assignment.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Lease Assignment Closing Date</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3.2</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Liabilities</w:t>
      </w:r>
      <w:r>
        <w:rPr>
          <w:rFonts w:ascii="Times New Roman;sans-serif" w:hAnsi="Times New Roman;sans-serif"/>
          <w:b w:val="false"/>
          <w:color w:val="000000"/>
          <w:sz w:val="22"/>
        </w:rPr>
        <w:t>" shall mean any and all debts, liabilities, costs, guarantees, commitments, assessments, expenses, claims, fines, penalties, losses, damages, deficiencies and obligations of any nature, whether accrued or fixed, known or unknown, express or implied, primary or secondary, liquidated or unliquidated, asserted or unasserted, absolute or contingent, disputed or undisputed, matured or unmatured, determined or determinable, accrued or not accrued, due or to become due, direct or indirect, whenever or however arising (including whether arising out of any Contract, common law or tort based on negligence or strict liability) and whether or not the same would be required by GAAP to be reflected in financial statements or disclosed in the notes thereto.</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60655"/>
                <wp:effectExtent l="0" t="0" r="0" b="0"/>
                <wp:wrapNone/>
                <wp:docPr id="135" name="Frame1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License Agreement</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6.5(a)</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Licensed Scope</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4.15</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Litigation</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4.10(a)</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Losses</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9.2</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Material Permits</w:t>
      </w:r>
      <w:r>
        <w:rPr>
          <w:rFonts w:ascii="Times New Roman;sans-serif" w:hAnsi="Times New Roman;sans-serif"/>
          <w:b w:val="false"/>
          <w:color w:val="000000"/>
          <w:sz w:val="22"/>
        </w:rPr>
        <w:t>" shall mean all material Permits necessary for the lawful operation of the Facility and the Purchased Assets, each as presently used.</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New Hire Documents</w:t>
      </w:r>
      <w:r>
        <w:rPr>
          <w:rFonts w:ascii="Times New Roman;sans-serif" w:hAnsi="Times New Roman;sans-serif"/>
          <w:b w:val="false"/>
          <w:color w:val="000000"/>
          <w:sz w:val="22"/>
        </w:rPr>
        <w:t>" shall mean collectively any offer letter, restrictive covenant agreement or other customary new-hire agreement on Purchaser's standard form used with similarly-situated Purchaser employees that Purchaser proposes the Offered Workers sign in connection with the transactions contemplated by this Agreement.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OFAC</w:t>
      </w:r>
      <w:r>
        <w:rPr>
          <w:rFonts w:ascii="Times New Roman;sans-serif" w:hAnsi="Times New Roman;sans-serif"/>
          <w:b w:val="false"/>
          <w:color w:val="000000"/>
          <w:sz w:val="22"/>
        </w:rPr>
        <w:t>" shall mean the Office of Foreign Assets Control of the U.S. Department of the Treasury.</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Offered Worker</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6.12(a)</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Option Agreement</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Recital</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Order</w:t>
      </w:r>
      <w:r>
        <w:rPr>
          <w:rFonts w:ascii="Times New Roman;sans-serif" w:hAnsi="Times New Roman;sans-serif"/>
          <w:b w:val="false"/>
          <w:color w:val="000000"/>
          <w:sz w:val="22"/>
        </w:rPr>
        <w:t>" shall mean any charge, temporary restraining order or other order, writ, injunction (whether preliminary, permanent or otherwise), judgment, guideline, doctrine, guidance, decree, ruling, determination, directive, corporate integrity agreement or similar agreement, award or settlement, whether civil, criminal or administrative.</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Ordinary Course of Business</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6.1</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Parties</w:t>
      </w:r>
      <w:r>
        <w:rPr>
          <w:rFonts w:ascii="Times New Roman;sans-serif" w:hAnsi="Times New Roman;sans-serif"/>
          <w:b w:val="false"/>
          <w:color w:val="000000"/>
          <w:sz w:val="22"/>
        </w:rPr>
        <w:t>" shall have the meaning set forth in the preamble of this Agreement.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Party</w:t>
      </w:r>
      <w:r>
        <w:rPr>
          <w:rFonts w:ascii="Times New Roman;sans-serif" w:hAnsi="Times New Roman;sans-serif"/>
          <w:b w:val="false"/>
          <w:color w:val="000000"/>
          <w:sz w:val="22"/>
        </w:rPr>
        <w:t>" shall have the meaning set forth in the preamble of this Agreement.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Patents</w:t>
      </w:r>
      <w:r>
        <w:rPr>
          <w:rFonts w:ascii="Times New Roman;sans-serif" w:hAnsi="Times New Roman;sans-serif"/>
          <w:b w:val="false"/>
          <w:color w:val="000000"/>
          <w:sz w:val="22"/>
        </w:rPr>
        <w:t xml:space="preserve">" shall mean all United States and foreign issued letters or design patents, reissued or reexamined patents, patents surviving </w:t>
      </w:r>
      <w:r>
        <w:rPr>
          <w:rFonts w:ascii="Times New Roman;sans-serif" w:hAnsi="Times New Roman;sans-serif"/>
          <w:b w:val="false"/>
          <w:i/>
          <w:color w:val="000000"/>
          <w:sz w:val="22"/>
        </w:rPr>
        <w:t>inter partes</w:t>
      </w:r>
      <w:r>
        <w:rPr>
          <w:color w:val="000000"/>
        </w:rPr>
        <w:t xml:space="preserve"> </w:t>
      </w:r>
      <w:r>
        <w:rPr>
          <w:rFonts w:ascii="Times New Roman;sans-serif" w:hAnsi="Times New Roman;sans-serif"/>
          <w:b w:val="false"/>
          <w:color w:val="000000"/>
          <w:sz w:val="22"/>
        </w:rPr>
        <w:t>review, revival of patents, utility models, registered community designs, registered industrial designs, certificates of invention, registrations of patents and extensions thereof, supplemental protection certificates regardless of country issued or formal name and all published or unpublished non-provisional and provisional patent applications, reissue applications, reexamination proceedings, invention disclosures and records of invention, continuation applications, continuation-in-part applications, requests for continued examination and divisions, divisional applications, patent term extension applications, applications for supplemental protection certificates, all rights in respect of utility models and certificates of invention, and all rights and priorities and all extensions and renewals thereof, regardless of the country filed or formal name.</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Payroll Agreement</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6.12(j)</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Permit</w:t>
      </w:r>
      <w:r>
        <w:rPr>
          <w:rFonts w:ascii="Times New Roman;sans-serif" w:hAnsi="Times New Roman;sans-serif"/>
          <w:b w:val="false"/>
          <w:color w:val="000000"/>
          <w:sz w:val="22"/>
        </w:rPr>
        <w:t>" shall mean any permit, license, approval, exemption, consent, clearance, registration, certificate, waiver, franchise, qualification or other authorization issued by any Governmental Entity.</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Permitted Encumbrance</w:t>
      </w:r>
      <w:r>
        <w:rPr>
          <w:rFonts w:ascii="Times New Roman;sans-serif" w:hAnsi="Times New Roman;sans-serif"/>
          <w:b w:val="false"/>
          <w:color w:val="000000"/>
          <w:sz w:val="22"/>
        </w:rPr>
        <w:t>" shall mean, in each case, (i) Encumbrances for (A) Taxes, assessments and other governmental charges not yet delinquent or that may subsequently be paid without penalty, or (B) liens for Taxes being contested in good faith through appropriate proceedings and for which adequate reserves have been established in accordance with GAAP, (ii) mechanics', workmen's, repairmen's, warehousemen's or carriers' Encumbrances or other similar Encumbrances incurred in the ordinary course of business securing obligations or liabilities that are not material to the Facility, (iii) defects or imperfections of title, easements, declarations, covenants, rights-of-way, restrictions and other charges, instruments or encumbrances that do not materially affect the use of real estate as is used by Seller as of the date hereof, (iv) zoning ordinances, variances, conditional use permits and similar regulations, permits, approvals and conditions, (v) Encumbrances not created by Seller or any of its Affiliates that affect the underlying fee interest of any leased real property, including master leases or ground leases, and any set of facts that an accurate up-to-date survey would show which do not materially interfere with the ordinary conduct of the Facility as it is conducted on the date hereof, (vi) Encumbrances arising by operation of law on insurance policies and proceeds thereof to secure premiums thereunder and that are not delinquent, and (vii) in the case of any leased asset, the rights of any lessor under the applicable lease agreement.</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60655"/>
                <wp:effectExtent l="0" t="0" r="0" b="0"/>
                <wp:wrapNone/>
                <wp:docPr id="136" name="Frame1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Person</w:t>
      </w:r>
      <w:r>
        <w:rPr>
          <w:rFonts w:ascii="Times New Roman;sans-serif" w:hAnsi="Times New Roman;sans-serif"/>
          <w:b w:val="false"/>
          <w:color w:val="000000"/>
          <w:sz w:val="22"/>
        </w:rPr>
        <w:t>" shall mean any individual, corporation, partnership (general or limited), limited liability company, limited liability partnership, trust, joint venture, joint-stock company, syndicate, association, entity, unincorporated organization, union, or Governmental Entity, including any political subdivision, agency, or instrumentality thereof.</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Prohibited Person</w:t>
      </w:r>
      <w:r>
        <w:rPr>
          <w:rFonts w:ascii="Times New Roman;sans-serif" w:hAnsi="Times New Roman;sans-serif"/>
          <w:b w:val="false"/>
          <w:color w:val="000000"/>
          <w:sz w:val="22"/>
        </w:rPr>
        <w:t>" shall mean (i) any Person or vessel listed on the List of Specially Designated Nationals and Blocked Persons maintained by OFAC; (ii) any Governmental Entity or Person located, organized or resident in, any country or region, against which the U.S. maintains or in the past five (5) years has maintained, comprehensive Sanctions (unless dealing with such Person is authorized under U.S. Law) (specifically, Cuba, Iran, North Korea, the Republic of Sudan (North Sudan), Syria, and the Crimea, Donetsk People's Republic, and Luhansk People's Republic regions in Ukraine); (iii) a Person owned or controlled by, any of the Persons listed in clause (i) above to the extent such Person is subject to the same prohibitions or restrictions as the Persons listed in clause (i) above; or (iv) a Person listed on, or otherwise subject to, any other Sanctions-related restricted or designated party list administered by a Governmental Entity.</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Purchased Assets</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2.1(a)</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Purchaser</w:t>
      </w:r>
      <w:r>
        <w:rPr>
          <w:rFonts w:ascii="Times New Roman;sans-serif" w:hAnsi="Times New Roman;sans-serif"/>
          <w:b w:val="false"/>
          <w:color w:val="000000"/>
          <w:sz w:val="22"/>
        </w:rPr>
        <w:t>" shall have the meaning set forth in the preamble of this Agreement.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Purchaser Indemnified Party</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9.2</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Purchaser Material Adverse Effect</w:t>
      </w:r>
      <w:r>
        <w:rPr>
          <w:rFonts w:ascii="Times New Roman;sans-serif" w:hAnsi="Times New Roman;sans-serif"/>
          <w:b w:val="false"/>
          <w:color w:val="000000"/>
          <w:sz w:val="22"/>
        </w:rPr>
        <w:t>" shall mean any change, effect, event, occurrence, state of facts, circumstance or development that prevents or materially impedes or delays the consummation by Purchaser of the transactions contemplated by this Agreement or the Ancillary Agreements.</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w:t>
      </w:r>
      <w:r>
        <w:rPr>
          <w:rFonts w:ascii="Times New Roman;sans-serif" w:hAnsi="Times New Roman;sans-serif"/>
          <w:b w:val="false"/>
          <w:color w:val="000000"/>
          <w:sz w:val="22"/>
        </w:rPr>
        <w:t xml:space="preserve">" shall mean, [***]. </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Purchaser Plan</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6.12(h)</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Records</w:t>
      </w:r>
      <w:r>
        <w:rPr>
          <w:rFonts w:ascii="Times New Roman;sans-serif" w:hAnsi="Times New Roman;sans-serif"/>
          <w:b w:val="false"/>
          <w:color w:val="000000"/>
          <w:sz w:val="22"/>
        </w:rPr>
        <w:t>" shall mean all books, records and data (whether in electronic form or otherwise) related to the Facility, Purchased Assets or Transferred Workers, or that are located at the Facility, and all (i) work instructions and bills of materials, (ii) vendor lists to the extent relating to the Facility or the Purchased Assets, (iii) files and documents (including credit information) to the extent relating to vendors for the Facility or the Purchased Assets, (iv) machinery and equipment maintenance files, (v) supplier lists, (vi) inventory records, quality control records and procedures, and (vii) documentation that relates to Seller's standard operating practices and procedures as it relates to the Facility or the Purchased Assets, in each case (i) through (vii) related to the Facility, the Purchased Assets or the Transferred Workers.</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Regulatory Authority</w:t>
      </w:r>
      <w:r>
        <w:rPr>
          <w:rFonts w:ascii="Times New Roman;sans-serif" w:hAnsi="Times New Roman;sans-serif"/>
          <w:b w:val="false"/>
          <w:color w:val="000000"/>
          <w:sz w:val="22"/>
        </w:rPr>
        <w:t xml:space="preserve">" shall mean the FDA, the FTC, the United States Department of Health and Human Services, Centers for Medicare and Medicaid Services, the competent authorities responsible </w:t>
      </w:r>
    </w:p>
    <w:p>
      <w:pPr>
        <w:pStyle w:val="TextBody"/>
        <w:bidi w:val="0"/>
        <w:spacing w:lineRule="auto" w:line="240"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for regulating the manufacture of products in each of the European Union member states, or any other federal, state, local or foreign Governmental Entity that is concerned with or regulates the manufacture of therapeutic and pharmaceutical products, or involved in granting any approvals necessary for the manufacture, use, clinical investigation, marketing, importation and sale of a pharmaceutical product and, to the extent required in such the applicable country or regulatory jurisdiction, pricing or reimbursement approval of such pharmaceutical product in such country or regulatory jurisdiction.</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60655"/>
                <wp:effectExtent l="0" t="0" r="0" b="0"/>
                <wp:wrapNone/>
                <wp:docPr id="137" name="Frame1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Regulatory Laws</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4.6(a)</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Release</w:t>
      </w:r>
      <w:r>
        <w:rPr>
          <w:rFonts w:ascii="Times New Roman;sans-serif" w:hAnsi="Times New Roman;sans-serif"/>
          <w:b w:val="false"/>
          <w:color w:val="000000"/>
          <w:sz w:val="22"/>
        </w:rPr>
        <w:t>" shall mean any release, spill, emission, discharge, leaking, pumping, injection, deposit, disposal, dispersal, leaching or migration into or through the indoor or outdoor environment (including ambient air, surface water, groundwater and surface or subsurface strata)</w:t>
      </w:r>
      <w:r>
        <w:rPr>
          <w:strike/>
          <w:color w:val="000000"/>
        </w:rPr>
        <w:t xml:space="preserve"> </w:t>
      </w:r>
      <w:r>
        <w:rPr>
          <w:rFonts w:ascii="Times New Roman;sans-serif" w:hAnsi="Times New Roman;sans-serif"/>
          <w:b w:val="false"/>
          <w:color w:val="000000"/>
          <w:sz w:val="22"/>
        </w:rPr>
        <w:t>or into or out of any property, including the movement of Hazardous Materials through or in the air, soil, surface water, groundwater or any property.</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Replacement Contract</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2.11(b)</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Representatives</w:t>
      </w:r>
      <w:r>
        <w:rPr>
          <w:rFonts w:ascii="Times New Roman;sans-serif" w:hAnsi="Times New Roman;sans-serif"/>
          <w:b w:val="false"/>
          <w:color w:val="000000"/>
          <w:sz w:val="22"/>
        </w:rPr>
        <w:t>" shall mean, with respect to a Person, such Person's Affiliates and their respective parents, directors, officers, employees, attorneys, accountants, representatives, financial advisors, lenders, consultants and other agents.</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Sanctions</w:t>
      </w:r>
      <w:r>
        <w:rPr>
          <w:rFonts w:ascii="Times New Roman;sans-serif" w:hAnsi="Times New Roman;sans-serif"/>
          <w:b w:val="false"/>
          <w:color w:val="000000"/>
          <w:sz w:val="22"/>
        </w:rPr>
        <w:t>" shall mean the economic, trade and financial sanctions Laws administered, enacted or enforced by OFAC, the United States Department of State, the United States Department of Commerce, any other U.S. government entity, the United Nations Security Council, the European Union, or the United Kingdom.</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Second Tranche Payment</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2.6(c)</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Securities Act</w:t>
      </w:r>
      <w:r>
        <w:rPr>
          <w:rFonts w:ascii="Times New Roman;sans-serif" w:hAnsi="Times New Roman;sans-serif"/>
          <w:b w:val="false"/>
          <w:color w:val="000000"/>
          <w:sz w:val="22"/>
        </w:rPr>
        <w:t>" shall mean the Securities Act of 1933, as amended, and the rules and regulations promulgated thereunder.</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Seller</w:t>
      </w:r>
      <w:r>
        <w:rPr>
          <w:rFonts w:ascii="Times New Roman;sans-serif" w:hAnsi="Times New Roman;sans-serif"/>
          <w:b w:val="false"/>
          <w:color w:val="000000"/>
          <w:sz w:val="22"/>
        </w:rPr>
        <w:t>" shall have the meaning set forth in the preamble of this Agreement.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Seller Certificate</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10.13</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Seller Disclosure Schedules</w:t>
      </w:r>
      <w:r>
        <w:rPr>
          <w:rFonts w:ascii="Times New Roman;sans-serif" w:hAnsi="Times New Roman;sans-serif"/>
          <w:b w:val="false"/>
          <w:color w:val="000000"/>
          <w:sz w:val="22"/>
        </w:rPr>
        <w:t>" shall mean the disclosure schedules delivered by Seller to Purchaser in connection with, and concurrently with the execution of, this Agreement.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Seller Economic Share Agreement</w:t>
      </w:r>
      <w:r>
        <w:rPr>
          <w:rFonts w:ascii="Times New Roman;sans-serif" w:hAnsi="Times New Roman;sans-serif"/>
          <w:b w:val="false"/>
          <w:color w:val="000000"/>
          <w:sz w:val="22"/>
        </w:rPr>
        <w:t>" shall have the meaning set forth in the recitals.</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Seller Indemnified Party</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9.3</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Seller Material Adverse Effect</w:t>
      </w:r>
      <w:r>
        <w:rPr>
          <w:rFonts w:ascii="Times New Roman;sans-serif" w:hAnsi="Times New Roman;sans-serif"/>
          <w:b w:val="false"/>
          <w:color w:val="000000"/>
          <w:sz w:val="22"/>
        </w:rPr>
        <w:t xml:space="preserve">" shall mean any change, effect, event, occurrence, state of facts, circumstance or development that, individually or in the aggregate with all other changes, effects, events, occurrences, state of facts, circumstances or developments, (a) results in any change or effect that is materially adverse to the Facility, the Contractual Rights, the Purchased Assets or the Assumed Liabilities, taken as a whole, or (b) prevents the consummation by Seller of the transactions contemplated by this Agreement and the Ancillary Agreements;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no change, effect, event, occurrence, state of facts, circumstance or development resulting from or arising out of any of the following shall be deemed to constitute, or shall be taken into account in determining whether there has been, a Seller Material Adverse Effect: (i) events, developments, changes or effects in global or national economic, monetary, or financial conditions, including changes in prevailing interest rates, credit markets, currency exchange rates or market conditions, (ii) events, developments, changes or effects in the pharmaceutical or drug manufacturing industry, (iii) events, developments, changes or effects in global or national political conditions, including the outbreak or escalation of war or acts of terrorism, (iv) earthquakes, hurricanes, tsunamis, typhoons, lightning, hailstorms, blizzards, tornadoes, droughts, floods, cyclones, arctic frosts, mudslides, wildfires and other natural disasters, weather conditions and other force </w:t>
      </w:r>
    </w:p>
    <w:p>
      <w:pPr>
        <w:pStyle w:val="TextBody"/>
        <w:bidi w:val="0"/>
        <w:spacing w:lineRule="auto" w:line="240"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majeure events, (v) changes in applicable Law or the interpretation thereof or changes in GAAP or the interpretation thereof, (vi) events, developments, changes or effects, including impacts on relationships with customers, suppliers, employees, labor organizations or Governmental Entities, in each case attributable to the execution, announcement or pendency of this Agreement, the Ancillary Agreements, the transactions contemplated hereby or thereby or the identity of Purchaser as the acquiror of the Facility or plans or announced intentions of Purchaser with respect to the Facility, (vii) events, developments, changes or effects arising out of any action required, permitted or contemplated to be taken by this Agreement, any action taken by either Party or any of their respective Affiliates with the prior written consent or at the written request of the other Party, any action taken by Purchaser or any of its Affiliates with respect to the transactions contemplated by this Agreement or any failure of Seller or any of its Affiliates to take an action requiring consent of Purchaser for which consent is not provided, or (viii) events, developments, changes or effects resulting from any acts or omissions of Purchaser or its Affiliates after the date of this Agreement (other than actions or omissions specifically contemplated by this Agreement).</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60655"/>
                <wp:effectExtent l="0" t="0" r="0" b="0"/>
                <wp:wrapNone/>
                <wp:docPr id="138" name="Frame1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w:t>
      </w:r>
      <w:r>
        <w:rPr>
          <w:rFonts w:ascii="Times New Roman;sans-serif" w:hAnsi="Times New Roman;sans-serif"/>
          <w:b w:val="false"/>
          <w:color w:val="000000"/>
          <w:sz w:val="22"/>
        </w:rPr>
        <w:t xml:space="preserve">" shall mean, [***]. </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Senti Economic Share</w:t>
      </w:r>
      <w:r>
        <w:rPr>
          <w:rFonts w:ascii="Times New Roman;sans-serif" w:hAnsi="Times New Roman;sans-serif"/>
          <w:b w:val="false"/>
          <w:color w:val="000000"/>
          <w:sz w:val="22"/>
        </w:rPr>
        <w:t>" shall have the meaning set forth the Seller Economic Share Agreement.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Services Agreement</w:t>
      </w:r>
      <w:r>
        <w:rPr>
          <w:rFonts w:ascii="Times New Roman;sans-serif" w:hAnsi="Times New Roman;sans-serif"/>
          <w:b w:val="false"/>
          <w:color w:val="000000"/>
          <w:sz w:val="22"/>
        </w:rPr>
        <w:t xml:space="preserve">" shall have the meaning set forth in the </w:t>
      </w:r>
      <w:r>
        <w:rPr>
          <w:rFonts w:ascii="Times New Roman;sans-serif" w:hAnsi="Times New Roman;sans-serif"/>
          <w:b w:val="false"/>
          <w:color w:val="000000"/>
          <w:sz w:val="22"/>
          <w:u w:val="single"/>
        </w:rPr>
        <w:t>Recitals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Shared Contract</w:t>
      </w:r>
      <w:r>
        <w:rPr>
          <w:rFonts w:ascii="Times New Roman;sans-serif" w:hAnsi="Times New Roman;sans-serif"/>
          <w:b w:val="false"/>
          <w:color w:val="000000"/>
          <w:sz w:val="22"/>
        </w:rPr>
        <w:t xml:space="preserve">" means each of the Contracts set forth on </w:t>
      </w:r>
      <w:r>
        <w:rPr>
          <w:rFonts w:ascii="Times New Roman;sans-serif" w:hAnsi="Times New Roman;sans-serif"/>
          <w:b w:val="false"/>
          <w:color w:val="000000"/>
          <w:sz w:val="22"/>
          <w:u w:val="single"/>
        </w:rPr>
        <w:t>Schedule 1.1(f)</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shd w:fill="FFFFFF" w:val="clear"/>
        </w:rPr>
        <w:t>"</w:t>
      </w:r>
      <w:r>
        <w:rPr>
          <w:rFonts w:ascii="Times New Roman;sans-serif" w:hAnsi="Times New Roman;sans-serif"/>
          <w:b w:val="false"/>
          <w:color w:val="000000"/>
          <w:sz w:val="22"/>
          <w:u w:val="single"/>
          <w:shd w:fill="FFFFFF" w:val="clear"/>
        </w:rPr>
        <w:t>Shared Contract Liabilities</w:t>
      </w:r>
      <w:r>
        <w:rPr>
          <w:rFonts w:ascii="Times New Roman;sans-serif" w:hAnsi="Times New Roman;sans-serif"/>
          <w:b w:val="false"/>
          <w:color w:val="000000"/>
          <w:sz w:val="22"/>
          <w:shd w:fill="FFFFFF" w:val="clear"/>
        </w:rPr>
        <w:t xml:space="preserve">" shall have the meaning set forth in </w:t>
      </w:r>
      <w:r>
        <w:rPr>
          <w:rFonts w:ascii="Times New Roman;sans-serif" w:hAnsi="Times New Roman;sans-serif"/>
          <w:b w:val="false"/>
          <w:color w:val="000000"/>
          <w:sz w:val="22"/>
          <w:u w:val="single"/>
          <w:shd w:fill="FFFFFF" w:val="clear"/>
        </w:rPr>
        <w:t>Section 2.11(a)</w:t>
      </w:r>
      <w:r>
        <w:rPr>
          <w:rFonts w:ascii="Times New Roman;sans-serif" w:hAnsi="Times New Roman;sans-serif"/>
          <w:b w:val="false"/>
          <w:color w:val="000000"/>
          <w:sz w:val="22"/>
          <w:shd w:fill="FFFFFF" w:val="clear"/>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shd w:fill="FFFFFF" w:val="clear"/>
        </w:rPr>
        <w:t>"</w:t>
      </w:r>
      <w:r>
        <w:rPr>
          <w:rFonts w:ascii="Times New Roman;sans-serif" w:hAnsi="Times New Roman;sans-serif"/>
          <w:b w:val="false"/>
          <w:color w:val="000000"/>
          <w:sz w:val="22"/>
          <w:u w:val="single"/>
          <w:shd w:fill="FFFFFF" w:val="clear"/>
        </w:rPr>
        <w:t>Shared Contract Rights</w:t>
      </w:r>
      <w:r>
        <w:rPr>
          <w:rFonts w:ascii="Times New Roman;sans-serif" w:hAnsi="Times New Roman;sans-serif"/>
          <w:b w:val="false"/>
          <w:color w:val="000000"/>
          <w:sz w:val="22"/>
          <w:shd w:fill="FFFFFF" w:val="clear"/>
        </w:rPr>
        <w:t xml:space="preserve">" shall have the meaning set forth in </w:t>
      </w:r>
      <w:r>
        <w:rPr>
          <w:rFonts w:ascii="Times New Roman;sans-serif" w:hAnsi="Times New Roman;sans-serif"/>
          <w:b w:val="false"/>
          <w:color w:val="000000"/>
          <w:sz w:val="22"/>
          <w:u w:val="single"/>
          <w:shd w:fill="FFFFFF" w:val="clear"/>
        </w:rPr>
        <w:t>Section 2.11(a)</w:t>
      </w:r>
      <w:r>
        <w:rPr>
          <w:rFonts w:ascii="Times New Roman;sans-serif" w:hAnsi="Times New Roman;sans-serif"/>
          <w:b w:val="false"/>
          <w:color w:val="000000"/>
          <w:sz w:val="22"/>
          <w:shd w:fill="FFFFFF" w:val="clear"/>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Software</w:t>
      </w:r>
      <w:r>
        <w:rPr>
          <w:rFonts w:ascii="Times New Roman;sans-serif" w:hAnsi="Times New Roman;sans-serif"/>
          <w:b w:val="false"/>
          <w:color w:val="000000"/>
          <w:sz w:val="22"/>
        </w:rPr>
        <w:t>" shall mean any (i) computer programs, including all software implementations of algorithms, models and methodologies, whether in source code or object code, (ii) program files, data files, computer-related data, field and data definitions and relationships, data definition specifications, data models, program and system logic, interfaces, program modules, routines, sub-routines, algorithms, program architecture, design concepts, system designs, program structure, sequence and organization, screen displays and report layouts, (iii) descriptions, flow charts and other work product used to design, plan, organize and develop any of the foregoing, screens, user interfaces, report formats, firmware, development tools, templates, menus, buttons and icons, and (iv) all documentation including user manuals and other training documentation related to any of the foregoing, and any improvements, updates, upgrades or derivative works of any of the foregoing.</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w:t>
      </w:r>
      <w:r>
        <w:rPr>
          <w:rFonts w:ascii="Times New Roman;sans-serif" w:hAnsi="Times New Roman;sans-serif"/>
          <w:b w:val="false"/>
          <w:color w:val="000000"/>
          <w:sz w:val="22"/>
        </w:rPr>
        <w:t>" shall mean [***].</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Start Date</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6.12(a)</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Subsidiary</w:t>
      </w:r>
      <w:r>
        <w:rPr>
          <w:rFonts w:ascii="Times New Roman;sans-serif" w:hAnsi="Times New Roman;sans-serif"/>
          <w:b w:val="false"/>
          <w:color w:val="000000"/>
          <w:sz w:val="22"/>
        </w:rPr>
        <w:t>" of any Person shall mean another Person, (i) an amount of the voting securities, other voting rights, membership or partnership interests of which that is sufficient to elect at least a majority of its board of directors or other governing body is directly or indirectly owned or controlled by such first Person or by any one or more of its Subsidiaries, or by such first Person and one or more of its Subsidiaries (or, if there are no such voting interests, fifty percent (50%) or more of the equity interests of which is owned directly or indirectly by such first Person), (ii) of which such first Person or any other Subsidiary of such first Person is a general partner (excluding partnerships, the general partnership interests of which held by such first Person and any Subsidiary of such first Person do not have a majority of the voting interests in such partnership) or (iii) based on the extent of control by the first Person, is required to be consolidated in the consolidated financial statements of the first Person in accordance with GAAP.</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Sub-License Agreement</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6.5(a)</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Sublease Agreement</w:t>
      </w:r>
      <w:r>
        <w:rPr>
          <w:rFonts w:ascii="Times New Roman;sans-serif" w:hAnsi="Times New Roman;sans-serif"/>
          <w:b w:val="false"/>
          <w:color w:val="000000"/>
          <w:sz w:val="22"/>
        </w:rPr>
        <w:t xml:space="preserve">" shall have the meaning set forth in the </w:t>
      </w:r>
      <w:r>
        <w:rPr>
          <w:rFonts w:ascii="Times New Roman;sans-serif" w:hAnsi="Times New Roman;sans-serif"/>
          <w:b w:val="false"/>
          <w:color w:val="000000"/>
          <w:sz w:val="22"/>
          <w:u w:val="single"/>
        </w:rPr>
        <w:t>Recitals</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Tax Return</w:t>
      </w:r>
      <w:r>
        <w:rPr>
          <w:rFonts w:ascii="Times New Roman;sans-serif" w:hAnsi="Times New Roman;sans-serif"/>
          <w:b w:val="false"/>
          <w:color w:val="000000"/>
          <w:sz w:val="22"/>
        </w:rPr>
        <w:t>" shall mean any return, election, report, declaration, information return, statement or other document filed or required to be filed with any Taxing Authority in connection with the determination, assessment or collection of any Tax or the administration of any Laws relating to any Tax, including any attachment or schedule thereto and including any amendments thereof.</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60655"/>
                <wp:effectExtent l="0" t="0" r="0" b="0"/>
                <wp:wrapNone/>
                <wp:docPr id="139" name="Frame1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w10:wrap type="none"/>
              </v:rect>
            </w:pict>
          </mc:Fallback>
        </mc:AlternateConten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Taxes</w:t>
      </w:r>
      <w:r>
        <w:rPr>
          <w:rFonts w:ascii="Times New Roman;sans-serif" w:hAnsi="Times New Roman;sans-serif"/>
          <w:b w:val="false"/>
          <w:color w:val="000000"/>
          <w:sz w:val="22"/>
        </w:rPr>
        <w:t>" shall mean all taxes, charges, duties, fees, levies or other assessments, including income, excise, real property and personal property, sales or use, value added, profits, license, withholding (with respect to compensation or otherwise), payroll, employment, unemployment, disability, net worth, capital gains, transfer, documentary, stamp, social security, environmental, occupation, and franchise, gross receipts, premium, escheat or unclaimed property obligation, ad valorem, alternative or add-on minimum, custom duty, and estimated taxes, in each case, to the extent imposed by any Taxing Authority, and including any interest, penalties and additions attributable thereto, and all amounts payable pursuant to an agreement or arrangement with respect to taxes or payable with respect to taxes as successor or transferee.</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Taxing Authority</w:t>
      </w:r>
      <w:r>
        <w:rPr>
          <w:rFonts w:ascii="Times New Roman;sans-serif" w:hAnsi="Times New Roman;sans-serif"/>
          <w:b w:val="false"/>
          <w:color w:val="000000"/>
          <w:sz w:val="22"/>
        </w:rPr>
        <w:t>" shall mean any Governmental Entity exercising any authority to impose, regulate or administer the imposition of Taxes.</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Third Tranche Payment</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2.6(c)</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Third-Party Claim</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9.6(b)</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Third-Party Claim Notice</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9.6(a)</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TopCo</w:t>
      </w:r>
      <w:r>
        <w:rPr>
          <w:rFonts w:ascii="Times New Roman;sans-serif" w:hAnsi="Times New Roman;sans-serif"/>
          <w:b w:val="false"/>
          <w:color w:val="000000"/>
          <w:sz w:val="22"/>
        </w:rPr>
        <w:t>" shall have the meaning set forth in the preamble of this Agreement.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TopCo Equity Commitment Letter</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3.4(c)</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Trade Secrets</w:t>
      </w:r>
      <w:r>
        <w:rPr>
          <w:rFonts w:ascii="Times New Roman;sans-serif" w:hAnsi="Times New Roman;sans-serif"/>
          <w:b w:val="false"/>
          <w:color w:val="000000"/>
          <w:sz w:val="22"/>
        </w:rPr>
        <w:t>" shall mean all trade secrets (protectable as such in any applicable jurisdiction) and any confidential or other proprietary know-how or information specifically related to technical or engineering, manufacturing, processing, marketing, financial, or business matters, including new developments, ideas, inventions and discoveries (whether patentable or not and whether or not reduced to practice and all improvements thereto), invention disclosures, processes, blueprints, manufacturing, engineering and other drawings and manuals, recipes, research data and results, computer programs, Software (whether in object code or source code), databases, data collections, data compilations, algorithms, flowcharts, diagrams, schematics, chemical compositions, formulae, diaries, notebooks, lab journals, design and engineering specifications and similar materials recording or evidencing expertise or information, designs, methods of manufacture, processing techniques, data processing techniques, compilation of information, customer, vendor and supplier lists, pricing and cost information, and business and marketing plans and proposals, all related documents thereof, and all claims and rights related thereto.</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Trademarks</w:t>
      </w:r>
      <w:r>
        <w:rPr>
          <w:rFonts w:ascii="Times New Roman;sans-serif" w:hAnsi="Times New Roman;sans-serif"/>
          <w:b w:val="false"/>
          <w:color w:val="000000"/>
          <w:sz w:val="22"/>
        </w:rPr>
        <w:t>" shall mean all registered or unregistered trademarks, service marks, trade dress, trade names, corporate names, assumed financial business names, logos, slogans, Internet domain names, and any other source or business identifiers, together with all translations, adaptations, derivations, and combinations thereof, and all applications, registrations and renewals in connection therewith throughout the world, and all goodwill associated with any of the foregoing.</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Transactions</w:t>
      </w:r>
      <w:r>
        <w:rPr>
          <w:rFonts w:ascii="Times New Roman;sans-serif" w:hAnsi="Times New Roman;sans-serif"/>
          <w:b w:val="false"/>
          <w:color w:val="000000"/>
          <w:sz w:val="22"/>
        </w:rPr>
        <w:t>" shall mean the transactions contemplated by this Agreement.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Transfer Taxes</w:t>
      </w:r>
      <w:r>
        <w:rPr>
          <w:rFonts w:ascii="Times New Roman;sans-serif" w:hAnsi="Times New Roman;sans-serif"/>
          <w:b w:val="false"/>
          <w:color w:val="000000"/>
          <w:sz w:val="22"/>
        </w:rPr>
        <w:t>" shall mean any federal, state, county, local, foreign or other sales, use, transfer, value added, conveyance, documentary transfer, stamp duty, recording or other similar Tax, fee or charge imposed in connection with the transactions contemplated by this Agreement or the recording of any sale, transfer or assignment of property (or any interest therein) effected pursuant to this Agreement.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Transferable Workers</w:t>
      </w:r>
      <w:r>
        <w:rPr>
          <w:rFonts w:ascii="Times New Roman;sans-serif" w:hAnsi="Times New Roman;sans-serif"/>
          <w:b w:val="false"/>
          <w:color w:val="000000"/>
          <w:sz w:val="22"/>
        </w:rPr>
        <w:t xml:space="preserve">" shall mean (i) the Facility Workers and (ii) the employees, independent contractors, and other services providers of Seller set forth on </w:t>
      </w:r>
      <w:r>
        <w:rPr>
          <w:rFonts w:ascii="Times New Roman;sans-serif" w:hAnsi="Times New Roman;sans-serif"/>
          <w:b w:val="false"/>
          <w:color w:val="000000"/>
          <w:sz w:val="22"/>
          <w:u w:val="single"/>
        </w:rPr>
        <w:t>Schedule 1.1(h)</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Transferred Intellectual Property</w:t>
      </w:r>
      <w:r>
        <w:rPr>
          <w:rFonts w:ascii="Times New Roman;sans-serif" w:hAnsi="Times New Roman;sans-serif"/>
          <w:b w:val="false"/>
          <w:color w:val="000000"/>
          <w:sz w:val="22"/>
        </w:rPr>
        <w:t>" shall mean all Intellectual Property in the schematics for and design of the Facility that were prepared by or on behalf of Seller.</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60655"/>
                <wp:effectExtent l="0" t="0" r="0" b="0"/>
                <wp:wrapNone/>
                <wp:docPr id="140" name="Frame1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w10:wrap type="none"/>
              </v:rect>
            </w:pict>
          </mc:Fallback>
        </mc:AlternateConten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Transferred Permits</w:t>
      </w:r>
      <w:r>
        <w:rPr>
          <w:rFonts w:ascii="Times New Roman;sans-serif" w:hAnsi="Times New Roman;sans-serif"/>
          <w:b w:val="false"/>
          <w:color w:val="000000"/>
          <w:sz w:val="22"/>
        </w:rPr>
        <w:t xml:space="preserve">" shall mean all of the Permits set forth set forth on </w:t>
      </w:r>
      <w:r>
        <w:rPr>
          <w:rFonts w:ascii="Times New Roman;sans-serif" w:hAnsi="Times New Roman;sans-serif"/>
          <w:b w:val="false"/>
          <w:color w:val="000000"/>
          <w:sz w:val="22"/>
          <w:u w:val="single"/>
        </w:rPr>
        <w:t>Schedule 1.1(i)</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rPr>
        <w:t>which are related to the Facility or the Purchased Assets, including all Permits that are held or used by (or which have been filed or delivered by or on behalf of) Seller or its Affiliates in connection with the construction, modification or operation of the Facility, or the ownership and use of the Purchased Assets.</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Transferred Records</w:t>
      </w:r>
      <w:r>
        <w:rPr>
          <w:rFonts w:ascii="Times New Roman;sans-serif" w:hAnsi="Times New Roman;sans-serif"/>
          <w:b w:val="false"/>
          <w:color w:val="000000"/>
          <w:sz w:val="22"/>
        </w:rPr>
        <w:t>" shall mean all Records other than the Excluded Records.</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Transferred Tangible Assets</w:t>
      </w:r>
      <w:r>
        <w:rPr>
          <w:rFonts w:ascii="Times New Roman;sans-serif" w:hAnsi="Times New Roman;sans-serif"/>
          <w:b w:val="false"/>
          <w:color w:val="000000"/>
          <w:sz w:val="22"/>
        </w:rPr>
        <w:t xml:space="preserve">" shall mean all Equipment, furniture and other tangible assets located at the Facility at the Initial Closing and reasonably expected to be necessary or used in the future operation of the Facility or the future Exploitation of the Purchased Assets, excluding, in each case, the Excluded Tangible Assets or any assets transferred at the Lease Assignment Closing. For the avoidance of doubt, all tangible assets set forth on </w:t>
      </w:r>
      <w:r>
        <w:rPr>
          <w:rFonts w:ascii="Times New Roman;sans-serif" w:hAnsi="Times New Roman;sans-serif"/>
          <w:b w:val="false"/>
          <w:color w:val="000000"/>
          <w:sz w:val="22"/>
          <w:u w:val="single"/>
        </w:rPr>
        <w:t>Schedule 2.1(a)(vi)</w:t>
      </w:r>
      <w:r>
        <w:rPr>
          <w:color w:val="000000"/>
        </w:rPr>
        <w:t xml:space="preserve"> </w:t>
      </w:r>
      <w:r>
        <w:rPr>
          <w:rFonts w:ascii="Times New Roman;sans-serif" w:hAnsi="Times New Roman;sans-serif"/>
          <w:b w:val="false"/>
          <w:color w:val="000000"/>
          <w:sz w:val="22"/>
        </w:rPr>
        <w:t>shall constitute "</w:t>
      </w:r>
      <w:r>
        <w:rPr>
          <w:rFonts w:ascii="Times New Roman;sans-serif" w:hAnsi="Times New Roman;sans-serif"/>
          <w:b w:val="false"/>
          <w:color w:val="000000"/>
          <w:sz w:val="22"/>
          <w:u w:val="single"/>
        </w:rPr>
        <w:t>Transferred Tangible Assets</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Transferred Worker</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6.12(c)</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Transitional Services Agreement</w:t>
      </w:r>
      <w:r>
        <w:rPr>
          <w:rFonts w:ascii="Times New Roman;sans-serif" w:hAnsi="Times New Roman;sans-serif"/>
          <w:b w:val="false"/>
          <w:color w:val="000000"/>
          <w:sz w:val="22"/>
        </w:rPr>
        <w:t xml:space="preserve">" shall have the meaning set forth in the </w:t>
      </w:r>
      <w:r>
        <w:rPr>
          <w:rFonts w:ascii="Times New Roman;sans-serif" w:hAnsi="Times New Roman;sans-serif"/>
          <w:b w:val="false"/>
          <w:color w:val="000000"/>
          <w:sz w:val="22"/>
          <w:u w:val="single"/>
        </w:rPr>
        <w:t>Recitals</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Union</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4.17(i)</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United States" or "U.S.</w:t>
      </w:r>
      <w:r>
        <w:rPr>
          <w:rFonts w:ascii="Times New Roman;sans-serif" w:hAnsi="Times New Roman;sans-serif"/>
          <w:b w:val="false"/>
          <w:color w:val="000000"/>
          <w:sz w:val="22"/>
        </w:rPr>
        <w:t>" shall mean the United States of America and its territories, commonwealths and possessions.</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W-9</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3.3(c)</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WARN Act</w:t>
      </w:r>
      <w:r>
        <w:rPr>
          <w:rFonts w:ascii="Times New Roman;sans-serif" w:hAnsi="Times New Roman;sans-serif"/>
          <w:b w:val="false"/>
          <w:color w:val="000000"/>
          <w:sz w:val="22"/>
        </w:rPr>
        <w:t xml:space="preserve">" shall have the meaning set forth in </w:t>
      </w:r>
      <w:r>
        <w:rPr>
          <w:rFonts w:ascii="Times New Roman;sans-serif" w:hAnsi="Times New Roman;sans-serif"/>
          <w:b w:val="false"/>
          <w:color w:val="000000"/>
          <w:sz w:val="22"/>
          <w:u w:val="single"/>
        </w:rPr>
        <w:t>Section 4.17(k)</w:t>
      </w:r>
      <w:r>
        <w:rPr>
          <w:rFonts w:ascii="Times New Roman;sans-serif" w:hAnsi="Times New Roman;sans-serif"/>
          <w:b w:val="false"/>
          <w:color w:val="000000"/>
          <w:sz w:val="22"/>
        </w:rPr>
        <w:t>.</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West Wing</w:t>
      </w:r>
      <w:r>
        <w:rPr>
          <w:rFonts w:ascii="Times New Roman;sans-serif" w:hAnsi="Times New Roman;sans-serif"/>
          <w:b w:val="false"/>
          <w:color w:val="000000"/>
          <w:sz w:val="22"/>
        </w:rPr>
        <w:t>" shall mean the Phase II Premises, as defined in the Facility Lease.</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1.2    Other Definitional Provisions</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    The words "</w:t>
      </w:r>
      <w:r>
        <w:rPr>
          <w:rFonts w:ascii="Times New Roman;sans-serif" w:hAnsi="Times New Roman;sans-serif"/>
          <w:b w:val="false"/>
          <w:color w:val="000000"/>
          <w:sz w:val="22"/>
          <w:u w:val="single"/>
        </w:rPr>
        <w:t>hereof</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herein</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hereto</w:t>
      </w:r>
      <w:r>
        <w:rPr>
          <w:rFonts w:ascii="Times New Roman;sans-serif" w:hAnsi="Times New Roman;sans-serif"/>
          <w:b w:val="false"/>
          <w:color w:val="000000"/>
          <w:sz w:val="22"/>
        </w:rPr>
        <w:t>" and "</w:t>
      </w:r>
      <w:r>
        <w:rPr>
          <w:rFonts w:ascii="Times New Roman;sans-serif" w:hAnsi="Times New Roman;sans-serif"/>
          <w:b w:val="false"/>
          <w:color w:val="000000"/>
          <w:sz w:val="22"/>
          <w:u w:val="single"/>
        </w:rPr>
        <w:t>hereunder</w:t>
      </w:r>
      <w:r>
        <w:rPr>
          <w:rFonts w:ascii="Times New Roman;sans-serif" w:hAnsi="Times New Roman;sans-serif"/>
          <w:b w:val="false"/>
          <w:color w:val="000000"/>
          <w:sz w:val="22"/>
        </w:rPr>
        <w:t>" and words of similar import, when used in this Agreement, shall refer to this Agreement as a whole and not to any particular provision of this Agreement.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Unless the context of this Agreement otherwise requires: (i) the terms defined in the singular shall have a comparable meaning when used in the plural, and vice versa, and (ii) words of any gender include each other gender.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(c)    The terms "</w:t>
      </w:r>
      <w:r>
        <w:rPr>
          <w:rFonts w:ascii="Times New Roman;sans-serif" w:hAnsi="Times New Roman;sans-serif"/>
          <w:b w:val="false"/>
          <w:color w:val="000000"/>
          <w:sz w:val="22"/>
          <w:u w:val="single"/>
        </w:rPr>
        <w:t>dollars</w:t>
      </w:r>
      <w:r>
        <w:rPr>
          <w:rFonts w:ascii="Times New Roman;sans-serif" w:hAnsi="Times New Roman;sans-serif"/>
          <w:b w:val="false"/>
          <w:color w:val="000000"/>
          <w:sz w:val="22"/>
        </w:rPr>
        <w:t>" and "</w:t>
      </w:r>
      <w:r>
        <w:rPr>
          <w:rFonts w:ascii="Times New Roman;sans-serif" w:hAnsi="Times New Roman;sans-serif"/>
          <w:b w:val="false"/>
          <w:color w:val="000000"/>
          <w:sz w:val="22"/>
          <w:u w:val="single"/>
        </w:rPr>
        <w:t>$</w:t>
      </w:r>
      <w:r>
        <w:rPr>
          <w:rFonts w:ascii="Times New Roman;sans-serif" w:hAnsi="Times New Roman;sans-serif"/>
          <w:b w:val="false"/>
          <w:color w:val="000000"/>
          <w:sz w:val="22"/>
        </w:rPr>
        <w:t>" shall mean lawful currency of the United States.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(d)    The words "</w:t>
      </w:r>
      <w:r>
        <w:rPr>
          <w:rFonts w:ascii="Times New Roman;sans-serif" w:hAnsi="Times New Roman;sans-serif"/>
          <w:b w:val="false"/>
          <w:color w:val="000000"/>
          <w:sz w:val="22"/>
          <w:u w:val="single"/>
        </w:rPr>
        <w:t>include</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includes</w:t>
      </w:r>
      <w:r>
        <w:rPr>
          <w:rFonts w:ascii="Times New Roman;sans-serif" w:hAnsi="Times New Roman;sans-serif"/>
          <w:b w:val="false"/>
          <w:color w:val="000000"/>
          <w:sz w:val="22"/>
        </w:rPr>
        <w:t>" and "</w:t>
      </w:r>
      <w:r>
        <w:rPr>
          <w:rFonts w:ascii="Times New Roman;sans-serif" w:hAnsi="Times New Roman;sans-serif"/>
          <w:b w:val="false"/>
          <w:color w:val="000000"/>
          <w:sz w:val="22"/>
          <w:u w:val="single"/>
        </w:rPr>
        <w:t>including</w:t>
      </w:r>
      <w:r>
        <w:rPr>
          <w:rFonts w:ascii="Times New Roman;sans-serif" w:hAnsi="Times New Roman;sans-serif"/>
          <w:b w:val="false"/>
          <w:color w:val="000000"/>
          <w:sz w:val="22"/>
        </w:rPr>
        <w:t>" and words of similar import will be by way of example rather than by limitation.</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Time periods based on a number of days within or following which any payment is to be made or act is to be done shall be calculated by excluding the day on which the period commences and including the day on which the period ends and, if applicable, by extending the period to the next Business Day following if the last day of the period is not a Business Day.</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    When a reference is made in this Agreement to an Article, a Section, an Exhibit or a Schedule, such reference shall be to an Article or a Section of, or an Exhibit or a Schedule to, this Agreement unless otherwise indicated. </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ARTICLE II</w:t>
        <w:br/>
        <w:br/>
        <w:t>PURCHASE AND SALE OF ASSETS</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60655"/>
                <wp:effectExtent l="0" t="0" r="0" b="0"/>
                <wp:wrapNone/>
                <wp:docPr id="141" name="Frame1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96.1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2.1    Purchase and Sale of Assets</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    Upon the terms and subject to the conditions set forth herein and in the Ancillary Agreements to be entered into at or prior to the Initial Closing as provided for herein, at the Initial Closing, Seller irrevocably agrees to sell, convey, assign and transfer to Purchaser, and Purchaser irrevocably agrees to purchase, acquire and accept from Seller the transferable right, title and interests of Seller in, to and under the following (collectively, the "</w:t>
      </w:r>
      <w:r>
        <w:rPr>
          <w:rFonts w:ascii="Times New Roman;sans-serif" w:hAnsi="Times New Roman;sans-serif"/>
          <w:b w:val="false"/>
          <w:color w:val="000000"/>
          <w:sz w:val="22"/>
          <w:u w:val="single"/>
        </w:rPr>
        <w:t>Purchased Assets</w:t>
      </w:r>
      <w:r>
        <w:rPr>
          <w:rFonts w:ascii="Times New Roman;sans-serif" w:hAnsi="Times New Roman;sans-serif"/>
          <w:b w:val="false"/>
          <w:color w:val="000000"/>
          <w:sz w:val="22"/>
        </w:rPr>
        <w:t>"), in each case to the extent not specifically included in the Excluded Assets:</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(i)    the Assumed Contracts;</w:t>
      </w:r>
      <w:r>
        <w:rPr>
          <w:color w:val="000000"/>
          <w:shd w:fill="FFFFFF" w:val="clear"/>
        </w:rPr>
        <w:t xml:space="preserve"> </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(ii)    </w:t>
      </w:r>
      <w:r>
        <w:rPr>
          <w:rFonts w:ascii="Times New Roman;sans-serif" w:hAnsi="Times New Roman;sans-serif"/>
          <w:b w:val="false"/>
          <w:color w:val="000000"/>
          <w:sz w:val="22"/>
          <w:shd w:fill="FFFFFF" w:val="clear"/>
        </w:rPr>
        <w:t>the Shared Contract Rights, allocated to Purchaser in accordance with Section 2.11;</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 xml:space="preserve">(iii)    the Transferred Records;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Seller may retain a copy of any of the Transferred Records;</w:t>
      </w:r>
    </w:p>
    <w:p>
      <w:pPr>
        <w:pStyle w:val="TextBody"/>
        <w:bidi w:val="0"/>
        <w:spacing w:lineRule="auto" w:line="240"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(iv)    the Transferred Intellectual Property;</w:t>
      </w:r>
    </w:p>
    <w:p>
      <w:pPr>
        <w:pStyle w:val="TextBody"/>
        <w:bidi w:val="0"/>
        <w:spacing w:lineRule="auto" w:line="240"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(v)    the Transferred Permits; and</w:t>
      </w:r>
    </w:p>
    <w:p>
      <w:pPr>
        <w:pStyle w:val="TextBody"/>
        <w:bidi w:val="0"/>
        <w:spacing w:lineRule="auto" w:line="240"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(vi)    the Transferred Tangible Assets.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Upon the terms and subject to the conditions set forth herein and in the Lease Assignment Agreement and Landlord Consent to Assignment to be entered into as provided for herein, at the Lease Assignment Closing, Seller irrevocably agrees to sell, convey, assign and transfer to Purchaser, and Purchaser irrevocably agrees to purchase, acquire, assume and accept from Seller the transferable right, title, obligations and interests of Seller in, to and under the Facility Lease.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(c)    Upon the terms and subject to the conditions set forth herein and in the Ancillary Agreements (other than Lease Assignment Agreement and Landlord Consent to Assignment) to be entered into as provided for herein, at the Initial Closing or upon the execution of any such Ancillary Agreement that is executed following the Initial Closing, Purchaser shall obtain the rights set forth in the Ancillary Agreements upon the terms and subject to the conditions thereof (the "</w:t>
      </w:r>
      <w:r>
        <w:rPr>
          <w:rFonts w:ascii="Times New Roman;sans-serif" w:hAnsi="Times New Roman;sans-serif"/>
          <w:b w:val="false"/>
          <w:color w:val="000000"/>
          <w:sz w:val="22"/>
          <w:u w:val="single"/>
        </w:rPr>
        <w:t>Contractual Rights</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2.2    Deferred Assets</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    Notwithstanding anything in this Agreement to the contrary, this Agreement shall not constitute an agreement to assign or transfer any Assumed Contract, Shared Contract or other Purchased Asset if any attempted assignment or transfer of such Assumed Contract, Shared Contract or such other Purchased Asset (i) would constitute a breach or violation of any applicable Law (whether by operation of law or otherwise) or (ii) would require the prior consent of a third party that has not been obtained prior to the Initial Closing (or does not remain in full force and effect at the Initial Closing) (any such Assumed Contract, Shared Contract or such other Purchased Asset, a "</w:t>
      </w:r>
      <w:r>
        <w:rPr>
          <w:rFonts w:ascii="Times New Roman;sans-serif" w:hAnsi="Times New Roman;sans-serif"/>
          <w:b w:val="false"/>
          <w:color w:val="000000"/>
          <w:sz w:val="22"/>
          <w:u w:val="single"/>
        </w:rPr>
        <w:t>Deferred Asset</w:t>
      </w:r>
      <w:r>
        <w:rPr>
          <w:rFonts w:ascii="Times New Roman;sans-serif" w:hAnsi="Times New Roman;sans-serif"/>
          <w:b w:val="false"/>
          <w:color w:val="000000"/>
          <w:sz w:val="22"/>
        </w:rPr>
        <w:t xml:space="preserve">"), unless and until (A) such Deferred Asset can be assigned or transferred in accordance with </w:t>
      </w:r>
      <w:r>
        <w:rPr>
          <w:rFonts w:ascii="Times New Roman;sans-serif" w:hAnsi="Times New Roman;sans-serif"/>
          <w:b w:val="false"/>
          <w:color w:val="000000"/>
          <w:sz w:val="22"/>
          <w:u w:val="single"/>
        </w:rPr>
        <w:t>Section 2.1(a)</w:t>
      </w:r>
      <w:r>
        <w:rPr>
          <w:color w:val="000000"/>
        </w:rPr>
        <w:t xml:space="preserve"> </w:t>
      </w:r>
      <w:r>
        <w:rPr>
          <w:rFonts w:ascii="Times New Roman;sans-serif" w:hAnsi="Times New Roman;sans-serif"/>
          <w:b w:val="false"/>
          <w:color w:val="000000"/>
          <w:sz w:val="22"/>
        </w:rPr>
        <w:t xml:space="preserve">without such breach, violation of applicable Law or (B) such consent of a third party is obtained, at which time, in the case of clauses (A) and (B), and without the payment of any further consideration from, or action by, either Party, such Deferred Asset and related Assumed Liabilities shall be deemed to be automatically transferred or assigned in accordance with </w:t>
      </w:r>
      <w:r>
        <w:rPr>
          <w:rFonts w:ascii="Times New Roman;sans-serif" w:hAnsi="Times New Roman;sans-serif"/>
          <w:b w:val="false"/>
          <w:color w:val="000000"/>
          <w:sz w:val="22"/>
          <w:u w:val="single"/>
        </w:rPr>
        <w:t>Section 2.1(a)</w:t>
      </w:r>
      <w:r>
        <w:rPr>
          <w:color w:val="000000"/>
        </w:rPr>
        <w:t xml:space="preserve"> </w:t>
      </w:r>
      <w:r>
        <w:rPr>
          <w:rFonts w:ascii="Times New Roman;sans-serif" w:hAnsi="Times New Roman;sans-serif"/>
          <w:b w:val="false"/>
          <w:color w:val="000000"/>
          <w:sz w:val="22"/>
        </w:rPr>
        <w:t xml:space="preserve">and assumed in accordance with </w:t>
      </w:r>
      <w:r>
        <w:rPr>
          <w:rFonts w:ascii="Times New Roman;sans-serif" w:hAnsi="Times New Roman;sans-serif"/>
          <w:b w:val="false"/>
          <w:color w:val="000000"/>
          <w:sz w:val="22"/>
          <w:u w:val="single"/>
        </w:rPr>
        <w:t>Section 2.4</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(b)    With respect to any such Deferred Asset, from the Initial Closing Date to the second (2</w:t>
      </w:r>
      <w:r>
        <w:rPr>
          <w:rFonts w:ascii="Times New Roman;sans-serif" w:hAnsi="Times New Roman;sans-serif"/>
          <w:b w:val="false"/>
          <w:color w:val="000000"/>
          <w:sz w:val="14"/>
        </w:rPr>
        <w:t>nd</w:t>
      </w:r>
      <w:r>
        <w:rPr>
          <w:rFonts w:ascii="Times New Roman;sans-serif" w:hAnsi="Times New Roman;sans-serif"/>
          <w:b w:val="false"/>
          <w:color w:val="000000"/>
          <w:sz w:val="22"/>
        </w:rPr>
        <w:t xml:space="preserve">) anniversary thereof, the Parties shall, and shall cause their respective Affiliates to, reasonably cooperate and use commercially reasonable efforts to obtain, or cause to be obtained, all third party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consents required to assign or transfer such Deferred Asset to Purchaser. Neither Seller nor any of its Affiliates shall have any Liability for failure to obtain any required third party consent, provided that Seller has complied with its obligations under this Section 2.2. Neither the Party (nor their respective Affiliates) shall be obligated to pay, or caused to be paid, (i) fees, costs or expenses in connection with such third party consent (other than immaterial administrative or legal costs and expenses) or (ii) any consideration to any third party with respect to such required consent, in each case other than as the Parties mutually agree in writing.</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60655"/>
                <wp:effectExtent l="0" t="0" r="0" b="0"/>
                <wp:wrapNone/>
                <wp:docPr id="142" name="Frame1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(c)    During the period any Purchased Asset remains a Deferred Asset, and without further consideration due and payable from Purchaser to Seller, Seller shall use commercially reasonable efforts to provide to Purchaser the maximum allowable use of the Deferred Asset (which shall include, at a minimum, the economic benefits of such Deferred Asset), and the Parties shall reasonably cooperate so that Purchaser obtains, to the fullest extent practicable, the applicable Deferred Assets and assumes or otherwise pays, performs or discharges the Liabilities arising or resulting from any such allowable use of Deferred Asset by Purchaser pursuant to this </w:t>
      </w:r>
      <w:r>
        <w:rPr>
          <w:rFonts w:ascii="Times New Roman;sans-serif" w:hAnsi="Times New Roman;sans-serif"/>
          <w:b w:val="false"/>
          <w:color w:val="000000"/>
          <w:sz w:val="22"/>
          <w:u w:val="single"/>
        </w:rPr>
        <w:t>Section 2.2(c)</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2.3    Excluded Assets</w:t>
      </w:r>
      <w:r>
        <w:rPr>
          <w:rFonts w:ascii="Times New Roman;sans-serif" w:hAnsi="Times New Roman;sans-serif"/>
          <w:b w:val="false"/>
          <w:color w:val="000000"/>
          <w:sz w:val="22"/>
        </w:rPr>
        <w:t>. Purchaser acknowledges and agrees that, pursuant to this Agreement or any Ancillary Agreement, it is not acquiring any rights, titles or interests in, to or under any assets, property (of any kind or nature, real or personal, tangible or intangible), rights and interests of Seller and its Affiliates other than the Purchased Assets, the Facility Lease and the Contractual Rights, including the following (collectively, the "</w:t>
      </w:r>
      <w:r>
        <w:rPr>
          <w:rFonts w:ascii="Times New Roman;sans-serif" w:hAnsi="Times New Roman;sans-serif"/>
          <w:b w:val="false"/>
          <w:color w:val="000000"/>
          <w:sz w:val="22"/>
          <w:u w:val="single"/>
        </w:rPr>
        <w:t>Excluded Assets</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any Cash Equivalents of Seller and its Affiliates;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(b)    any losses, loss carryforwards and rights to receive refunds, credits and loss carryforwards or any other Tax asset with respect to any and all Taxes of Seller or any of its Affiliates specified under </w:t>
      </w:r>
      <w:r>
        <w:rPr>
          <w:rFonts w:ascii="Times New Roman;sans-serif" w:hAnsi="Times New Roman;sans-serif"/>
          <w:b w:val="false"/>
          <w:color w:val="000000"/>
          <w:sz w:val="22"/>
          <w:u w:val="single"/>
        </w:rPr>
        <w:t>Section 2.5(f)</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the Excluded Records;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the Excluded Tangible Assets;</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    any rights, claims and credits of Seller or any of its Affiliates relating to any Excluded Asset or any Excluded Liability, including any guarantees, warranties, indemnities and similar rights in favor of Seller or any of its Affiliates relating to any Excluded Asset (other than any Excluded Liability) and any amounts received after the Lease Assignment Closing pursuant to the Facility Lease by Seller or Purchaser from Landlord related to the period prior to the Lease Assignment Closing;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    all Employee Plans and all related Contracts, including the funding arrangements (e.g., accounts, trusts, insurance arrangements and policies, and stop-loss policies) and administrative or other service agreements with third-party providers, trusts or other assets attributable thereto;</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(g)    Shared Contracts, other than Shared Contract Rights allocated to Purchaser in accordance with </w:t>
      </w:r>
      <w:r>
        <w:rPr>
          <w:rFonts w:ascii="Times New Roman;sans-serif" w:hAnsi="Times New Roman;sans-serif"/>
          <w:b w:val="false"/>
          <w:color w:val="000000"/>
          <w:sz w:val="22"/>
          <w:u w:val="single"/>
        </w:rPr>
        <w:t>Section 2.11</w:t>
      </w:r>
      <w:r>
        <w:rPr>
          <w:rFonts w:ascii="Times New Roman;sans-serif" w:hAnsi="Times New Roman;sans-serif"/>
          <w:b w:val="false"/>
          <w:color w:val="000000"/>
          <w:sz w:val="22"/>
        </w:rPr>
        <w:t>; and</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(h)    any Excluded Contracts.</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2.4    Assumed Liabilities</w:t>
      </w:r>
      <w:r>
        <w:rPr>
          <w:rFonts w:ascii="Times New Roman;sans-serif" w:hAnsi="Times New Roman;sans-serif"/>
          <w:b w:val="false"/>
          <w:color w:val="000000"/>
          <w:sz w:val="22"/>
        </w:rPr>
        <w:t>. Upon the terms and subject to the conditions set forth herein, Purchaser agrees, effective at the Initial Closing and after the Initial Closing Date, to assume, pay, perform and discharge the following specified Liabilities of Seller (collectively, the "</w:t>
      </w:r>
      <w:r>
        <w:rPr>
          <w:rFonts w:ascii="Times New Roman;sans-serif" w:hAnsi="Times New Roman;sans-serif"/>
          <w:b w:val="false"/>
          <w:color w:val="000000"/>
          <w:sz w:val="22"/>
          <w:u w:val="single"/>
        </w:rPr>
        <w:t>Assumed Liabilities</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all Liabilities arising after the Initial Closing out of events or circumstances occurring after the Initial Closing, to the extent arising out of or relating to (i) the Purchased Assets (other than the Assumed Contracts or Shared Contracts) or (ii) the use, ownership, operation of the Purchased Assets (other than the Assumed Contracts or Shared Contracts) after the Initial Closing Date;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all Liabilities arising after the Initial Closing to the extent resulting from activities conducted after the Initial Closing or to be performed after the Initial Closing under the Assumed Contracts, all Liabilities under the Assumed Contracts attributable to the period after the Initial Closing, and all Liabilities for payment for products, materials or other items to be supplied to or services to be provided to Seller under the Assumed Contracts to the extent such payment is not due until after the Initial Closing.;</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60655"/>
                <wp:effectExtent l="0" t="0" r="0" b="0"/>
                <wp:wrapNone/>
                <wp:docPr id="143" name="Frame1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(c)    all Shared Contract Liabilities allocated to Purchaser in accordance with </w:t>
      </w:r>
      <w:r>
        <w:rPr>
          <w:rFonts w:ascii="Times New Roman;sans-serif" w:hAnsi="Times New Roman;sans-serif"/>
          <w:b w:val="false"/>
          <w:color w:val="000000"/>
          <w:sz w:val="22"/>
          <w:u w:val="single"/>
        </w:rPr>
        <w:t>Section 2.11</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all Liabilities under any Replacement Contracts;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(e)    all Liabilities and obligations arising on or after the applicable Start Date from or relating to the employment or engagement, or termination of employment or engagement, of any Transferred Workers by Purchaser or its Affiliates and all other Liabilities required to be performed after the Initial Closing by Purchaser with respect to the Transferred Workers pursuant to </w:t>
      </w:r>
      <w:r>
        <w:rPr>
          <w:rFonts w:ascii="Times New Roman;sans-serif" w:hAnsi="Times New Roman;sans-serif"/>
          <w:b w:val="false"/>
          <w:color w:val="000000"/>
          <w:sz w:val="22"/>
          <w:u w:val="single"/>
        </w:rPr>
        <w:t>Section 6.12(h)</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    all Liabilities for fees, costs or expenses in connection with the operation, use, maintenance and improvements of the Facility, or the ownership of the Purchased Assets, with respect to or attributable to any period following the Initial Closing Date;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    all Liabilities and obligations arising on or after the Lease Assignment Closing to the extent resulting from activities conducted after the Lease Assignment Closing or to be performed after the Lease Assignment Closing under the Facility Lease and all Liabilities under the Facility Lease attributable to the period after the Lease Assignment Closing;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(h)    all Liabilities for Purchaser's share of Transfer Taxes pursuant to Section 2.8(a) and any Taxes allocated to Purchaser pursuant to Section 2.8(b); and</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all Liabilities and obligations arising prior to the Initial Closing from or relating to the Purchased Assets to the extent set forth in Schedule 2.4. </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For the avoidance of doubt, Purchaser shall also be responsible for the full satisfaction of its Liabilities under the Sublease Agreement.</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2.5    Excluded Liabilities</w:t>
      </w:r>
      <w:r>
        <w:rPr>
          <w:rFonts w:ascii="Times New Roman;sans-serif" w:hAnsi="Times New Roman;sans-serif"/>
          <w:b w:val="false"/>
          <w:color w:val="000000"/>
          <w:sz w:val="22"/>
        </w:rPr>
        <w:t>. Purchaser shall not assume any Liabilities of Seller or any of its Affiliates other than the Assumed Liabilities or as provided in the Ancillary Agreements, and the Excluded Liabilities shall remain the sole obligation and responsibility of Seller. Without limiting the generality of the foregoing, Excluded Liabilities shall include each of the following:</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all Liabilities arising out of or relating to the Excluded Assets;</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all Liabilities under, arising out of or relating to the Purchased Assets (other than the Assumed Contracts) on or prior to the Initial Closing, or the use, ownership, operation, or lease of the Purchased Assets other than the Assumed Contracts on or prior to the Initial Closing;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(c)    all Liabilities arising as a result of activities conducted on or prior to the Initial Closing, or to be performed on or prior to the Initial Closing, under the Assumed Contracts, other than as specified in </w:t>
      </w:r>
      <w:r>
        <w:rPr>
          <w:rFonts w:ascii="Times New Roman;sans-serif" w:hAnsi="Times New Roman;sans-serif"/>
          <w:b w:val="false"/>
          <w:color w:val="000000"/>
          <w:sz w:val="22"/>
          <w:u w:val="single"/>
        </w:rPr>
        <w:t>Section 2.10</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(d)    all Liabilities arising as a result of activities conducted after the Initial Closing, or to be performed after the Initial Closing, under any Assumed Contract when it remains a Deferred Asset, other than as specified in </w:t>
      </w:r>
      <w:r>
        <w:rPr>
          <w:rFonts w:ascii="Times New Roman;sans-serif" w:hAnsi="Times New Roman;sans-serif"/>
          <w:b w:val="false"/>
          <w:color w:val="000000"/>
          <w:sz w:val="22"/>
          <w:u w:val="single"/>
        </w:rPr>
        <w:t>Section 2.2(c)</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(e)    all Liabilities arising under the Shared Contracts, other than Shared Contract Liabilities allocated to Purchaser under </w:t>
      </w:r>
      <w:r>
        <w:rPr>
          <w:rFonts w:ascii="Times New Roman;sans-serif" w:hAnsi="Times New Roman;sans-serif"/>
          <w:b w:val="false"/>
          <w:color w:val="000000"/>
          <w:sz w:val="22"/>
          <w:u w:val="single"/>
        </w:rPr>
        <w:t>Section 2.11</w:t>
      </w:r>
      <w:r>
        <w:rPr>
          <w:color w:val="000000"/>
        </w:rPr>
        <w:t xml:space="preserve"> </w:t>
      </w:r>
      <w:r>
        <w:rPr>
          <w:rFonts w:ascii="Times New Roman;sans-serif" w:hAnsi="Times New Roman;sans-serif"/>
          <w:b w:val="false"/>
          <w:color w:val="000000"/>
          <w:sz w:val="22"/>
        </w:rPr>
        <w:t>or and Replacement Contract or as provided in any Ancillary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(f)    except to the extent of Purchaser's Liabilities under the Sublease Agreement, all Liabilities arising as a result of activities conducted on or prior to the Lease Assignment Closing, or to be performed on or prior to the Lease Assignment Closing, under the Facility Lease, other than as specified in </w:t>
      </w:r>
      <w:r>
        <w:rPr>
          <w:rFonts w:ascii="Times New Roman;sans-serif" w:hAnsi="Times New Roman;sans-serif"/>
          <w:b w:val="false"/>
          <w:color w:val="000000"/>
          <w:sz w:val="22"/>
          <w:u w:val="single"/>
        </w:rPr>
        <w:t>Section 2.10</w:t>
      </w:r>
      <w:r>
        <w:rPr>
          <w:color w:val="000000"/>
        </w:rPr>
        <w:t xml:space="preserve"> </w:t>
      </w:r>
      <w:r>
        <w:rPr>
          <w:rFonts w:ascii="Times New Roman;sans-serif" w:hAnsi="Times New Roman;sans-serif"/>
          <w:b w:val="false"/>
          <w:color w:val="000000"/>
          <w:sz w:val="22"/>
        </w:rPr>
        <w:t>or the Sublease Agreement;</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60655"/>
                <wp:effectExtent l="0" t="0" r="0" b="0"/>
                <wp:wrapNone/>
                <wp:docPr id="144" name="Frame1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(g)    all Liabilities of Seller and its Affiliates for Taxes (including any Taxe</w:t>
      </w:r>
      <w:r>
        <w:rPr>
          <w:rFonts w:ascii="Times New Roman;sans-serif" w:hAnsi="Times New Roman;sans-serif"/>
          <w:b/>
          <w:color w:val="000000"/>
          <w:sz w:val="22"/>
        </w:rPr>
        <w:t>s</w:t>
      </w:r>
      <w:r>
        <w:rPr>
          <w:color w:val="000000"/>
        </w:rPr>
        <w:t xml:space="preserve"> </w:t>
      </w:r>
      <w:r>
        <w:rPr>
          <w:rFonts w:ascii="Times New Roman;sans-serif" w:hAnsi="Times New Roman;sans-serif"/>
          <w:b w:val="false"/>
          <w:color w:val="000000"/>
          <w:sz w:val="22"/>
        </w:rPr>
        <w:t xml:space="preserve">allocated to Seller pursuant to </w:t>
      </w:r>
      <w:r>
        <w:rPr>
          <w:rFonts w:ascii="Times New Roman;sans-serif" w:hAnsi="Times New Roman;sans-serif"/>
          <w:b w:val="false"/>
          <w:color w:val="000000"/>
          <w:sz w:val="22"/>
          <w:u w:val="single"/>
        </w:rPr>
        <w:t>Section 2.8(b)</w:t>
      </w:r>
      <w:r>
        <w:rPr>
          <w:color w:val="000000"/>
        </w:rPr>
        <w:t xml:space="preserve"> </w:t>
      </w:r>
      <w:r>
        <w:rPr>
          <w:rFonts w:ascii="Times New Roman;sans-serif" w:hAnsi="Times New Roman;sans-serif"/>
          <w:b w:val="false"/>
          <w:color w:val="000000"/>
          <w:sz w:val="22"/>
        </w:rPr>
        <w:t xml:space="preserve">but excluding Taxes allocated to Purchaser under </w:t>
      </w:r>
      <w:r>
        <w:rPr>
          <w:rFonts w:ascii="Times New Roman;sans-serif" w:hAnsi="Times New Roman;sans-serif"/>
          <w:b w:val="false"/>
          <w:color w:val="000000"/>
          <w:sz w:val="22"/>
          <w:u w:val="single"/>
        </w:rPr>
        <w:t>Section 2.8(b)</w:t>
      </w:r>
      <w:r>
        <w:rPr>
          <w:color w:val="000000"/>
        </w:rPr>
        <w:t xml:space="preserve"> </w:t>
      </w:r>
      <w:r>
        <w:rPr>
          <w:rFonts w:ascii="Times New Roman;sans-serif" w:hAnsi="Times New Roman;sans-serif"/>
          <w:b w:val="false"/>
          <w:color w:val="000000"/>
          <w:sz w:val="22"/>
        </w:rPr>
        <w:t xml:space="preserve">and Purchaser's share of Transfer Taxes pursuant to </w:t>
      </w:r>
      <w:r>
        <w:rPr>
          <w:rFonts w:ascii="Times New Roman;sans-serif" w:hAnsi="Times New Roman;sans-serif"/>
          <w:b w:val="false"/>
          <w:color w:val="000000"/>
          <w:sz w:val="22"/>
          <w:u w:val="single"/>
        </w:rPr>
        <w:t>Section 2.8(a))</w:t>
      </w:r>
      <w:r>
        <w:rPr>
          <w:rFonts w:ascii="Times New Roman;sans-serif" w:hAnsi="Times New Roman;sans-serif"/>
          <w:b w:val="false"/>
          <w:color w:val="000000"/>
          <w:sz w:val="22"/>
        </w:rPr>
        <w:t>, and all Liabilities for Taxes relating to the Purchased Assets, Facility or Transferred Workers that are attributable to taxable periods or portions thereof ending on or before the Initial Closing Date; and</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(h)    all Liabilities and obligations (including all Litigation relating to such Liabilities or obligations) relating to or stemming from the actual or alleged infringement, misappropriation, dilution, or other violation of any Person's Intellectual Property arising out of the use of the Purchased Assets or the Facility, attributable, in each case, to the period prior to the Initial Closing (regardless of when raised).</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2.6    Consideration</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The consideration for the Purchased Assets, the Facility Lease and the Contractual Rights shall consist of: (i) the Cash Consideration, (ii) the assumption of the Assumed Liabilities, and (iii) the agreement to perform the obligations under the Ancillary Agreements.</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 </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(i)    by providing a written notice to Purchaser prior to [***], Seller may elect to receive [***] of the Deferred Consideration on [***], if, and only if, the amount of such payment obligation is reduced by [***] (such payment, the "</w:t>
      </w:r>
      <w:r>
        <w:rPr>
          <w:rFonts w:ascii="Times New Roman;sans-serif" w:hAnsi="Times New Roman;sans-serif"/>
          <w:b w:val="false"/>
          <w:color w:val="000000"/>
          <w:sz w:val="22"/>
          <w:u w:val="single"/>
        </w:rPr>
        <w:t>Second Tranche Payment</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 xml:space="preserve">(ii)    regardless of whether Seller makes an election pursuant to the foregoing clause </w:t>
      </w:r>
      <w:r>
        <w:rPr>
          <w:rFonts w:ascii="Times New Roman;sans-serif" w:hAnsi="Times New Roman;sans-serif"/>
          <w:b w:val="false"/>
          <w:color w:val="000000"/>
          <w:sz w:val="22"/>
          <w:u w:val="single"/>
        </w:rPr>
        <w:t>(c)(i)</w:t>
      </w:r>
      <w:r>
        <w:rPr>
          <w:rFonts w:ascii="Times New Roman;sans-serif" w:hAnsi="Times New Roman;sans-serif"/>
          <w:b w:val="false"/>
          <w:color w:val="000000"/>
          <w:sz w:val="22"/>
        </w:rPr>
        <w:t>, by providing a written notice to Purchaser prior to [***], Seller may elect to receive [***] percent ([***]%) of the Deferred Consideration on [***], if, and only if, the amount of such payment obligation is reduced by [***] (such payment, the "</w:t>
      </w:r>
      <w:r>
        <w:rPr>
          <w:rFonts w:ascii="Times New Roman;sans-serif" w:hAnsi="Times New Roman;sans-serif"/>
          <w:b w:val="false"/>
          <w:color w:val="000000"/>
          <w:sz w:val="22"/>
          <w:u w:val="single"/>
        </w:rPr>
        <w:t>Third Tranche Payment</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 xml:space="preserve">(iii)    the amount equal to the aggregate amount of any reduction in the payment obligations caused by Seller's election pursuant to the foregoing clauses </w:t>
      </w:r>
      <w:r>
        <w:rPr>
          <w:rFonts w:ascii="Times New Roman;sans-serif" w:hAnsi="Times New Roman;sans-serif"/>
          <w:b w:val="false"/>
          <w:color w:val="000000"/>
          <w:sz w:val="22"/>
          <w:u w:val="single"/>
        </w:rPr>
        <w:t>(c)(i)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(c)(ii)</w:t>
      </w:r>
      <w:r>
        <w:rPr>
          <w:color w:val="000000"/>
        </w:rPr>
        <w:t xml:space="preserve"> </w:t>
      </w:r>
      <w:r>
        <w:rPr>
          <w:rFonts w:ascii="Times New Roman;sans-serif" w:hAnsi="Times New Roman;sans-serif"/>
          <w:b w:val="false"/>
          <w:color w:val="000000"/>
          <w:sz w:val="22"/>
        </w:rPr>
        <w:t xml:space="preserve">shall become due and payable from Purchaser to Seller on [***]; and </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 xml:space="preserve">(iv)    for the avoidance of doubt, if Seller fails to make any election pursuant to the foregoing clauses </w:t>
      </w:r>
      <w:r>
        <w:rPr>
          <w:rFonts w:ascii="Times New Roman;sans-serif" w:hAnsi="Times New Roman;sans-serif"/>
          <w:b w:val="false"/>
          <w:color w:val="000000"/>
          <w:sz w:val="22"/>
          <w:u w:val="single"/>
        </w:rPr>
        <w:t>(c)(i)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(c)(ii)</w:t>
      </w:r>
      <w:r>
        <w:rPr>
          <w:rFonts w:ascii="Times New Roman;sans-serif" w:hAnsi="Times New Roman;sans-serif"/>
          <w:b w:val="false"/>
          <w:color w:val="000000"/>
          <w:sz w:val="22"/>
        </w:rPr>
        <w:t>, the entirety of the Deferred Consideration shall become due and payable from Purchaser to Seller on December 31, 2024 (such payment, the "</w:t>
      </w:r>
      <w:r>
        <w:rPr>
          <w:rFonts w:ascii="Times New Roman;sans-serif" w:hAnsi="Times New Roman;sans-serif"/>
          <w:b w:val="false"/>
          <w:color w:val="000000"/>
          <w:sz w:val="22"/>
          <w:u w:val="single"/>
        </w:rPr>
        <w:t>Final Tranche Payment</w:t>
      </w:r>
      <w:r>
        <w:rPr>
          <w:rFonts w:ascii="Times New Roman;sans-serif" w:hAnsi="Times New Roman;sans-serif"/>
          <w:b w:val="false"/>
          <w:color w:val="000000"/>
          <w:sz w:val="22"/>
        </w:rPr>
        <w:t xml:space="preserve">"). For purposes of illustration of the foregoing, [***] shall become due and payable on December 31, 2025.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Concurrently with the Initial Closing, Purchaser and TopCo shall enter into the Seller Economic Share Agreement, pursuant to which, amongst other things, TopCo shall grant to Seller the right to receive the Senti Economic Share, subject to the terms and conditions set forth therein.</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Any additional payments of Deferred Consideration under Section 2.6(c) or as set forth in the Seller Economic Share Agreement shall be treated (i) as an adjustment to the purchase price for Tax purposes except as otherwise required by applicable Law and (ii) as composed of an interest element and a principal element, such interest element to be determined and reported consistent with Section 483 of the Code and the Treasury Regulations promulgated thereunder.</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2.7    Allocation of Cash Consideration</w:t>
      </w:r>
      <w:r>
        <w:rPr>
          <w:rFonts w:ascii="Times New Roman;sans-serif" w:hAnsi="Times New Roman;sans-serif"/>
          <w:b w:val="false"/>
          <w:color w:val="000000"/>
          <w:sz w:val="22"/>
        </w:rPr>
        <w:t>.</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60655"/>
                <wp:effectExtent l="0" t="0" r="0" b="0"/>
                <wp:wrapNone/>
                <wp:docPr id="145" name="Frame1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(a)    [***] after the full payment of the Initial Closing Consideration, Purchaser shall prepare and deliver to Seller a statement allocating the sum of each of the Initial Closing Consideration and Assumed Liabilities (to the extent properly taken into account as purchase price for U.S. federal income tax purposes) in accordance with the principles of Section 1060 of the Code and the Treasury Regulations promulgated thereunder (and any similar provision of state, and local law) among the Purchased Assets and the Contractual Rights (as finally determined pursuant to this </w:t>
      </w:r>
      <w:r>
        <w:rPr>
          <w:rFonts w:ascii="Times New Roman;sans-serif" w:hAnsi="Times New Roman;sans-serif"/>
          <w:b w:val="false"/>
          <w:color w:val="000000"/>
          <w:sz w:val="22"/>
          <w:u w:val="single"/>
        </w:rPr>
        <w:t>Section 2.7</w:t>
      </w:r>
      <w:r>
        <w:rPr>
          <w:rFonts w:ascii="Times New Roman;sans-serif" w:hAnsi="Times New Roman;sans-serif"/>
          <w:b w:val="false"/>
          <w:color w:val="000000"/>
          <w:sz w:val="22"/>
        </w:rPr>
        <w:t>, the "</w:t>
      </w:r>
      <w:r>
        <w:rPr>
          <w:rFonts w:ascii="Times New Roman;sans-serif" w:hAnsi="Times New Roman;sans-serif"/>
          <w:b w:val="false"/>
          <w:color w:val="000000"/>
          <w:sz w:val="22"/>
          <w:u w:val="single"/>
        </w:rPr>
        <w:t>Allocation</w:t>
      </w:r>
      <w:r>
        <w:rPr>
          <w:rFonts w:ascii="Times New Roman;sans-serif" w:hAnsi="Times New Roman;sans-serif"/>
          <w:b w:val="false"/>
          <w:color w:val="000000"/>
          <w:sz w:val="22"/>
        </w:rPr>
        <w:t>"). Seller [***] calendar days after Purchaser's delivery to Seller of the Allocation during which to notify Purchaser in writing of any proposed adjustments to the Allocation, which notice shall set forth in detail a description of the proposed adjustments to the Allocation that Seller believes should be made (the "</w:t>
      </w:r>
      <w:r>
        <w:rPr>
          <w:rFonts w:ascii="Times New Roman;sans-serif" w:hAnsi="Times New Roman;sans-serif"/>
          <w:b w:val="false"/>
          <w:color w:val="000000"/>
          <w:sz w:val="22"/>
          <w:u w:val="single"/>
        </w:rPr>
        <w:t>Allocation Adjustment Notice</w:t>
      </w:r>
      <w:r>
        <w:rPr>
          <w:rFonts w:ascii="Times New Roman;sans-serif" w:hAnsi="Times New Roman;sans-serif"/>
          <w:b w:val="false"/>
          <w:color w:val="000000"/>
          <w:sz w:val="22"/>
        </w:rPr>
        <w:t xml:space="preserve">"). In the event that Seller delivers the Allocation Adjustment Notice to Purchaser within such [***] day period, Seller and Purchaser shall cooperate in good faith to resolve any dispute(s) specified therein as promptly as possible, and any resolution by them as to any item, calculation or other matter specified in the Allocation Adjustment Notice shall be final and binding on the Parties hereto.  If Seller and Purchaser are not able to resolve any such dispute(s) within [***] after delivery of the Allocation Adjustment Notice, such outstanding dispute(s) shall be submitted in writing to an Independent Accounting Firm their briefs detailing their views as to the correct Allocation (together with any necessary or appropriate supporting material and data), and the Independent Accounting Firm shall make a written determination as to each disputed item within the Allocation, which determination shall be final and binding on the parties hereto for all purposes hereunder. Seller and Purchaser shall use their commercially reasonable efforts to cause the Independent Accounting Firm to render a written decision resolving the matters submitted to it within [***] following the submission thereof. The fees and expenses of the Independent Accounting Firm in connection with any such dispute(s) shall be shared equally by Purchaser and Seller. Purchaser and Seller shall make appropriate adjustments to the Allocation to reflect any adjustments to the purchase price (as determined for U.S. federal income tax purposes) hereunder, including the payment of additional amounts pursuant to Section 2.6(c) hereof or pursuant to the Seller Economic Share Agreement. Purchaser and Seller shall file their respective U.S. Tax Returns in accordance with the allocation of purchase price set forth on the final version of the Allocation and any adjustments thereto and shall not take any position on such Tax Returns or in a U.S. Tax audit or similar Action inconsistent with such allocation and any adjustments thereto unless otherwise required pursuant to a final "determination" within the meaning of Section 1313 of the Code.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In the event that any Taxing Authority disputes the Allocation, Seller or Purchaser, as the case may be, shall promptly notify the other Party in writing of the nature of such dispute.</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2.8    Taxes</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Notwithstanding anything to the contrary in this Agreement, all Transfer Taxes shall be borne by Purchaser. The Party required by Law to do so will file all necessary Tax Returns and other documentation with respect to all such Transfer Taxes and, if required by applicable Law, the other Parties will, and will cause their Affiliates to, join in the execution of any such Tax Returns and other documentation.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(b)    All personal property, real property and similar ad valorem Taxes and assessments on the Purchased Assets for any taxable period commencing on or prior to the Initial Closing Date and ending after the Initial Closing Date ("</w:t>
      </w:r>
      <w:r>
        <w:rPr>
          <w:rFonts w:ascii="Times New Roman;sans-serif" w:hAnsi="Times New Roman;sans-serif"/>
          <w:b w:val="false"/>
          <w:color w:val="000000"/>
          <w:sz w:val="22"/>
          <w:u w:val="single"/>
        </w:rPr>
        <w:t>Straddle Period Taxes</w:t>
      </w:r>
      <w:r>
        <w:rPr>
          <w:rFonts w:ascii="Times New Roman;sans-serif" w:hAnsi="Times New Roman;sans-serif"/>
          <w:b w:val="false"/>
          <w:color w:val="000000"/>
          <w:sz w:val="22"/>
        </w:rPr>
        <w:t xml:space="preserve">") shall be prorated on a per diem basis between Purchaser and Seller as of the Initial Closing Date and borne by the Parties accordingly. The amount of all such prorations payable by the Party that is not required to pay such Tax under applicable Law shall be paid to the Party required to pay such Tax under applicable Law on the Initial Closing Date and such amount shall be timely remitted to the applicable Taxing Authority;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final payments with respect to prorations that are not able to be calculated as of the Initial Closing Date shall be calculated and paid as soon as practicable after the Initial Closing Date. Any Tax refunds, credits or overpayments attributable to any Straddle Period Taxes shall be apportioned among the Parties in accordance with the manner in which the related Tax is apportioned.</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Each Party shall reasonably cooperate and otherwise take commercially reasonable efforts to obtain any reductions, exemptions, credits and refunds of Transfer Taxes and Straddle Period Taxes, including joining in the execution of any Tax Return relating to such Taxes or other documentation where necessary and obtaining any applicable certificate or other document. Each Party shall reasonably cooperate, to the extent reasonably requested by the other Party, in connection with any Tax matters relating to the Purchased Assets or the Transactions (including by the provision of reasonably relevant records or information). Notwithstanding the foregoing, no Party shall have an obligation to provide any copies of its income Tax Returns or related work papers to the other Party.</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60655"/>
                <wp:effectExtent l="0" t="0" r="0" b="0"/>
                <wp:wrapNone/>
                <wp:docPr id="146" name="Frame1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Each applicable withholding agent shall be entitled to deduct and withhold (or cause to be deducted and withheld) from any payments payable under this Agreement any withholding Taxes or other amounts to the extent required under any applicable Tax Law to be deducted and withheld. To the extent that any such amounts are so deducted and withheld and are paid over to the appropriate Governmental Entity in accordance with applicable Law, such amounts shall be treated for all purposes of this Agreement as having been paid to the Person in respect of which such deduction and withholding was made. The Parties shall reasonably cooperate in obtaining any reductions, exemption, credits and refunds of any such withholding Taxes.</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2.9    Purchased Assets and Assumed Liabilities Not Transferred at the Initial Closing or Lease Assignment Closing; Excluded Liabilities Wrongfully Transferred at the Initial Closing or Lease Assignment Closing</w:t>
      </w:r>
      <w:r>
        <w:rPr>
          <w:rFonts w:ascii="Times New Roman;sans-serif" w:hAnsi="Times New Roman;sans-serif"/>
          <w:b w:val="false"/>
          <w:color w:val="000000"/>
          <w:sz w:val="22"/>
        </w:rPr>
        <w:t>. In the event that (a) Purchaser discovers after the Initial Closing or Lease Assignment Closing, as applicable, that it, or its Affiliates, is the owner of, receives or otherwise comes to possess any Excluded Asset or is liable for any Excluded Liability or (b) Seller discovers after the Initial Closing or Lease Assignment Closing, as applicable, that it, or its Affiliates, is the owner of, receives or otherwise comes to possess any Purchased Asset (including the receipt of payments made pursuant to Assumed Contracts or Facility Lease) or is liable for any Assumed Liability, such Party shall, or shall cause its Affiliates to, convey such asset or Liability, for no additional consideration, to the Party so entitled thereto in accordance with this Agreement (and the entitled Party shall accept such asset or assume such Liability).</w:t>
      </w:r>
    </w:p>
    <w:p>
      <w:pPr>
        <w:pStyle w:val="TextBody"/>
        <w:bidi w:val="0"/>
        <w:spacing w:lineRule="auto" w:line="240" w:before="0" w:after="240"/>
        <w:ind w:left="0" w:right="0" w:firstLine="720"/>
        <w:jc w:val="both"/>
        <w:rPr/>
      </w:pPr>
      <w:r>
        <w:rPr>
          <w:rFonts w:ascii="Times New Roman;sans-serif" w:hAnsi="Times New Roman;sans-serif"/>
          <w:b/>
          <w:color w:val="000000"/>
          <w:sz w:val="22"/>
        </w:rPr>
        <w:t xml:space="preserve">Section 2.10    Facility Lease and </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At the Initial Closing, each of Purchaser and Seller shall each execute and deliver the Landlord Consent to Sublease Agreement and the Sublease Agreement. At the Lease Assignment Closing, each of Purchaser and Seller shall each execute and deliver the Landlord Consent to Assignment and the Lease Assignment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(b)    Notwithstanding anything to the contrary in </w:t>
      </w:r>
      <w:r>
        <w:rPr>
          <w:rFonts w:ascii="Times New Roman;sans-serif" w:hAnsi="Times New Roman;sans-serif"/>
          <w:b w:val="false"/>
          <w:color w:val="000000"/>
          <w:sz w:val="22"/>
          <w:u w:val="single"/>
        </w:rPr>
        <w:t>Section 2.2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6.6</w:t>
      </w:r>
      <w:r>
        <w:rPr>
          <w:rFonts w:ascii="Times New Roman;sans-serif" w:hAnsi="Times New Roman;sans-serif"/>
          <w:b w:val="false"/>
          <w:color w:val="000000"/>
          <w:sz w:val="22"/>
        </w:rPr>
        <w:t xml:space="preserve">, Seller hereby agrees and covenants to use commercially reasonable best efforts to cause the Landlord to execute and deliver the Landlord Consent to Assignment,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Landlord requires or imposes any conditions to its execution and delivery of the Landlord Consent to Assignment and such conditions are required or imposed to satisfy the Landlord's requirements with respect to Purchaser's financial condition or creditworthiness, then Seller shall only be required to use commercially reasonable efforts to cause the Landlord to execute and deliver the Landlord Consent to Assignment.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Purchaser shall (i) cooperate in good faith with Seller's efforts to and (ii) use commercially reasonable efforts to cause the Landlord to execute and deliver the Landlord Consent to Assignment, including, without limiting the generality of the foregoing, as promptly as practicable, (x) providing all information requested from Purchaser by the Landlord of Purchaser or its Affiliates and (y) executing any documents required by the Landlord, including the Landlord Consents and Lease Assignment Agreement and credit application. [***] Purchaser hereby expressly agrees, upon Landlord's written request, to enter into a replacement letter of credit as contemplated under the Facility Lease effective upon the Lease Assignment Closing or anytime thereafter.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As set forth on Schedule 2.10(d), Seller shall provide Purchaser, as its contractor, with access to [***] for the provision of certain contracted services, pursuant to the terms and upon the conditions therein.</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The terms "commercially reasonable efforts" and "commercially reasonable best efforts" in this Section 2.10 shall not impose on Seller, or any of Seller's Affiliates, an obligation to [***].</w:t>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60655"/>
                <wp:effectExtent l="0" t="0" r="0" b="0"/>
                <wp:wrapNone/>
                <wp:docPr id="147" name="Frame1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2.11    Shared</w:t>
      </w:r>
      <w:r>
        <w:rPr>
          <w:color w:val="000000"/>
        </w:rPr>
        <w:t xml:space="preserve"> </w:t>
      </w:r>
      <w:r>
        <w:rPr>
          <w:rFonts w:ascii="Times New Roman;sans-serif" w:hAnsi="Times New Roman;sans-serif"/>
          <w:b/>
          <w:color w:val="000000"/>
          <w:sz w:val="22"/>
        </w:rPr>
        <w:t>Contracts</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shd w:fill="FFFFFF" w:val="clear"/>
        </w:rPr>
        <w:t xml:space="preserve">Subject to the provisions of this </w:t>
      </w:r>
      <w:r>
        <w:rPr>
          <w:rFonts w:ascii="Times New Roman;sans-serif" w:hAnsi="Times New Roman;sans-serif"/>
          <w:b w:val="false"/>
          <w:color w:val="000000"/>
          <w:sz w:val="22"/>
          <w:u w:val="single"/>
          <w:shd w:fill="FFFFFF" w:val="clear"/>
        </w:rPr>
        <w:t>Section 2.11</w:t>
      </w:r>
      <w:r>
        <w:rPr>
          <w:rFonts w:ascii="Times New Roman;sans-serif" w:hAnsi="Times New Roman;sans-serif"/>
          <w:b w:val="false"/>
          <w:color w:val="000000"/>
          <w:sz w:val="22"/>
          <w:shd w:fill="FFFFFF" w:val="clear"/>
        </w:rPr>
        <w:t>, the Purchased Assets shall include those rights exclusively relating to the Facility or another Purchased Asset which arise from and after the Initial Closing under a Shared Contract, subject to the terms and conditions of such Shared Contract (such rights, the "</w:t>
      </w:r>
      <w:r>
        <w:rPr>
          <w:rFonts w:ascii="Times New Roman;sans-serif" w:hAnsi="Times New Roman;sans-serif"/>
          <w:b w:val="false"/>
          <w:color w:val="000000"/>
          <w:sz w:val="22"/>
          <w:u w:val="single"/>
          <w:shd w:fill="FFFFFF" w:val="clear"/>
        </w:rPr>
        <w:t>Shared Contract Rights</w:t>
      </w:r>
      <w:r>
        <w:rPr>
          <w:rFonts w:ascii="Times New Roman;sans-serif" w:hAnsi="Times New Roman;sans-serif"/>
          <w:b w:val="false"/>
          <w:color w:val="000000"/>
          <w:sz w:val="22"/>
          <w:shd w:fill="FFFFFF" w:val="clear"/>
        </w:rPr>
        <w:t>"), and the Assumed Liabilities shall include those Liabilities exclusively relating to the Facility or a Purchased Asset which arise from and after the Initial Closing under a Shared Contract, subject to the terms and conditions of such Shared Contract (such Liabilities, the "</w:t>
      </w:r>
      <w:r>
        <w:rPr>
          <w:rFonts w:ascii="Times New Roman;sans-serif" w:hAnsi="Times New Roman;sans-serif"/>
          <w:b w:val="false"/>
          <w:color w:val="000000"/>
          <w:sz w:val="22"/>
          <w:u w:val="single"/>
          <w:shd w:fill="FFFFFF" w:val="clear"/>
        </w:rPr>
        <w:t>Shared Contract Liabilities</w:t>
      </w:r>
      <w:r>
        <w:rPr>
          <w:rFonts w:ascii="Times New Roman;sans-serif" w:hAnsi="Times New Roman;sans-serif"/>
          <w:b w:val="false"/>
          <w:color w:val="000000"/>
          <w:sz w:val="22"/>
          <w:shd w:fill="FFFFFF" w:val="clear"/>
        </w:rPr>
        <w:t xml:space="preserve">"). All rights and Liabilities which arise under a Shared Contract other than the Shared Contract Rights and the Shared Contract Liabilities shall in all cases be included in the Excluded Assets and the Excluded Liabilities, as applicable. For purposes of determining the scope of the Shared Contract Rights and Shared Contract Liabilities, the rights and Liabilities under each Shared Contract shall be equitably allocated among (a) the Facility and the Purchased Assets, on the one hand, and (b) the other business lines, facilities or other operations other than those solely related to the Facility and the Purchased Assets that will continue to be owned by Seller or its Affiliates, to the extent applicable, after the Initial Closing, on the other hand, in accordance with the following equitable allocation principles: </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(i)    </w:t>
      </w:r>
      <w:r>
        <w:rPr>
          <w:rFonts w:ascii="Times New Roman;sans-serif" w:hAnsi="Times New Roman;sans-serif"/>
          <w:b w:val="false"/>
          <w:color w:val="000000"/>
          <w:sz w:val="22"/>
          <w:shd w:fill="FFFFFF" w:val="clear"/>
        </w:rPr>
        <w:t>any allocation set forth in the Shared Contract shall control;</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(ii)    </w:t>
      </w:r>
      <w:r>
        <w:rPr>
          <w:rFonts w:ascii="Times New Roman;sans-serif" w:hAnsi="Times New Roman;sans-serif"/>
          <w:b w:val="false"/>
          <w:color w:val="000000"/>
          <w:sz w:val="22"/>
          <w:shd w:fill="FFFFFF" w:val="clear"/>
        </w:rPr>
        <w:t xml:space="preserve">if there is no allocation in the Shared Contract as described in clause (i) of this </w:t>
      </w:r>
      <w:r>
        <w:rPr>
          <w:rFonts w:ascii="Times New Roman;sans-serif" w:hAnsi="Times New Roman;sans-serif"/>
          <w:b w:val="false"/>
          <w:color w:val="000000"/>
          <w:sz w:val="22"/>
          <w:u w:val="single"/>
          <w:shd w:fill="FFFFFF" w:val="clear"/>
        </w:rPr>
        <w:t>Section 2.11(a)</w:t>
      </w:r>
      <w:r>
        <w:rPr>
          <w:rFonts w:ascii="Times New Roman;sans-serif" w:hAnsi="Times New Roman;sans-serif"/>
          <w:b w:val="false"/>
          <w:color w:val="000000"/>
          <w:sz w:val="22"/>
          <w:shd w:fill="FFFFFF" w:val="clear"/>
        </w:rPr>
        <w:t>, then any allocation previously made by Seller or its Affiliates in the ordinary course of business shall control;</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(iii)    </w:t>
      </w:r>
      <w:r>
        <w:rPr>
          <w:rFonts w:ascii="Times New Roman;sans-serif" w:hAnsi="Times New Roman;sans-serif"/>
          <w:b w:val="false"/>
          <w:color w:val="000000"/>
          <w:sz w:val="22"/>
          <w:shd w:fill="FFFFFF" w:val="clear"/>
        </w:rPr>
        <w:t xml:space="preserve">if there is no allocation as described in clause (ii) of this </w:t>
      </w:r>
      <w:r>
        <w:rPr>
          <w:rFonts w:ascii="Times New Roman;sans-serif" w:hAnsi="Times New Roman;sans-serif"/>
          <w:b w:val="false"/>
          <w:color w:val="000000"/>
          <w:sz w:val="22"/>
          <w:u w:val="single"/>
          <w:shd w:fill="FFFFFF" w:val="clear"/>
        </w:rPr>
        <w:t>Section 2.11(a)</w:t>
      </w:r>
      <w:r>
        <w:rPr>
          <w:rFonts w:ascii="Times New Roman;sans-serif" w:hAnsi="Times New Roman;sans-serif"/>
          <w:b w:val="false"/>
          <w:color w:val="000000"/>
          <w:sz w:val="22"/>
          <w:shd w:fill="FFFFFF" w:val="clear"/>
        </w:rPr>
        <w:t>, then the quantifiable proportionate benefit to be received by Seller and Purchaser after the Initial Closing Date (to be determined by mutual good faith agreement of Seller and Purchaser) shall control; and</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(iv)    </w:t>
      </w:r>
      <w:r>
        <w:rPr>
          <w:rFonts w:ascii="Times New Roman;sans-serif" w:hAnsi="Times New Roman;sans-serif"/>
          <w:b w:val="false"/>
          <w:color w:val="000000"/>
          <w:sz w:val="22"/>
          <w:shd w:fill="FFFFFF" w:val="clear"/>
        </w:rPr>
        <w:t xml:space="preserve">if not quantifiable as described in clause (iii) of this </w:t>
      </w:r>
      <w:r>
        <w:rPr>
          <w:rFonts w:ascii="Times New Roman;sans-serif" w:hAnsi="Times New Roman;sans-serif"/>
          <w:b w:val="false"/>
          <w:color w:val="000000"/>
          <w:sz w:val="22"/>
          <w:u w:val="single"/>
          <w:shd w:fill="FFFFFF" w:val="clear"/>
        </w:rPr>
        <w:t>Section 2.11(a)</w:t>
      </w:r>
      <w:r>
        <w:rPr>
          <w:rFonts w:ascii="Times New Roman;sans-serif" w:hAnsi="Times New Roman;sans-serif"/>
          <w:b w:val="false"/>
          <w:color w:val="000000"/>
          <w:sz w:val="22"/>
          <w:shd w:fill="FFFFFF" w:val="clear"/>
        </w:rPr>
        <w:t>, then reasonable accommodation (to be determined by mutual good faith agreement of Seller and Purchaser) shall control.</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shd w:fill="FFFFFF" w:val="clear"/>
        </w:rPr>
        <w:t>At the election of Seller and subject to any applicable consents or approvals, such allocation may be effectuated by termination of the Shared Contract in its entirety and the execution of new Contracts or by an assignment to and assumption by Purchaser of the Shared Contract Rights and the Shared Contract Liabilities under such Shared Contract. The completion of the documentation of any such termination and replacement or assignment is not a condition to the Initial Closing. As soon as practicable after the execution of this Agreement, Purchaser and Seller shall make appropriate requests to obtain, at the election of Seller, either consents or approvals from appropriate third parties to assignment and assumption by Purchaser of such Shared Contract Rights and Shared Contract Liabilities or reasonably comparable replacement or separated Contracts (each, a "</w:t>
      </w:r>
      <w:r>
        <w:rPr>
          <w:rFonts w:ascii="Times New Roman;sans-serif" w:hAnsi="Times New Roman;sans-serif"/>
          <w:b w:val="false"/>
          <w:color w:val="000000"/>
          <w:sz w:val="22"/>
          <w:u w:val="single"/>
          <w:shd w:fill="FFFFFF" w:val="clear"/>
        </w:rPr>
        <w:t>Replacement Contract</w:t>
      </w:r>
      <w:r>
        <w:rPr>
          <w:rFonts w:ascii="Times New Roman;sans-serif" w:hAnsi="Times New Roman;sans-serif"/>
          <w:b w:val="false"/>
          <w:color w:val="000000"/>
          <w:sz w:val="22"/>
          <w:shd w:fill="FFFFFF" w:val="clear"/>
        </w:rPr>
        <w:t xml:space="preserve">") that provide for the Shared Contract Rights and Shared Contract Liabilities for the benefit of Purchaser and the Business with the remaining rights and Liabilities for the benefit of Seller and its Affiliates, and Purchaser and Seller shall use commercially reasonable efforts to obtain such consents, approvals or Replacement Contracts as expeditiously as possible. Any requests for such consents, approvals or Replacement Contracts shall include a request that Seller and its Affiliates be unconditionally released from all Liabilities relating to the Shared Contract Rights and Shared Contract Liabilities attributable to the period after the Initial Closing, and Purchaser and Seller shall use commercially reasonable efforts to obtain such releases. </w:t>
      </w:r>
      <w:r>
        <w:rPr>
          <w:rFonts w:ascii="Times New Roman;sans-serif" w:hAnsi="Times New Roman;sans-serif"/>
          <w:b w:val="false"/>
          <w:color w:val="000000"/>
          <w:sz w:val="22"/>
        </w:rPr>
        <w:t>[***]</w:t>
      </w:r>
      <w:r>
        <w:rPr>
          <w:rFonts w:ascii="Times New Roman;sans-serif" w:hAnsi="Times New Roman;sans-serif"/>
          <w:b w:val="false"/>
          <w:color w:val="000000"/>
          <w:sz w:val="22"/>
          <w:shd w:fill="FFFFFF" w:val="clear"/>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shd w:fill="FFFFFF" w:val="clear"/>
        </w:rPr>
        <w:t xml:space="preserve">Purchaser and Seller agree that obtaining the consents, approvals or Replacement Contracts for the Shared Contracts is not a condition to the Initial Closing. In the event that a consents, approvals or Replacement Contract for a Shared Contract is not obtained by the Initial Closing and the Initial Closing occurs, Seller, in its sole discretion, may either assign the Shared Contract Rights and Shared Contract Liabilities arising under such Shared Contract to Purchaser notwithstanding the absence </w:t>
      </w:r>
    </w:p>
    <w:p>
      <w:pPr>
        <w:pStyle w:val="TextBody"/>
        <w:bidi w:val="0"/>
        <w:spacing w:lineRule="auto" w:line="240" w:before="0" w:after="240"/>
        <w:jc w:val="both"/>
        <w:rPr/>
      </w:pPr>
      <w:r>
        <w:rPr>
          <w:rFonts w:ascii="Times New Roman;sans-serif" w:hAnsi="Times New Roman;sans-serif"/>
          <w:b w:val="false"/>
          <w:color w:val="000000"/>
          <w:sz w:val="22"/>
          <w:shd w:fill="FFFFFF" w:val="clear"/>
        </w:rPr>
        <w:t xml:space="preserve">of a consents, approvals therefor or use commercially reasonable efforts to cooperate with Purchaser in effecting a commercially reasonable arrangement permitted by Law and not inconsistent with such Shared Contract under which Purchaser shall receive benefits under the Shared Contract corresponding to the Shared Contract Rights from and after the Initial Closing, and, to the extent of the benefits received, Purchaser shall pay and perform Seller's and its Affiliates' Liabilities arising under the Shared Contract corresponding to the Shared Contract Liabilities from and after the Initial Closing in accordance with its terms; </w:t>
      </w:r>
      <w:r>
        <w:rPr>
          <w:rFonts w:ascii="Times New Roman;sans-serif" w:hAnsi="Times New Roman;sans-serif"/>
          <w:b w:val="false"/>
          <w:color w:val="000000"/>
          <w:sz w:val="22"/>
          <w:u w:val="single"/>
          <w:shd w:fill="FFFFFF" w:val="clear"/>
        </w:rPr>
        <w:t>provided</w:t>
      </w:r>
      <w:r>
        <w:rPr>
          <w:color w:val="000000"/>
          <w:shd w:fill="FFFFFF" w:val="clear"/>
        </w:rPr>
        <w:t xml:space="preserve"> </w:t>
      </w:r>
      <w:r>
        <w:rPr>
          <w:rFonts w:ascii="Times New Roman;sans-serif" w:hAnsi="Times New Roman;sans-serif"/>
          <w:b w:val="false"/>
          <w:color w:val="000000"/>
          <w:sz w:val="22"/>
          <w:shd w:fill="FFFFFF" w:val="clear"/>
        </w:rPr>
        <w:t>that Seller and its Affiliates shall not be liable or have any further responsibility to Purchaser for the failure of such consents, approvals or Replacement Contracts to be obtained, and, in connection with any such assignment or arrangement, Seller and its Affiliates shall not be responsible for any Liabilities relating to such assignment or arrangement or the Shared Contract Rights and Shared Contract Liabilities, and Purchaser shall indemnify and hold harmless Seller and its Affiliates from and against any Losses arising out of or related to any such Liabilities.</w:t>
      </w:r>
      <w:r>
        <w:rPr>
          <w:color w:val="000000"/>
        </w:rPr>
        <w:t xml:space="preserve"> </w:t>
      </w:r>
      <w:r>
        <w:rPr>
          <w:rFonts w:ascii="Times New Roman;sans-serif" w:hAnsi="Times New Roman;sans-serif"/>
          <w:b w:val="false"/>
          <w:color w:val="000000"/>
          <w:sz w:val="22"/>
        </w:rPr>
        <w:t>Notwithstanding anything to the contrary, if any amount under any Shared Contract was prepaid by Seller prior to the Initial Closing and Purchaser will receive a Shared Contract Right with respect to such Shared Contract after the Initial Closing, then the Cash Consideration to be paid at the Initial Closing shall be increased by such prepaid amounts</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60655"/>
                <wp:effectExtent l="0" t="0" r="0" b="0"/>
                <wp:wrapNone/>
                <wp:docPr id="148" name="Frame1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ARTICLE III</w:t>
        <w:br/>
        <w:br/>
        <w:t>CLOSINGS</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3.1    Initial Closing</w:t>
      </w:r>
      <w:r>
        <w:rPr>
          <w:rFonts w:ascii="Times New Roman;sans-serif" w:hAnsi="Times New Roman;sans-serif"/>
          <w:b w:val="false"/>
          <w:color w:val="000000"/>
          <w:sz w:val="22"/>
        </w:rPr>
        <w:t xml:space="preserve">. [***] immediately after the satisfaction or waiver of the conditions precedent to the Initial Closing specified in </w:t>
      </w:r>
      <w:r>
        <w:rPr>
          <w:rFonts w:ascii="Times New Roman;sans-serif" w:hAnsi="Times New Roman;sans-serif"/>
          <w:b w:val="false"/>
          <w:color w:val="000000"/>
          <w:sz w:val="22"/>
          <w:u w:val="single"/>
        </w:rPr>
        <w:t>Article VII</w:t>
      </w:r>
      <w:r>
        <w:rPr>
          <w:color w:val="000000"/>
        </w:rPr>
        <w:t xml:space="preserve"> </w:t>
      </w:r>
      <w:r>
        <w:rPr>
          <w:rFonts w:ascii="Times New Roman;sans-serif" w:hAnsi="Times New Roman;sans-serif"/>
          <w:b w:val="false"/>
          <w:color w:val="000000"/>
          <w:sz w:val="22"/>
        </w:rPr>
        <w:t>(other than those conditions which by their nature can only be satisfied or waived at the Initial Closing but subject to waiver or satisfaction of such conditions) via the exchange of documents and signatures or at such other time, date and place as the Parties shall mutually agree in writing. The date on which the Initial Closing occurs is referred to herein as the "</w:t>
      </w:r>
      <w:r>
        <w:rPr>
          <w:rFonts w:ascii="Times New Roman;sans-serif" w:hAnsi="Times New Roman;sans-serif"/>
          <w:b w:val="false"/>
          <w:color w:val="000000"/>
          <w:sz w:val="22"/>
          <w:u w:val="single"/>
        </w:rPr>
        <w:t>Initial Closing Date</w:t>
      </w:r>
      <w:r>
        <w:rPr>
          <w:rFonts w:ascii="Times New Roman;sans-serif" w:hAnsi="Times New Roman;sans-serif"/>
          <w:b w:val="false"/>
          <w:color w:val="000000"/>
          <w:sz w:val="22"/>
        </w:rPr>
        <w:t>." All proceedings to take place at the Initial Closing shall be deemed to take place simultaneously.</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3.2    Lease Assignment Closing</w:t>
      </w:r>
      <w:r>
        <w:rPr>
          <w:rFonts w:ascii="Times New Roman;sans-serif" w:hAnsi="Times New Roman;sans-serif"/>
          <w:b w:val="false"/>
          <w:color w:val="000000"/>
          <w:sz w:val="22"/>
        </w:rPr>
        <w:t xml:space="preserve">. [***] immediately after the satisfaction or waiver of the conditions precedent to the Lease Assignment Closing specified in </w:t>
      </w:r>
      <w:r>
        <w:rPr>
          <w:rFonts w:ascii="Times New Roman;sans-serif" w:hAnsi="Times New Roman;sans-serif"/>
          <w:b w:val="false"/>
          <w:color w:val="000000"/>
          <w:sz w:val="22"/>
          <w:u w:val="single"/>
        </w:rPr>
        <w:t>Article VII</w:t>
      </w:r>
      <w:r>
        <w:rPr>
          <w:color w:val="000000"/>
        </w:rPr>
        <w:t xml:space="preserve"> </w:t>
      </w:r>
      <w:r>
        <w:rPr>
          <w:rFonts w:ascii="Times New Roman;sans-serif" w:hAnsi="Times New Roman;sans-serif"/>
          <w:b w:val="false"/>
          <w:color w:val="000000"/>
          <w:sz w:val="22"/>
        </w:rPr>
        <w:t>(other than those conditions which by their nature can only be satisfied or waived at the Lease Assignment Closing but subject to waiver or satisfaction of such conditions) via the exchange of documents and signatures or at such other time, date and place as the Parties shall mutually agree in writing. The date on which the Lease Assignment Closing occurs is referred to herein as the "</w:t>
      </w:r>
      <w:r>
        <w:rPr>
          <w:rFonts w:ascii="Times New Roman;sans-serif" w:hAnsi="Times New Roman;sans-serif"/>
          <w:b w:val="false"/>
          <w:color w:val="000000"/>
          <w:sz w:val="22"/>
          <w:u w:val="single"/>
        </w:rPr>
        <w:t>Lease Assignment Closing Date</w:t>
      </w:r>
      <w:r>
        <w:rPr>
          <w:rFonts w:ascii="Times New Roman;sans-serif" w:hAnsi="Times New Roman;sans-serif"/>
          <w:b w:val="false"/>
          <w:color w:val="000000"/>
          <w:sz w:val="22"/>
        </w:rPr>
        <w:t>." All proceedings to take place at the Lease Assignment Closing shall be deemed to take place simultaneously.</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3.3    Initial Closing Deliveries by Seller</w:t>
      </w:r>
      <w:r>
        <w:rPr>
          <w:rFonts w:ascii="Times New Roman;sans-serif" w:hAnsi="Times New Roman;sans-serif"/>
          <w:b w:val="false"/>
          <w:color w:val="000000"/>
          <w:sz w:val="22"/>
        </w:rPr>
        <w:t>. At the Initial Closing, Seller shall deliver to Purchaser:</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a duly executed copy of each of the Services Agreement, Asset Assignment Agreement, Transitional Services Agreement, Option Agreement, Seller Economic Share Agreement, Sublease Agreement, the Landlord Consent to Sublease Agreement and the Contractor Use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(b)    an Internal Revenue Service Form W-9 from Seller (the "</w:t>
      </w:r>
      <w:r>
        <w:rPr>
          <w:rFonts w:ascii="Times New Roman;sans-serif" w:hAnsi="Times New Roman;sans-serif"/>
          <w:b w:val="false"/>
          <w:color w:val="000000"/>
          <w:sz w:val="22"/>
          <w:u w:val="single"/>
        </w:rPr>
        <w:t>W-9</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(c)    the Transferred Permits pursuant to </w:t>
      </w:r>
      <w:r>
        <w:rPr>
          <w:rFonts w:ascii="Times New Roman;sans-serif" w:hAnsi="Times New Roman;sans-serif"/>
          <w:b w:val="false"/>
          <w:color w:val="000000"/>
          <w:sz w:val="22"/>
          <w:u w:val="single"/>
        </w:rPr>
        <w:t>Section 2.1(a)(v)</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the Transferred Records (to the extent not already located in the Facility);</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(e)    the certificate of Seller contemplated by </w:t>
      </w:r>
      <w:r>
        <w:rPr>
          <w:rFonts w:ascii="Times New Roman;sans-serif" w:hAnsi="Times New Roman;sans-serif"/>
          <w:b w:val="false"/>
          <w:color w:val="000000"/>
          <w:sz w:val="22"/>
          <w:u w:val="single"/>
        </w:rPr>
        <w:t>Section 7.2(c)</w:t>
      </w:r>
      <w:r>
        <w:rPr>
          <w:color w:val="000000"/>
        </w:rPr>
        <w:t xml:space="preserve"> </w:t>
      </w:r>
      <w:r>
        <w:rPr>
          <w:rFonts w:ascii="Times New Roman;sans-serif" w:hAnsi="Times New Roman;sans-serif"/>
          <w:b w:val="false"/>
          <w:color w:val="000000"/>
          <w:sz w:val="22"/>
        </w:rPr>
        <w:t>duly executed by an authorized officer of Seller; and</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    such other instruments, certificates, affidavits of title with respect to Persons in possession and mechanics liens, and other documents as Purchaser may reasonably request or as may be otherwise reasonably necessary to evidence the sale, assignment, transfer, conveyance and delivery of the Purchased Assets to Purchaser and the other transactions contemplated by this Agreement and the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Ancillary Agreements (excluding the Lease Assignment Agreement and Landlord Consent to Assignment) and to carry out the obligations of the Parties hereunder and thereunder.</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60655"/>
                <wp:effectExtent l="0" t="0" r="0" b="0"/>
                <wp:wrapNone/>
                <wp:docPr id="149" name="Frame1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3.4    Initial Closing Deliveries by Purchaser</w:t>
      </w:r>
      <w:r>
        <w:rPr>
          <w:rFonts w:ascii="Times New Roman;sans-serif" w:hAnsi="Times New Roman;sans-serif"/>
          <w:b w:val="false"/>
          <w:color w:val="000000"/>
          <w:sz w:val="22"/>
        </w:rPr>
        <w:t>. At the Initial Closing, Purchaser shall deliver to Seller:</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(a)    the Initial Closing Consideration, pursuant to </w:t>
      </w:r>
      <w:r>
        <w:rPr>
          <w:rFonts w:ascii="Times New Roman;sans-serif" w:hAnsi="Times New Roman;sans-serif"/>
          <w:b w:val="false"/>
          <w:color w:val="000000"/>
          <w:sz w:val="22"/>
          <w:u w:val="single"/>
        </w:rPr>
        <w:t>Section 2.6(b)</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a duly executed copy of each of the Services Agreement, Asset Assignment Agreement, Transitional Services Agreement, Option Agreement, Seller Economic Share Agreement, Sublease Agreement, the Landlord Consent to Sublease Agreement and the Contractor Use Agreement;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(d)    the certificate of Purchaser contemplated by </w:t>
      </w:r>
      <w:r>
        <w:rPr>
          <w:rFonts w:ascii="Times New Roman;sans-serif" w:hAnsi="Times New Roman;sans-serif"/>
          <w:b w:val="false"/>
          <w:color w:val="000000"/>
          <w:sz w:val="22"/>
          <w:u w:val="single"/>
        </w:rPr>
        <w:t>Section 7.3(c)</w:t>
      </w:r>
      <w:r>
        <w:rPr>
          <w:color w:val="000000"/>
        </w:rPr>
        <w:t xml:space="preserve"> </w:t>
      </w:r>
      <w:r>
        <w:rPr>
          <w:rFonts w:ascii="Times New Roman;sans-serif" w:hAnsi="Times New Roman;sans-serif"/>
          <w:b w:val="false"/>
          <w:color w:val="000000"/>
          <w:sz w:val="22"/>
        </w:rPr>
        <w:t>duly executed by an authorized officer of Purchaser; and</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    such other documents and instruments as may be reasonably requested by Seller to consummate the sale of the Purchased Assets and the assumption of the Assumed Liabilities and the other transactions contemplated by this Agreement and the Ancillary Agreements (excluding the Lease Assignment Agreement and Landlord Consent to Assignment) and to carry out the obligations of the Parties hereunder and thereunder. </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3.5    Lease Assignment Closing Deliveries by Seller</w:t>
      </w:r>
      <w:r>
        <w:rPr>
          <w:rFonts w:ascii="Times New Roman;sans-serif" w:hAnsi="Times New Roman;sans-serif"/>
          <w:b w:val="false"/>
          <w:color w:val="000000"/>
          <w:sz w:val="22"/>
        </w:rPr>
        <w:t>. At the Lease Assignment Closing, Seller shall deliver to Purchaser:</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a duly executed copy of the Lease Assignment Agreement; and</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an executed copy of the Landlord Consent to Assignment, duly executed by each of Seller and Landlord.</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3.6    Lease Assignment Closing Deliveries by Purchaser</w:t>
      </w:r>
      <w:r>
        <w:rPr>
          <w:rFonts w:ascii="Times New Roman;sans-serif" w:hAnsi="Times New Roman;sans-serif"/>
          <w:b w:val="false"/>
          <w:color w:val="000000"/>
          <w:sz w:val="22"/>
        </w:rPr>
        <w:t>. At the Lease Assignment Closing, Purchaser shall deliver to Seller:</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a duly executed copy of the Lease Assignment Agreement; and</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a duly executed copy of the Landlord Consent to Assignment.</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ARTICLE IV</w:t>
        <w:br/>
        <w:br/>
        <w:t>REPRESENTATIONS AND WARRANTIES OF SELLER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Seller hereby represents and warrants to Purchaser on and as of the date hereof and as of the Initial Closing Date (except where a representation or warranty speaks to specific date), subject to the disclosures and exceptions set forth in the Seller Disclosure Schedules, as follows:</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4.1    Organization and Good Standing</w:t>
      </w:r>
      <w:r>
        <w:rPr>
          <w:rFonts w:ascii="Times New Roman;sans-serif" w:hAnsi="Times New Roman;sans-serif"/>
          <w:b w:val="false"/>
          <w:color w:val="000000"/>
          <w:sz w:val="22"/>
        </w:rPr>
        <w:t xml:space="preserve">. Seller is a corporation duly organized, validly existing and in good standing under the Laws of the State of Delaware. Seller is duly qualified or licensed to do business and is in good standing in each jurisdiction in which the nature or conduct of its business or the ownership, leasing or operation of its properties or assets requires it to be so qualified, licensed or in good standing, except for such jurisdictions where the failure to be so qualified, licensed or in good standing has not had, and would not reasonably be expected to have, individually or in the aggregate, a Seller Material Adverse Effect. </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4.2    Authority</w:t>
      </w:r>
      <w:r>
        <w:rPr>
          <w:rFonts w:ascii="Times New Roman;sans-serif" w:hAnsi="Times New Roman;sans-serif"/>
          <w:b w:val="false"/>
          <w:color w:val="000000"/>
          <w:sz w:val="22"/>
        </w:rPr>
        <w:t xml:space="preserve">. Seller has all requisite corporate power and authority to own and operate its properties and assets, to carry on its business as it is now being conducted. Seller has all requisite corporate power and authority to execute and deliver this Agreement, the W-9 and the Ancillary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Agreements to which it is a party and to perform its obligations hereunder and thereunder. The execution and delivery by Seller of this Agreement, the W-9 and the Ancillary Agreements to which it is a party and the performance by Seller of its obligations hereunder and thereunder have been duly authorized by all requisite corporate action on the part of Seller. This Agreement has been, and the W-9 and each Ancillary Agreement to be executed on the Initial Closing Date will be, duly executed and delivered by Seller, and, assuming the valid execution and delivery by Purchaser, constitute a legal, valid and binding obligation of Seller, enforceable against Seller in accordance with their terms, except as enforcement may be limited by bankruptcy, insolvency, reorganization, fraudulent conveyance, moratorium or similar Laws affecting creditors' rights generally or by general principles of equity (regardless of whether enforcement is sought in a proceeding in equity or law).</w:t>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60655"/>
                <wp:effectExtent l="0" t="0" r="0" b="0"/>
                <wp:wrapNone/>
                <wp:docPr id="150" name="Frame1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4.3    No Conflict</w:t>
      </w:r>
      <w:r>
        <w:rPr>
          <w:rFonts w:ascii="Times New Roman;sans-serif" w:hAnsi="Times New Roman;sans-serif"/>
          <w:b w:val="false"/>
          <w:color w:val="000000"/>
          <w:sz w:val="22"/>
        </w:rPr>
        <w:t xml:space="preserve">. The execution, delivery and performance of this Agreement by Seller and, on the Initial Closing Date, each of the Ancillary Agreements (excluding the Lease Assignment Agreement and Landlord Consent to Assignment) by Seller and the consummation of the transactions contemplated hereby and thereby, do not and will not (a) violate any provision of the certificate of incorporation or by-laws of Seller; (b) subject to obtaining or making of all notices and consents listed on </w:t>
      </w:r>
      <w:r>
        <w:rPr>
          <w:rFonts w:ascii="Times New Roman;sans-serif" w:hAnsi="Times New Roman;sans-serif"/>
          <w:b w:val="false"/>
          <w:color w:val="000000"/>
          <w:sz w:val="22"/>
          <w:u w:val="single"/>
        </w:rPr>
        <w:t>Schedule 4.3</w:t>
      </w:r>
      <w:r>
        <w:rPr>
          <w:color w:val="000000"/>
        </w:rPr>
        <w:t xml:space="preserve"> </w:t>
      </w:r>
      <w:r>
        <w:rPr>
          <w:rFonts w:ascii="Times New Roman;sans-serif" w:hAnsi="Times New Roman;sans-serif"/>
          <w:b w:val="false"/>
          <w:color w:val="000000"/>
          <w:sz w:val="22"/>
        </w:rPr>
        <w:t>of the Seller Disclosure Schedules, (i) require any action by (including any authorization, consent or approval), or in respect of (including notice to), any Person under any Assumed Contract or Shared Contract; (ii) violate or conflict with, or result in a breach of, constitute a default under, or create rights of acceleration, termination or cancellation under any Assumed Contract or (iii) result in the creation or imposition of a material Encumbrance upon, or the forfeiture of, any Purchased Asset; or (c) violate or result in a breach of or constitute a default under any applicable Law or other restriction of any Governmental Entity to which Seller is subject.</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4.4    Required Filings and Consents</w:t>
      </w:r>
      <w:r>
        <w:rPr>
          <w:rFonts w:ascii="Times New Roman;sans-serif" w:hAnsi="Times New Roman;sans-serif"/>
          <w:b w:val="false"/>
          <w:color w:val="000000"/>
          <w:sz w:val="22"/>
        </w:rPr>
        <w:t>. The execution and delivery of this Agreement by Seller and the consummation of the transactions contemplated hereby do not require any consents, approvals, notices or filings with any Governmental Entities.</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4.5    Compliance with Laws</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Seller (i) has operated its business applicable to the ownership of the Purchased Assets at all times in material compliance with all applicable Laws and Orders and (ii) is not in default or violation of any Material Permit to which Seller is a party or by which Seller is bound or any property or asset of Seller or the Purchased Assets is bound. Seller has all Material Permits and each of such Material Permits is valid, subsisting and in full force and effect as of the date of this Agreement. No Action is pending or threatened in writing regarding the revocation of any Material Permit. Seller has not received any written communication from a Governmental Entity that alleges that Seller is not in compliance with any Law or Order applicable to the Facility or the Purchased Assets.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Neither Seller nor, to the Knowledge of Seller, any of the Representatives of Seller, has, with respect to the Facility or the Purchased Assets, (i) conducted any business or engaged in any transaction or dealing with any Prohibited Person or any other Person with whom transactions were, at the time of such transaction, prohibited as to U.S. Persons by any applicable Sanctions Laws administered by OFAC, including Persons appearing on OFAC's List of Specially Designated Nationals and Blocked Persons or (ii) engaged in or conspired to engage in any transaction that evades or avoids, or has the purpose of evading or avoiding, or attempted to violate, any of the prohibitions set forth in any applicable U.S. anti-money laundering Law, the Foreign Corrupt Practices Act of 1977, as amended, or any regulations promulgated under the foregoing statutes.</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4.6    Regulatory Compliance</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    The Purchased Assets have been used in compliance in all material respects with all applicable Laws, including (to the extent applicable) (i) the Federal Food, Drug, and Cosmetic Act and the Public Health Service Act, both as amended, and all regulations and guidance promulgated thereunder, and (ii) the Federal Trade Commission Act, (iii) any other Laws governing the manufacturing of therapeutic and pharmaceutical products and (iv) all Laws similar to the foregoing within any other federal, state, local or foreign jurisdiction ("</w:t>
      </w:r>
      <w:r>
        <w:rPr>
          <w:rFonts w:ascii="Times New Roman;sans-serif" w:hAnsi="Times New Roman;sans-serif"/>
          <w:b w:val="false"/>
          <w:color w:val="000000"/>
          <w:sz w:val="22"/>
          <w:u w:val="single"/>
        </w:rPr>
        <w:t>Regulatory Laws</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Seller has all applicable/required Material Permits, and each of such Material Permits is valid, subsisting and in full force and effect. No proceeding is pending or threatened (or otherwise reasonably anticipated) regarding the revocation of any Material Permit.</w:t>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60655"/>
                <wp:effectExtent l="0" t="0" r="0" b="0"/>
                <wp:wrapNone/>
                <wp:docPr id="151" name="Frame1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Seller has not, regarding or related to the Facility or the Purchased Assets, (i) received or been subject to any Action, written notice, warning or untitled letter, administrative proceeding, review or investigation by a Regulatory Authority related to the Facility or the Purchased Assets, (ii) received any written communication from a Governmental Entity that alleges that Seller is not in compliance with the Regulatory Laws, or (iii) been subject to a corporate integrity agreement, deferred prosecution agreement, consent decree, monitoring agreement, settlement agreement or other similar agreements with or orders imposed by any Governmental Entity mandating or prohibiting future or past activities related to Facility or the Purchased Assets.</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    Seller has filed all reports, responses, statements, documents, registrations, filings, amendments, supplements and submissions required to be filed by it with respect to the Facility or the Purchased Assets under applicable Regulatory Laws. To Seller's Knowledge, each such filing was true, complete and accurate as of the date of submission. Any material and legally necessary or required updates, changes, corrections, amendments, supplements or modifications to such filings have been submitted to the applicable Governmental Entity.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With respect to the Facility or the Purchased Assets, neither Seller, nor any officer, employee, agent or distributor of Seller, has made an untrue statement of a material fact or a fraudulent or misleading statement to the FDA or any other Regulatory Authority, failed to disclose a material fact required to be disclosed to the FDA or any other Regulatory Authority, committed an act, or made a statement or failed to make a statement that, at the time of such statement, disclosure, or act, would reasonably be expected to provide a basis for the U.S. Department of Justice to invoke 18 USC 1001 or 18 USC 1343, or FDA to invoke its policy respecting "Fraud, Untrue Statements of Material Facts, Bribery, and Illegal Gratuities" set forth in 56 Fed. Reg. 46191 (September 10, 1991), or for the FDA or any other Regulatory Authority to invoke any similar law or policy.</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    Neither Seller, nor, to the Seller's Knowledge, (x) any officer or employee of Seller, nor (y) any agent or distributor of Seller, in each case in their role as such, (i) has been convicted of any crime or engaged in any conduct in the operation of the Facility or the Purchased Assets for which debarment is mandated or authorized by 21 U.S.C. § 335a or any similar applicable Law, nor has any such Person been so debarred, (ii) is a Prohibited Person or (iii) is subject to an investigation or proceeding by any Regulatory Authority with respect to the Facility or the Purchased Assets that could result in such suspension, exclusion or debarment and there are no facts, to the Knowledge of Seller, that would reasonably be expected to give rise to such suspension, exclusion or debarment.</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4.7    Undisclosed Liabilities</w:t>
      </w:r>
      <w:r>
        <w:rPr>
          <w:rFonts w:ascii="Times New Roman;sans-serif" w:hAnsi="Times New Roman;sans-serif"/>
          <w:b w:val="false"/>
          <w:color w:val="000000"/>
          <w:sz w:val="22"/>
        </w:rPr>
        <w:t>. As of immediately after the Initial Closing, Purchaser shall have no Liabilities for any obligations of Seller or any of Seller's Affiliates, except those Liabilities assumed as part of the Assumed Contracts, the Shared Contracts, or the Sublease Agreement (but excluding, for the avoidance of doubt, any Liabilities resulting from Seller's breach of such Assumed Contracts, the Shared Contracts or the Sublease Agreement) and the other Assumed Liabilities. As of immediately after the Lease Assignment Closing, Purchaser shall have no Liabilities for any obligations of Seller or any of Seller's Affiliates, except those Liabilities assumed as part of the Lease Assignment Agreement and the other Assumed Liabilities.</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4.8    Developments</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(a)    Since March 31, 2023, except as contemplated by this Agreement or as listed on </w:t>
      </w:r>
      <w:r>
        <w:rPr>
          <w:rFonts w:ascii="Times New Roman;sans-serif" w:hAnsi="Times New Roman;sans-serif"/>
          <w:b w:val="false"/>
          <w:color w:val="000000"/>
          <w:sz w:val="22"/>
          <w:u w:val="single"/>
        </w:rPr>
        <w:t>Schedule 4.8</w:t>
      </w:r>
      <w:r>
        <w:rPr>
          <w:color w:val="000000"/>
        </w:rPr>
        <w:t xml:space="preserve"> </w:t>
      </w:r>
      <w:r>
        <w:rPr>
          <w:rFonts w:ascii="Times New Roman;sans-serif" w:hAnsi="Times New Roman;sans-serif"/>
          <w:b w:val="false"/>
          <w:color w:val="000000"/>
          <w:sz w:val="22"/>
        </w:rPr>
        <w:t xml:space="preserve">of the Seller Disclosure Schedules, the Facility and the Purchased Assets have been operated in all material respects in the ordinary course consistent and there has not been: </w:t>
      </w:r>
    </w:p>
    <w:p>
      <w:pPr>
        <w:pStyle w:val="TextBody"/>
        <w:bidi w:val="0"/>
        <w:spacing w:lineRule="auto" w:line="240"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any Seller Material Adverse Effect; </w:t>
      </w:r>
    </w:p>
    <w:p>
      <w:pPr>
        <w:pStyle w:val="TextBody"/>
        <w:bidi w:val="0"/>
        <w:spacing w:lineRule="auto" w:line="240"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    any sale, pledge, disposition, transfer, lease, license or Encumbrance by Seller of any Purchased Assets, other than Permitted Encumbrances; </w:t>
      </w:r>
    </w:p>
    <w:p>
      <w:pPr>
        <w:pStyle w:val="TextBody"/>
        <w:bidi w:val="0"/>
        <w:spacing w:lineRule="auto" w:line="240"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    any settlement of any Litigation or material claim or waiver of any material claim or right of material value in a manner that would constitute an Assumed Liability or that otherwise relates to the Facility or the Purchased Assets; </w:t>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60655"/>
                <wp:effectExtent l="0" t="0" r="0" b="0"/>
                <wp:wrapNone/>
                <wp:docPr id="152" name="Frame1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9.7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v:textbox>
                <w10:wrap type="none"/>
              </v:rect>
            </w:pict>
          </mc:Fallback>
        </mc:AlternateContent>
      </w:r>
    </w:p>
    <w:p>
      <w:pPr>
        <w:pStyle w:val="TextBody"/>
        <w:bidi w:val="0"/>
        <w:spacing w:lineRule="auto" w:line="240"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(iv)    any amendment or waiver of any material provision of, or material modification of, any Assumed Contract or Shared Contract;</w:t>
      </w:r>
    </w:p>
    <w:p>
      <w:pPr>
        <w:pStyle w:val="TextBody"/>
        <w:bidi w:val="0"/>
        <w:spacing w:lineRule="auto" w:line="240"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    any termination, cancellation, amendment, waiver or modification of any Permit other than amendments and modifications in the Ordinary Course of Business; </w:t>
      </w:r>
    </w:p>
    <w:p>
      <w:pPr>
        <w:pStyle w:val="TextBody"/>
        <w:bidi w:val="0"/>
        <w:spacing w:lineRule="auto" w:line="240"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(vi)    except as required by applicable Tax Law, any change in any material Tax election or method of accounting, any amended material Tax Return, any entry into a closing agreement with respect to material Taxes, any surrender of a right to a material Tax refund, or settlement or compromise of any material liability in respect of Taxes, in each case, with respect to the Purchased Assets or Transferred Workers; or</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 xml:space="preserve">(vii)    any agreement, in writing or otherwise, to take any action described in this </w:t>
      </w:r>
      <w:r>
        <w:rPr>
          <w:rFonts w:ascii="Times New Roman;sans-serif" w:hAnsi="Times New Roman;sans-serif"/>
          <w:b w:val="false"/>
          <w:color w:val="000000"/>
          <w:sz w:val="22"/>
          <w:u w:val="single"/>
        </w:rPr>
        <w:t>Section 4.8</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4.9    Taxes</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For all periods for which the applicable statute of limitations remains open, Seller and its Affiliates have paid all income and other material Taxes relating to the Purchased Assets or Transferred Workers that are due and payable. There are no Encumbrances with respect to Taxes upon any of the Purchased Assets, other than Permitted Encumbrances. Seller and its Affiliates have deducted, withheld and paid to the appropriate Governmental Entity all material Taxes required to be deducted, withheld or paid in connection with the Purchased Assets or with amounts paid or owing to any Transferred Workers (or are holding for such payment).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For all periods for which the applicable statute of limitations remains open, Seller and its Affiliates have timely filed (taking into account any valid extensions) all income and other material Tax Returns required to be filed with respect to the Purchased Assets or Transferred Workers, and such Tax Returns were true, correct and complete in all material respects.</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Seller and its Affiliates have not received written notice from any Taxing Authority regarding any pending or threatened audits, investigations, disputes, notices of deficiency, claims or other Actions or proceedings for or relating to any Taxes of Seller or any of its Affiliates with respect to the Purchased Assets or Transferred Workers. All deficiencies for Taxes with respect to the Purchased Assets or Transferred Workers have been fully paid or settled.</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No written claim has ever been received by Seller or any of its Affiliates from a Taxing Authority in a jurisdiction where Seller or any of its Affiliates do not file Tax Returns that Seller or any of its Affiliates is or may be subject to taxation by or required to file Tax Returns in that jurisdiction, in each case with respect to the Purchased Assets or Transferred Workers.</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Neither Seller, nor any of its Affiliates, has waived any statute of limitations in respect of Taxes relating to the Purchased Assets or Transferred Workers or agreed to, or is a beneficiary of, any extension of time with respect to a Tax assessment or deficiency relating to the Purchased Assets or Transferred Workers, in each case other than pursuant to automatic extensions of the due date for filing a Tax Return obtained in the Ordinary Course of Business.</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    Neither Seller nor any of its Affiliates is party to any Tax sharing, allocation, indemnity or similar agreement or arrangement with respect to the Purchased Assets or Transferred Workers, other than agreements or arrangements entered into the Ordinary Course of Business the primary purpose of which is not Taxes.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(g)    Seller and its Affiliates are in compliance with all terms and conditions of any Tax exemption, holiday or similar benefits claimed with respect to the Purchased Assets or Transferred Workers that is not available without specific application therefor and, to the Knowledge of Seller, the consummation of the Transactions does not have any adverse effect on any such Tax exemption, holiday or benefits.</w:t>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60655"/>
                <wp:effectExtent l="0" t="0" r="0" b="0"/>
                <wp:wrapNone/>
                <wp:docPr id="153" name="Frame1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(h)    This </w:t>
      </w:r>
      <w:r>
        <w:rPr>
          <w:rFonts w:ascii="Times New Roman;sans-serif" w:hAnsi="Times New Roman;sans-serif"/>
          <w:b w:val="false"/>
          <w:color w:val="000000"/>
          <w:sz w:val="22"/>
          <w:u w:val="single"/>
        </w:rPr>
        <w:t>Section 4.9</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4.16</w:t>
      </w:r>
      <w:r>
        <w:rPr>
          <w:color w:val="000000"/>
        </w:rPr>
        <w:t xml:space="preserve"> </w:t>
      </w:r>
      <w:r>
        <w:rPr>
          <w:rFonts w:ascii="Times New Roman;sans-serif" w:hAnsi="Times New Roman;sans-serif"/>
          <w:b w:val="false"/>
          <w:color w:val="000000"/>
          <w:sz w:val="22"/>
        </w:rPr>
        <w:t xml:space="preserve">contain the sole and exclusive representations and warranties of Seller with respect to any Tax matters, and any claim for breach of representation with respect to Taxes shall be based solely on the representations made in this </w:t>
      </w:r>
      <w:r>
        <w:rPr>
          <w:rFonts w:ascii="Times New Roman;sans-serif" w:hAnsi="Times New Roman;sans-serif"/>
          <w:b w:val="false"/>
          <w:color w:val="000000"/>
          <w:sz w:val="22"/>
          <w:u w:val="single"/>
        </w:rPr>
        <w:t>Section 4.9</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4.16</w:t>
      </w:r>
      <w:r>
        <w:rPr>
          <w:color w:val="000000"/>
        </w:rPr>
        <w:t xml:space="preserve"> </w:t>
      </w:r>
      <w:r>
        <w:rPr>
          <w:rFonts w:ascii="Times New Roman;sans-serif" w:hAnsi="Times New Roman;sans-serif"/>
          <w:b w:val="false"/>
          <w:color w:val="000000"/>
          <w:sz w:val="22"/>
        </w:rPr>
        <w:t xml:space="preserve">and shall not be based on the representations set forth in any other provision of this Agreement. Nothing in this </w:t>
      </w:r>
      <w:r>
        <w:rPr>
          <w:rFonts w:ascii="Times New Roman;sans-serif" w:hAnsi="Times New Roman;sans-serif"/>
          <w:b w:val="false"/>
          <w:color w:val="000000"/>
          <w:sz w:val="22"/>
          <w:u w:val="single"/>
        </w:rPr>
        <w:t>Section 4.9</w:t>
      </w:r>
      <w:r>
        <w:rPr>
          <w:color w:val="000000"/>
        </w:rPr>
        <w:t xml:space="preserve"> </w:t>
      </w:r>
      <w:r>
        <w:rPr>
          <w:rFonts w:ascii="Times New Roman;sans-serif" w:hAnsi="Times New Roman;sans-serif"/>
          <w:b w:val="false"/>
          <w:color w:val="000000"/>
          <w:sz w:val="22"/>
        </w:rPr>
        <w:t>or elsewhere in this Agreement shall be construed as a representation or warranty with respect to any Taxes attributable to any taxable period (or portion thereof) beginning after the Initial Closing Date.</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4.10    Litigation</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    There is no claim of which Seller has received written notice, including any dispute, Action, indictment, alternative dispute resolution or other similar proceeding ("</w:t>
      </w:r>
      <w:r>
        <w:rPr>
          <w:rFonts w:ascii="Times New Roman;sans-serif" w:hAnsi="Times New Roman;sans-serif"/>
          <w:b w:val="false"/>
          <w:color w:val="000000"/>
          <w:sz w:val="22"/>
          <w:u w:val="single"/>
        </w:rPr>
        <w:t>Litigation</w:t>
      </w:r>
      <w:r>
        <w:rPr>
          <w:rFonts w:ascii="Times New Roman;sans-serif" w:hAnsi="Times New Roman;sans-serif"/>
          <w:b w:val="false"/>
          <w:color w:val="000000"/>
          <w:sz w:val="22"/>
        </w:rPr>
        <w:t>") pending or threatened, against Seller relating to Facility or the Purchased Assets.</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There is no Order of any Governmental Entity or arbitrator outstanding against, or actual threatened (in writing), investigation by, any Governmental Entity involving the Facility or the Purchased Assets.</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4.11    Contracts</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As of the date hereof, each Assumed Contract and Shared Contract is and, as of the Initial Closing Date, will be in full force and effect and is a legal, valid and binding agreement of Seller and, to the Knowledge of Seller, is a legal, valid and binding agreement of each other party thereto, enforceable against Seller and, to the Knowledge of Seller, enforceable against each other party thereto in accordance with its terms, subject, as to enforcement of remedies, to bankruptcy, insolvency, reorganization, moratorium or similar Laws affecting the rights and remedies of creditors generally and subject to general principles of equity (regardless of whether such enforceability is considered in a proceeding at law or in equity). Seller has performed or is performing in all material respects all obligations required to be performed by it under the Assumed Contracts or Shared Contracts and is not in breach or default thereunder in any material respect, and all monetary obligations that are due and payable as of the date hereof have been paid in full. As of the date hereof, (i) there are no outstanding or past due payments under the Assumed Contracts or Shared Contracts, (ii) to the Knowledge of Seller, no other party to any of the Assumed Contracts or Shared Contracts is in breach or default thereunder, and (iii) to the Knowledge of Seller no event has occurred which, with or without notice, lapse of time, or both, would constitute a default under the provisions of such Assumed Contract or Shared Contract or would give to others any right of termination, amendment or cancellation of any Assumed Contract or Shared Contract.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Schedule 1.1(a)</w:t>
      </w:r>
      <w:r>
        <w:rPr>
          <w:color w:val="000000"/>
        </w:rPr>
        <w:t xml:space="preserve"> </w:t>
      </w:r>
      <w:r>
        <w:rPr>
          <w:rFonts w:ascii="Times New Roman;sans-serif" w:hAnsi="Times New Roman;sans-serif"/>
          <w:b w:val="false"/>
          <w:color w:val="000000"/>
          <w:sz w:val="22"/>
        </w:rPr>
        <w:t xml:space="preserve">sets forth a true and complete list of all Assumed Contracts and </w:t>
      </w:r>
      <w:r>
        <w:rPr>
          <w:rFonts w:ascii="Times New Roman;sans-serif" w:hAnsi="Times New Roman;sans-serif"/>
          <w:b w:val="false"/>
          <w:color w:val="000000"/>
          <w:sz w:val="22"/>
          <w:u w:val="single"/>
        </w:rPr>
        <w:t>Schedule 1.1(f)</w:t>
      </w:r>
      <w:r>
        <w:rPr>
          <w:color w:val="000000"/>
        </w:rPr>
        <w:t xml:space="preserve"> </w:t>
      </w:r>
      <w:r>
        <w:rPr>
          <w:rFonts w:ascii="Times New Roman;sans-serif" w:hAnsi="Times New Roman;sans-serif"/>
          <w:b w:val="false"/>
          <w:color w:val="000000"/>
          <w:sz w:val="22"/>
        </w:rPr>
        <w:t>sets forth a true and complete list of all Shared Contracts. Seller has prior to the date hereof delivered or made available to Purchaser a copy of each Assumed Contract or Shared Contract that is true and complete in all material respects (including all amendments, modifications, extensions, guarantees and renewals thereof and waivers thereunder).</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4.12    Title to and Sufficiency of Purchased Assets</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Seller owns, leases or has the legal right to use all of the Purchased Assets. Seller has good, valid and marketable title to all the Purchased Assets free and clear of all Encumbrances other than Permitted Encumbrances.</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The Asset Assignment Agreement, the Sublease Agreement and the assignments and other instruments to be executed and delivered by Seller to Purchaser at the Initial Closing, assuming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valid execution and delivery of the same by Purchaser (and, with respect to the Sublease Agreement, valid execution and delivery of the Landlord's Consent to Sublease Agreement), will be valid and binding obligations of Seller, enforceable in accordance with their respective terms, and will vest in Purchaser good, valid and marketable title to, and ownership of, the Purchased Assets free and clear of all Encumbrances as of immediately following the Initial Closing, except Permitted Encumbrances and Assumed Liabilities.</w:t>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60655"/>
                <wp:effectExtent l="0" t="0" r="0" b="0"/>
                <wp:wrapNone/>
                <wp:docPr id="154" name="Frame1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All of the Equipment included in the Purchased Assets is, to Knowledge of Seller, in good condition and repair. The Transferred Tangible Assets are adequate and suitable for their present uses in all material respects and include all Equipment and other tangible assets reasonably necessary to operate the Purchased Assets as operated by Seller as of the date hereof.</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4.13    The Facility and Facility Lease</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The Facility Lease is in full force and effect and is a valid, binding and enforceable obligation of Seller and the other parties thereto. Seller possesses a valid and existing leasehold interest in, and the right to quiet enjoyment of the Facility free and clear of any Encumbrances, except for Permitted Encumbrances. Seller has made available to Purchaser a true, correct and complete copy of the Facility Lease, and all amendments, modifications and supplemental agreements thereto, and guaranties thereof.</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To the Knowledge of Seller, there is no pending or threatened in writing condemnation, eminent domain or similar proceeding with respect to the Facility or any portion thereof. The current use of the Facility by Seller is in compliance in all material respects with all applicable Laws. No Action is pending or threatened in writing claiming that the use of the Facility violates any applicable Law. There are no suits, petitions, notices or proceedings pending, given or threatened in writing by any Persons or Regulatory Authorities before any court or Regulatory Authorities, which if given, commenced or concluded, individually or in the aggregate, would impair or interfere with the leasehold interest, or use of the Facility. The current use of the buildings, fixtures, and other improvements currently located on the Facility as presently conducted by Seller is not in violation of or in conflict with, in any respect, any applicable building code, zoning ordinance or other applicable Law. Seller has obtained any permits and other necessary authorizations related to Seller's use of the Facility as of the date hereof.</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Seller has not subleased, licensed, or granted the right to use or occupy any portion of the Facility to any third parties and there are no third parties in possession or control of all or any portion of the Facility.</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Seller does not owe nor will it owe in the future (in connection with the activities of Seller prior to the Lease Assignment Closing) any brokerage commissions or finders' fees with respect to the Facility or the Facility Lease.</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No Encumbrance other than any Permitted Encumbrance adversely affects the current use of the Facility, and Seller is in compliance with all Encumbrances encumbering the Facility.</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    Seller has not received written notice from any third party, related to any dispute or disagreement in connection with the Facility.</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(g)    The Facility Lease has not been terminated by Landlord, and the Facility Lease has not been modified, supplemented or amended in any way except as otherwise set forth in this Agreement. The Facility Lease represents the entire agreement between Seller and Landlord under the Facility Lease as to the leased premises thereunder, and there are no other agreements or understandings, written or oral, between Seller and Landlord with respect to the Facility Lease.</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4.14    Environmental Matters</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To the Knowledge of Seller, the Purchased Assets, the Facility and all operations of the Seller at the Facility are in compliance in all respects with all applicable Environmental Laws,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including possessing and complying with the terms of all Environmental Permits required for their operations under applicable Environmental Laws. No Environmental Claim or other Action is pending or, to the Knowledge of Seller, threatened, the effect of which would be to terminate, suspend, revoke or materially modify any such Environmental Permit. To the Knowledge of Seller, no material capital expense is required in order to achieve or maintain the Facility's compliance with Environmental Laws or any such Environmental Permits.</w:t>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60655"/>
                <wp:effectExtent l="0" t="0" r="0" b="0"/>
                <wp:wrapNone/>
                <wp:docPr id="155" name="Frame1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There is no pending or, to the Knowledge of Seller, threatened Environmental Claim against Seller with respect to the Purchased Assets or the Facility. Seller is not a party or subject to any Order or other agreement that resolves or settles any Environmental Claim asserted in relation to the Purchased Assets or the Facility.</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Neither Seller nor, to the Knowledge of Seller, any third party, has released any Hazardous Materials at, onto, under or from the Facility in a manner that would reasonably be expected to result in material liability or investigatory or remedial obligations for the owner or operator of the Facility pursuant to Environmental Law.</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Seller has delivered or made available to Purchaser all material assessments, reports, data, results of investigations or audits, and other information that are or at any time were in the possession of Seller pertaining to (i) any unresolved Environmental Claims against Seller relating to the Purchased Assets, the Facility or the operations of the Seller, (ii) relating to the compliance of the Purchased Assets, the Facility or the operations of the Seller with applicable Environmental Laws, or (iii) the environmental condition of the Facility or the Purchased Assets.</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4.15    Intellectual Property</w:t>
      </w:r>
      <w:r>
        <w:rPr>
          <w:rFonts w:ascii="Times New Roman;sans-serif" w:hAnsi="Times New Roman;sans-serif"/>
          <w:b w:val="false"/>
          <w:color w:val="000000"/>
          <w:sz w:val="22"/>
        </w:rPr>
        <w:t>. Seller solely owns, or has a valid right to use, all Transferred Intellectual Property free and clear of any Encumbrances, other than Permitted Encumbrances and licenses granted to service providers conducting activities on behalf of Seller. [***]. There is not now and has not been at any time a pending or threatened (in writing) Action, allegation, or notice (including in the form of a written offer or invitation to obtain a license) against Seller (i) alleging misappropriation, infringement, dilution or other violation of any Person's Intellectual Property in connection with the use of the Purchased Assets, the Facility, or the Licensed Technology, or (ii) alleging misuse or antitrust violations arising from the use by Seller of the Facility, any Purchased Assets, or any of the Licensed Technology.</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4.16    Employee Benefits</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Schedule 4.16(a)</w:t>
      </w:r>
      <w:r>
        <w:rPr>
          <w:color w:val="000000"/>
        </w:rPr>
        <w:t xml:space="preserve"> </w:t>
      </w:r>
      <w:r>
        <w:rPr>
          <w:rFonts w:ascii="Times New Roman;sans-serif" w:hAnsi="Times New Roman;sans-serif"/>
          <w:b w:val="false"/>
          <w:color w:val="000000"/>
          <w:sz w:val="22"/>
        </w:rPr>
        <w:t>of the Seller Disclosure Schedules sets forth, as of the date hereof, a true, complete and correct list of each material Employee Plan. For purposes of this Agreement, "</w:t>
      </w:r>
      <w:r>
        <w:rPr>
          <w:rFonts w:ascii="Times New Roman;sans-serif" w:hAnsi="Times New Roman;sans-serif"/>
          <w:b w:val="false"/>
          <w:color w:val="000000"/>
          <w:sz w:val="22"/>
          <w:u w:val="single"/>
        </w:rPr>
        <w:t>Employee Plan</w:t>
      </w:r>
      <w:r>
        <w:rPr>
          <w:rFonts w:ascii="Times New Roman;sans-serif" w:hAnsi="Times New Roman;sans-serif"/>
          <w:b w:val="false"/>
          <w:color w:val="000000"/>
          <w:sz w:val="22"/>
        </w:rPr>
        <w:t>" means each "employee benefit plan" (as defined in Section 3(3) of ERISA, whether or not subject to ERISA), and each employment, individual independent contractor, bonus (whether contractual or discretionary), commission, equity or equity-based incentive, stock purchase, stock ownership, stock bonus, deferred compensation, retiree medical or life insurance, supplemental retirement, retirement, pension, health or welfare, severance, transaction, change in control, retention, vacation or paid time-off, fringe benefit or other compensatory or employee benefit plan, program, policy, agreement or arrangement, whether written or unwritten, which is maintained, contributed (or required to be contributed) to or sponsored by Seller or any of its Affiliates for the benefit of any Facility Worker (or the dependent or beneficiary of any Facility Worker).</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Seller has made available to Purchaser a summary of the material welfare benefit and retirement plans in which the Facility Workers are eligible to participate.</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No Employee Plan is, and neither Seller nor any of its ERISA Affiliates maintains, sponsors or contributes to, or has, within the past six (6) years, maintained, sponsored or contributed (or been required to contribute) to, or has or had any Liability with respect to any of the following: (i) any "multiemployer plan" (as defined in Section 3(37) or 4001(a)(3) of ERISA); (ii) any "multiple employer plan" (as described in Section 413(c) of the Code); (iii) any "multiple employer welfare arrangement" (as defined in Section 3(40) of ERISA); or (iv), any employee benefit plan that is subject to Title IV of ERISA or Section 412 of the Code.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(d)    Other than as set forth in </w:t>
      </w:r>
      <w:r>
        <w:rPr>
          <w:rFonts w:ascii="Times New Roman;sans-serif" w:hAnsi="Times New Roman;sans-serif"/>
          <w:b w:val="false"/>
          <w:color w:val="000000"/>
          <w:sz w:val="22"/>
          <w:u w:val="single"/>
        </w:rPr>
        <w:t>Schedule 4.16(d)</w:t>
      </w:r>
      <w:r>
        <w:rPr>
          <w:color w:val="000000"/>
        </w:rPr>
        <w:t xml:space="preserve"> </w:t>
      </w:r>
      <w:r>
        <w:rPr>
          <w:rFonts w:ascii="Times New Roman;sans-serif" w:hAnsi="Times New Roman;sans-serif"/>
          <w:b w:val="false"/>
          <w:color w:val="000000"/>
          <w:sz w:val="22"/>
        </w:rPr>
        <w:t>of the Seller Disclosure Schedules, neither the execution of this Agreement or the other Ancillary Agreements nor the consummation of the transactions contemplated by this Agreement (either together with or upon the occurrence of any additional or subsequent events) will with respect to any Facility Worker (i) increase any compensation or benefits otherwise due under any Employee Plan; (ii) cause an entitlement to or obligation to make any severance pay, increase in severance pay, or any other similar payment or benefit; (iii) accelerate the timing of payment, funding or vesting, or increase the amount of compensation (including equity or equity-based compensation); (iv) result in any forgiveness of indebtedness; or (v) result in any "excess parachute payment" within the meaning of Section 280G of the Code. No Facility Worker is entitled to any gross-up, make-whole, or other additional payment from Seller in respect of any Tax or interest or penalty related thereto under Sections 409A or 4999 of the Code or otherwise.</w:t>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60655"/>
                <wp:effectExtent l="0" t="0" r="0" b="0"/>
                <wp:wrapNone/>
                <wp:docPr id="156" name="Frame1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Each Employee Plan that is intended to be qualified under Section 401(a) of the Code has received a timely, favorable determination, advisory or opinion letter from the IRS to the effect that the Employee Plan meets the requirements of Code Section 401(a). No fact or event has occurred since the date of such determination, advisory or opinion letter from the IRS that would reasonably be expected to adversely affect the qualified status of any such Employee Plan or the exempt status of any related trust.</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4.17    Labor and Employment Matters</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Schedule 1.1(c)</w:t>
      </w:r>
      <w:r>
        <w:rPr>
          <w:color w:val="000000"/>
        </w:rPr>
        <w:t xml:space="preserve"> </w:t>
      </w:r>
      <w:r>
        <w:rPr>
          <w:rFonts w:ascii="Times New Roman;sans-serif" w:hAnsi="Times New Roman;sans-serif"/>
          <w:b w:val="false"/>
          <w:color w:val="000000"/>
          <w:sz w:val="22"/>
        </w:rPr>
        <w:t xml:space="preserve">sets forth a complete and correct list of each Facility Worker, including such individual's: (A) name (B) title or position (including whether full or part time), (C) classification as an employee or independent contractor, (D) hire date, (E) current annual base salary, wage rate or consulting fee (as applicable), (F) whether exempt or non-exempt (if applicable), (G) target commission, bonus or other incentive-based compensation potential, (H) equity or other non-cash compensation, (I) leave status (and if on leave, the duration and expected return date), (J) visa status and expiration date (if applicable), (K) work location (city, state, and country) and (L) employing or engaging entity. Schedule 1.1(c) also sets forth a description of the services provided for each of the individuals classified as independent contractors. To the Knowledge of Seller, no Facility Worker (i) intends to terminate such individual's relationship or status as an "employee" or "independent contractor," as applicable, with Seller or any of its Affiliates or to materially reduce such Facility Worker's working hours with respect to Seller or any of its Affiliates or (ii) intends not to accept an offer of employment from Purchaser made pursuant to </w:t>
      </w:r>
      <w:r>
        <w:rPr>
          <w:rFonts w:ascii="Times New Roman;sans-serif" w:hAnsi="Times New Roman;sans-serif"/>
          <w:b w:val="false"/>
          <w:color w:val="000000"/>
          <w:sz w:val="22"/>
          <w:u w:val="single"/>
        </w:rPr>
        <w:t>Section 6.12</w:t>
      </w:r>
      <w:r>
        <w:rPr>
          <w:rFonts w:ascii="Times New Roman;sans-serif" w:hAnsi="Times New Roman;sans-serif"/>
          <w:b w:val="false"/>
          <w:color w:val="000000"/>
          <w:sz w:val="22"/>
        </w:rPr>
        <w:t>. Neither Seller nor any of its Affiliates has provided any assurances, promises, or commitments is (contingent or otherwise) to any Facility Worker of any terms or conditions of employment or engagement with Seller, Purchaser or any of their respective Affiliates following the Initial Closing inconsistent with the terms of this Agreement.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All Facility Workers are employed or engaged (as applicable) by Seller on an "at-will" basis and their employment or engagement is terminable upon [***] notice or less by Seller or its Affiliates, as applicable, without cash compensation, except for wages or fees earned prior to the time of termination.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No individual engaged as an independent contractor by, or employed by, Seller, other than the Facility Workers, provides services at the Facility or otherwise with respect to the Purchased Assets.</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To Seller's Knowledge, no Facility Worker has ever been the subject of any sexual harassment, sexual assault, or sexual discrimination allegations during his or her tenure with Seller or any of its Affiliates, in connection with such individual's work or services, as applicable, for Seller or the applicable Affiliate of Seller.</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There is no Contract with any Facility Worker which provides that a change in ownership of the Purchased Assets or any portion thereof, in and of itself, entitles such Facility Worker to any cash payment or additional period of notice or entitles such Facility Worker to treat himself or herself as redundant or otherwise dismissed or released from any obligation.</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    With respect to the Facility Workers, Seller and each of its Affiliates are currently, and have been for the past three (3) years, in compliance in all material respects with all applicable Laws regarding labor and employment, including those related to employment practices, terms and conditions of employment, child labor, background checks and drug testing, withholdings and deductions, nondiscrimination, non-harassment and non-retaliation in employment, wages and hours, classification and payment of employees and independent contractors, leaves of absence, accommodations, collective bargaining, equal opportunity, disability rights, family and medical leave, occupational health and safety (including any applicable Laws related to the COVID-19 Pandemic), workers' compensation, immigration and work permit, notice of termination and redundancy, plant closings and mass layoffs, the payment of social security, and has not engaged in any unfair labor practice. Each Facility Worker has provided documentation establishing that they are lawfully eligible to work for Seller or the applicable Affiliate of Seller in the jurisdiction in which such individual is employed or engaged. All necessary visa or work authorization petitions have been timely and properly filed on behalf of any Facility Worker requiring a visa stamp, I-94 status document, employment authorization document or other immigration document to legally work in the United States, and all paperwork retention requirements with respect to such applications and petitions have been met.</w:t>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60655"/>
                <wp:effectExtent l="0" t="0" r="0" b="0"/>
                <wp:wrapNone/>
                <wp:docPr id="157" name="Frame1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(g)    There are no, and since the inception of Seller there have not been any, Actions against Seller or any of its Affiliates in relation to the Facility Workers pending or, to the Knowledge of Seller, threatened in writing, against Seller or any of its Affiliates regarding labor and employment matters, including, without limitation, any claim relating to unfair labor practices, employment discrimination, harassment, restrictive covenants, wages and hours, remote work, retaliation, or equal pay, or in connection with the employment or retention or termination of employment or engagement of any current or former employee, independent contractor, or other non-employee service provider.</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(h)    There are no outstanding loans, advances or similar extensions of credit from Seller or any of its Affiliates to any of their respective Facility Workers. Except in respect of reimbursement of out-of-pocket expenses and normal accrual of compensation, no sum is owing or promised to any Facility Worker by Seller or any of its Affiliates, including any outstanding loans, advances or similar extensions of credit.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(i)    With respect to the Facility Workers, the Facility and the Purchased Assets, neither Seller nor any of its Affiliates is or has at any time been a party, or otherwise subject, to any collective bargaining agreement, memoranda of understanding, work council agreement, or other Contract with any labor or trade union or works council (a "</w:t>
      </w:r>
      <w:r>
        <w:rPr>
          <w:rFonts w:ascii="Times New Roman;sans-serif" w:hAnsi="Times New Roman;sans-serif"/>
          <w:b w:val="false"/>
          <w:color w:val="000000"/>
          <w:sz w:val="22"/>
          <w:u w:val="single"/>
        </w:rPr>
        <w:t>Union</w:t>
      </w:r>
      <w:r>
        <w:rPr>
          <w:rFonts w:ascii="Times New Roman;sans-serif" w:hAnsi="Times New Roman;sans-serif"/>
          <w:b w:val="false"/>
          <w:color w:val="000000"/>
          <w:sz w:val="22"/>
        </w:rPr>
        <w:t>"), and no such Contract is being negotiated by Seller or any of its Affiliates. No Facility Worker is represented by any Union or otherwise covered by any Contract with any Union in connection with their employment by or service to Seller or any of its Affiliates, and to the Knowledge of Seller, there are no, and there is no threat of any, organizational efforts or activities of, or proceedings initiated by or on behalf of, any Union. No petition has been filed or proceedings instituted by or on behalf of any Facility Worker against Seller or any of its Affiliates with any labor relations board seeking recognition of a bargaining representative. No demand for recognition of any Facility Worker has been made by, or on behalf of, any Union involving Seller or its Affiliates. No notice to, consent of, consultation of, or the rendering of formal advice by any Union will be a condition precedent to, triggered by, or otherwise required in advance of, the execution of this Agreement or any other Ancillary Agreement or the consummation of any of the transactions contemplated by this Agreement. There is no unfair labor practice complaint against Seller or any of its Affiliates pending before the National Labor Relations Board.</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(j)    Since the inception of Seller, (i) neither Seller nor any of its Affiliates has experienced, nor to the Knowledge of Seller has there been any threat of, any labor strike, lockout, picketing, slow down or stoppage, concerted refusal to work overtime or other similar labor activity or dispute affecting the Seller or its Affiliates; and (ii) neither Seller nor any of its Affiliates has received any demand letters, civil rights charges, suits, or complaints (or threats thereof) or, to the Knowledge of Seller, been subject to an investigation related to claims made by any of its current or former Facility Workers, whether before the Equal Employment Opportunity Commission, the National Labor Relations Board, the U.S. Department of Labor, the U.S. Occupational Safety and Health Administration, the Workers Compensation Appeals Board, the Equality and Human Rights Commission, the Office of the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Information Commissioner or any other Governmental Entity or health and safety enforcement body, or any similar state administrative agency.</w:t>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60655"/>
                <wp:effectExtent l="0" t="0" r="0" b="0"/>
                <wp:wrapNone/>
                <wp:docPr id="158" name="Frame1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(k)    Neither Seller nor its Affiliates has taken any action since the inception of Seller with respect to any of its or their respective employees that would trigger notice, compensation, or other obligations under the Worker Adjustment and Retraining Notification Act of 1988, as amended, or any similar applicable Law (collectively, the "</w:t>
      </w:r>
      <w:r>
        <w:rPr>
          <w:rFonts w:ascii="Times New Roman;sans-serif" w:hAnsi="Times New Roman;sans-serif"/>
          <w:b w:val="false"/>
          <w:color w:val="000000"/>
          <w:sz w:val="22"/>
          <w:u w:val="single"/>
        </w:rPr>
        <w:t>WARN Act</w:t>
      </w:r>
      <w:r>
        <w:rPr>
          <w:rFonts w:ascii="Times New Roman;sans-serif" w:hAnsi="Times New Roman;sans-serif"/>
          <w:b w:val="false"/>
          <w:color w:val="000000"/>
          <w:sz w:val="22"/>
        </w:rPr>
        <w:t>") regarding redundancies, reductions in force, mass layoffs and plant closings.</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(l)    Neither Seller nor its Affiliates has furloughed, placed on unpaid leave (other than as required by Law), terminated the employment of, or materially reduced the compensation or benefits of, or materially modified the working schedule of twenty-five (25) or more Facility Workers, in each case for any reason relating to COVID-19.</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4.18    Brokers</w:t>
      </w:r>
      <w:r>
        <w:rPr>
          <w:rFonts w:ascii="Times New Roman;sans-serif" w:hAnsi="Times New Roman;sans-serif"/>
          <w:b w:val="false"/>
          <w:color w:val="000000"/>
          <w:sz w:val="22"/>
        </w:rPr>
        <w:t>. No broker, finder or investment banker is entitled to any brokerage, finders or other fee or commission in connection with the transactions contemplated by this Agreement based upon arrangements made by or on behalf of Seller.</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4.19    Insurance</w:t>
      </w:r>
      <w:r>
        <w:rPr>
          <w:rFonts w:ascii="Times New Roman;sans-serif" w:hAnsi="Times New Roman;sans-serif"/>
          <w:b w:val="false"/>
          <w:color w:val="000000"/>
          <w:sz w:val="22"/>
        </w:rPr>
        <w:t xml:space="preserve">. Seller maintains insurance policies related to the Facility and the Purchased Assets as set forth in </w:t>
      </w:r>
      <w:r>
        <w:rPr>
          <w:rFonts w:ascii="Times New Roman;sans-serif" w:hAnsi="Times New Roman;sans-serif"/>
          <w:b w:val="false"/>
          <w:color w:val="000000"/>
          <w:sz w:val="22"/>
          <w:u w:val="single"/>
        </w:rPr>
        <w:t>Schedule 4.19</w:t>
      </w:r>
      <w:r>
        <w:rPr>
          <w:color w:val="000000"/>
        </w:rPr>
        <w:t xml:space="preserve"> </w:t>
      </w:r>
      <w:r>
        <w:rPr>
          <w:rFonts w:ascii="Times New Roman;sans-serif" w:hAnsi="Times New Roman;sans-serif"/>
          <w:b w:val="false"/>
          <w:color w:val="000000"/>
          <w:sz w:val="22"/>
        </w:rPr>
        <w:t>of the Seller Disclosure Schedules. Any premiums for such insurance policies have been paid in full through the date hereof. As of the date hereof, Seller has not received any written notice from any insurance carrier of any matter that, if not corrected, would result in a termination of insurance coverage or increase in the present cost thereof.</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4.20    No Bankruptcy/Dissolution</w:t>
      </w:r>
      <w:r>
        <w:rPr>
          <w:rFonts w:ascii="Times New Roman;sans-serif" w:hAnsi="Times New Roman;sans-serif"/>
          <w:b w:val="false"/>
          <w:color w:val="000000"/>
          <w:sz w:val="22"/>
        </w:rPr>
        <w:t>. No Bankruptcy/Dissolution Event has occurred with respect to Seller. As used herein, a "</w:t>
      </w:r>
      <w:r>
        <w:rPr>
          <w:rFonts w:ascii="Times New Roman;sans-serif" w:hAnsi="Times New Roman;sans-serif"/>
          <w:b w:val="false"/>
          <w:color w:val="000000"/>
          <w:sz w:val="22"/>
          <w:u w:val="single"/>
        </w:rPr>
        <w:t>Bankruptcy/Dissolution Event</w:t>
      </w:r>
      <w:r>
        <w:rPr>
          <w:rFonts w:ascii="Times New Roman;sans-serif" w:hAnsi="Times New Roman;sans-serif"/>
          <w:b w:val="false"/>
          <w:color w:val="000000"/>
          <w:sz w:val="22"/>
        </w:rPr>
        <w:t>" means any of the following: (a) the commencement of a case under Title 11 of the United States Code or under any other applicable bankruptcy Law or insolvency Law; (b) the appointment of a trustee or receiver for its property; (c) a dissolution or liquidation; (d) an assignment for the benefit of creditors; (e) an admission by in writing of insolvency or inability to pay debts as they become due; or (f) the entry into a Contract to do any of the foregoing.</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ARTICLE V</w:t>
        <w:br/>
        <w:br/>
        <w:t>REPRESENTATIONS AND WARRANTIES OF PURCHASER AND TOPCO</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Purchaser hereby represents and warrants to Seller as follows:</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5.1    Organization and Good Standing</w:t>
      </w:r>
      <w:r>
        <w:rPr>
          <w:rFonts w:ascii="Times New Roman;sans-serif" w:hAnsi="Times New Roman;sans-serif"/>
          <w:b w:val="false"/>
          <w:color w:val="000000"/>
          <w:sz w:val="22"/>
        </w:rPr>
        <w:t>. Purchaser and TopCo are each, respectively, a limited liability company and a corporation duly organized, validly existing and in good standing under the Laws of the State of Delaware. Each of Purchaser and TopCo are duly qualified or licensed to do business and is in good standing in each jurisdiction in which the nature or conduct of each of their businesses or the ownership, leasing or operation of their respective properties and other assets requires them to be so qualified, licensed or in good standing, except for such jurisdictions where the failure to be so qualified, licensed or in good standing has not had, and would not reasonably be expected to have, individually or in the aggregate, a Purchaser Material Adverse Effect.</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5.2    Authority</w:t>
      </w:r>
      <w:r>
        <w:rPr>
          <w:rFonts w:ascii="Times New Roman;sans-serif" w:hAnsi="Times New Roman;sans-serif"/>
          <w:b w:val="false"/>
          <w:color w:val="000000"/>
          <w:sz w:val="22"/>
        </w:rPr>
        <w:t xml:space="preserve">. Purchaser and TopCo each have, respectively, all requisite corporate power and authority to own and operate their properties and assets, to carry on each of their business as it is now being conducted and to execute and deliver this Agreement and the Ancillary Agreements and to perform their respective obligations hereunder and thereunder. The execution and delivery by Purchaser and TopCo of this Agreement and the Ancillary Agreements and the performance by each of Purchaser and Topco of their respective obligations hereunder and thereunder have been duly authorized by all requisite corporate action on the part of each of Purchaser and TopCo and no additional authorization on the part of Purchaser or TopCo is necessary in connection with the execution, delivery and performance of this Agreement or of the Ancillary Agreements. No approval of each of Purchaser's and TopCo's shareholders is necessary for Purchaser and TopCo to execute and deliver this Agreement or any Ancillary Agreements or perform the transactions contemplated hereby or thereby. This Agreement and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each Ancillary Agreement to be executed on the date hereof has been, and each other Ancillary Agreement to be executed on the Initial Closing Date will be, duly executed and delivered by each of Purchaser and TopCo, as applicable, and, assuming the valid execution and delivery by Seller, constitute a legal, valid and binding obligation of each of Purchaser and TopCo, enforceable against each of Purchaser and TopCo in accordance with its terms, except as enforcement may be limited by bankruptcy, insolvency, reorganization, fraudulent conveyance, moratorium or similar Laws affecting creditors' rights generally or by general principles of equity (regardless of whether enforcement is sought in a proceeding in equity or law). </w:t>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60655"/>
                <wp:effectExtent l="0" t="0" r="0" b="0"/>
                <wp:wrapNone/>
                <wp:docPr id="159" name="Frame1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5.3    No Conflict</w:t>
      </w:r>
      <w:r>
        <w:rPr>
          <w:rFonts w:ascii="Times New Roman;sans-serif" w:hAnsi="Times New Roman;sans-serif"/>
          <w:b w:val="false"/>
          <w:color w:val="000000"/>
          <w:sz w:val="22"/>
        </w:rPr>
        <w:t>. The execution, delivery and performance of this Agreement and each of the Ancillary Agreements by each of Purchaser and TopCo and the consummation of the transactions contemplated hereby and thereby, do not and will not (a) violate any provision of the operating agreement, certificate of incorporation bylaws or other organizational documents of Purchaser or TopCo, as applicable, (b) violate or conflict with, or result in a breach of, constitute a default under, or create rights of acceleration, termination or cancellation under, or to a loss of any benefit to which Purchaser, TopCo or any of their respective Affiliates is entitled under, any agreement, lease of real estate or license of intellectual property to which Purchaser, TopCo or any of their respective Affiliates is a party or to which their respective properties or assets are subject or (c) violate, in any material respect, or result in a material breach of or constitute a material default under any Law or other restriction of any Governmental Entity to which Seller is subject, except, with respect to clauses (b) and (c), for any conflicts, violations, breaches or defaults that would not, individually or in the aggregate, reasonably be expected to have a Purchaser Material Adverse Effect.</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5.4    Required Filings and Consents</w:t>
      </w:r>
      <w:r>
        <w:rPr>
          <w:rFonts w:ascii="Times New Roman;sans-serif" w:hAnsi="Times New Roman;sans-serif"/>
          <w:b w:val="false"/>
          <w:color w:val="000000"/>
          <w:sz w:val="22"/>
        </w:rPr>
        <w:t>. The execution and delivery of this Agreement by Purchaser and the consummation of the transactions contemplated hereby, do not require any consents, approvals, notices and filings with any Governmental Entities.</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5.5    Litigation</w:t>
      </w:r>
      <w:r>
        <w:rPr>
          <w:rFonts w:ascii="Times New Roman;sans-serif" w:hAnsi="Times New Roman;sans-serif"/>
          <w:b w:val="false"/>
          <w:color w:val="000000"/>
          <w:sz w:val="22"/>
        </w:rPr>
        <w:t>. There is no Litigation pending or threatened (or otherwise reasonably anticipated) against Purchaser which, individually or in the aggregate, would reasonably be expected to prevent or materially delay the consummation of the transactions contemplated by this Agreement or the Ancillary Agreements. There are no Orders of any Governmental Entity or arbitrator outstanding against or, to the knowledge of Purchaser, investigation by, any Governmental Entity involving Purchaser or any of its assets which, individually or in the aggregate, would reasonably be expected to prevent or materially delay the consummation of the transactions contemplated by this Agreement.</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5.6    Brokers</w:t>
      </w:r>
      <w:r>
        <w:rPr>
          <w:rFonts w:ascii="Times New Roman;sans-serif" w:hAnsi="Times New Roman;sans-serif"/>
          <w:b w:val="false"/>
          <w:color w:val="000000"/>
          <w:sz w:val="22"/>
        </w:rPr>
        <w:t>. No broker, finder or investment banker is entitled to any brokerage, finders or other fee or commission in connection with the transactions contemplated by this Agreement based upon arrangements made by or on behalf of Purchaser or any of its Affiliates.</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5.7    Sufficiency of Funds</w:t>
      </w:r>
      <w:r>
        <w:rPr>
          <w:rFonts w:ascii="Times New Roman;sans-serif" w:hAnsi="Times New Roman;sans-serif"/>
          <w:b w:val="false"/>
          <w:color w:val="000000"/>
          <w:sz w:val="22"/>
        </w:rPr>
        <w:t>. On the Initial Closing Date, Purchaser shall have sufficient cash to pay the Cash Consideration at the Initial Closing. Purchaser has delivered true and correct copies of the Equity Commitments Letters to Seller. The Equity Commitment Letters are in full force and effect and each and is a valid and binding obligation of Purchaser, TopCo and the other parties thereto, except as enforceability may be limited by bankruptcy, insolvency, fraudulent transfer, reorganization, moratorium or other similar Laws relating to or affecting the rights of creditors generally and by equitable principles, including those limiting the availability of specific performance, injunctive relief and other equitable remedies and those providing for equitable defenses. No event has occurred which, with or without notice, lapse of time or both, would constitute a material breach or default by Purchaser, TopCo or the other parties thereto thereunder. Following the Initial Closing on the terms and conditions contemplated by this Agreement, Purchaser shall have access, pursuant to the Equity Commitment Letters, to sufficient cash to satisfy its obligations hereunder on the terms and conditions specified therein</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5.8    </w:t>
      </w:r>
      <w:r>
        <w:rPr>
          <w:rFonts w:ascii="Times New Roman;sans-serif" w:hAnsi="Times New Roman;sans-serif"/>
          <w:b w:val="false"/>
          <w:color w:val="000000"/>
          <w:sz w:val="22"/>
        </w:rPr>
        <w:t>[***]</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ARTICLE VI</w:t>
        <w:br/>
        <w:br/>
        <w:t>COVENANTS</w:t>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60655"/>
                <wp:effectExtent l="0" t="0" r="0" b="0"/>
                <wp:wrapNone/>
                <wp:docPr id="160" name="Frame1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94.3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6.1    Conduct of Business</w:t>
      </w:r>
      <w:r>
        <w:rPr>
          <w:rFonts w:ascii="Times New Roman;sans-serif" w:hAnsi="Times New Roman;sans-serif"/>
          <w:b w:val="false"/>
          <w:color w:val="000000"/>
          <w:sz w:val="22"/>
        </w:rPr>
        <w:t>. From and after the date hereof and until the Initial Closing, except (1) as otherwise expressly contemplated by this Agreement or any Ancillary Agreement or (2) as Purchaser shall otherwise consent in writing, Seller agrees that it shall operate the Facility and use and maintain the Purchased Assets, and will cause the Facility to be operated and the Purchased Assets to be used and maintained, in the ordinary course and consistent with past practice ("</w:t>
      </w:r>
      <w:r>
        <w:rPr>
          <w:rFonts w:ascii="Times New Roman;sans-serif" w:hAnsi="Times New Roman;sans-serif"/>
          <w:b w:val="false"/>
          <w:color w:val="000000"/>
          <w:sz w:val="22"/>
          <w:u w:val="single"/>
        </w:rPr>
        <w:t>Ordinary Course of Business</w:t>
      </w:r>
      <w:r>
        <w:rPr>
          <w:rFonts w:ascii="Times New Roman;sans-serif" w:hAnsi="Times New Roman;sans-serif"/>
          <w:b w:val="false"/>
          <w:color w:val="000000"/>
          <w:sz w:val="22"/>
        </w:rPr>
        <w:t>"). Without in any way limiting the generality of the foregoing and subject to applicable Law, from and after the date hereof and to the Initial Closing, except (x) as otherwise expressly contemplated by this Agreement or (y) as Purchaser shall otherwise consent in writing (which consent shall not be unreasonably withheld, conditioned or delayed), Seller covenants and agrees as follows:</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Seller shall consult and collaborate in good faith with Purchaser with respect to hiring or engaging any Person in connection with the Facility;</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Seller shall use its commercially reasonable efforts, consistent with past practices and policies, to:</w:t>
      </w:r>
    </w:p>
    <w:p>
      <w:pPr>
        <w:pStyle w:val="TextBody"/>
        <w:bidi w:val="0"/>
        <w:spacing w:lineRule="auto" w:line="240"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    continue in full force and effect without modification all insurance policies related to the Facility or the Purchased Assets, other than modifications in the Ordinary Course of Business that do not adversely impact the benefit to Seller of such policies;</w:t>
      </w:r>
    </w:p>
    <w:p>
      <w:pPr>
        <w:pStyle w:val="TextBody"/>
        <w:bidi w:val="0"/>
        <w:spacing w:lineRule="auto" w:line="240"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(ii)    preserve intact the relationship of Seller with actual or prospective Facility Workers, vendors, suppliers, service providers and other third parties having material business relationships with Seller with respect to the Purchased Assets and the Facility; and</w:t>
      </w:r>
    </w:p>
    <w:p>
      <w:pPr>
        <w:pStyle w:val="TextBody"/>
        <w:bidi w:val="0"/>
        <w:spacing w:lineRule="auto" w:line="240"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(iii)    maintain all Transferred Tangible Assets in their current state of repair, order and condition and preserve all other Purchased Assets in accordance with its Ordinary Course of Business; and</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Seller shall not take any of the following actions:</w:t>
      </w:r>
    </w:p>
    <w:p>
      <w:pPr>
        <w:pStyle w:val="TextBody"/>
        <w:bidi w:val="0"/>
        <w:spacing w:lineRule="auto" w:line="240"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    fail to maintain in effect, or cause to maintain in effect, all Transferred Permits and any other Permits necessary to use the Facility and the Purchased Assets in the same manner as currently used;</w:t>
      </w:r>
    </w:p>
    <w:p>
      <w:pPr>
        <w:pStyle w:val="TextBody"/>
        <w:bidi w:val="0"/>
        <w:spacing w:lineRule="auto" w:line="240"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(ii)    sell, pledge, dispose of, transfer, lease, license, encumber or authorize the sale, pledge, disposition, transfer, lease, license or Encumbrance of any assets that are Purchased Assets, other than Permitted Encumbrances;</w:t>
      </w:r>
    </w:p>
    <w:p>
      <w:pPr>
        <w:pStyle w:val="TextBody"/>
        <w:bidi w:val="0"/>
        <w:spacing w:lineRule="auto" w:line="240"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(iii)    create, assume or permit to exist any Encumbrance, other than Permitted Encumbrances, on the Purchased Assets;</w:t>
      </w:r>
    </w:p>
    <w:p>
      <w:pPr>
        <w:pStyle w:val="TextBody"/>
        <w:bidi w:val="0"/>
        <w:spacing w:lineRule="auto" w:line="240"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(iv)    acquire, lease, sell or license any real property that constitutes Purchased Assets;</w:t>
      </w:r>
    </w:p>
    <w:p>
      <w:pPr>
        <w:pStyle w:val="TextBody"/>
        <w:bidi w:val="0"/>
        <w:spacing w:lineRule="auto" w:line="240"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(v)    acquire any properties or assets that constitute Purchased Assets;</w:t>
      </w:r>
    </w:p>
    <w:p>
      <w:pPr>
        <w:pStyle w:val="TextBody"/>
        <w:bidi w:val="0"/>
        <w:spacing w:lineRule="auto" w:line="240"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(vi)    settle any Litigation or claim or waive any claims or rights in a manner that would constitute an Assumed Liability from and after the Initial Closing; </w:t>
      </w:r>
    </w:p>
    <w:p>
      <w:pPr>
        <w:pStyle w:val="TextBody"/>
        <w:bidi w:val="0"/>
        <w:spacing w:lineRule="auto" w:line="240"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(vii)    enter into any new Contract that would be an Assumed Contract or Shared Contract or amend or renew any Contract pertaining to the Purchased Assets;</w:t>
      </w:r>
    </w:p>
    <w:p>
      <w:pPr>
        <w:pStyle w:val="TextBody"/>
        <w:bidi w:val="0"/>
        <w:spacing w:lineRule="auto" w:line="240"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(viii)    terminate, waive or amend any provision of any Assumed Contract or Shared Contract;</w:t>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60655"/>
                <wp:effectExtent l="0" t="0" r="0" b="0"/>
                <wp:wrapNone/>
                <wp:docPr id="161" name="Frame1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9.7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v:textbox>
                <w10:wrap type="none"/>
              </v:rect>
            </w:pict>
          </mc:Fallback>
        </mc:AlternateContent>
      </w:r>
    </w:p>
    <w:p>
      <w:pPr>
        <w:pStyle w:val="TextBody"/>
        <w:bidi w:val="0"/>
        <w:spacing w:lineRule="auto" w:line="240"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(ix)    except as required by applicable Tax Law, make or change any material Tax election, change any method of accounting, amend any material Tax Returns, enter into any material closing agreement with respect to Taxes, surrender any right to a material Tax refund, or settle or compromise any material Tax Liability, in each case with respect to the Purchased Assets or Transferred Workers; </w:t>
      </w:r>
    </w:p>
    <w:p>
      <w:pPr>
        <w:pStyle w:val="TextBody"/>
        <w:bidi w:val="0"/>
        <w:spacing w:lineRule="auto" w:line="240"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(x)    (A) hire, engage or transfer the employment or engagement of any Facility Worker in connection with the Facility; (B) terminate the employment or engagement of any Facility Worker; (C) negotiate, enter into, amend or extend any collective bargaining agreement or other Contract with a Union that covers any Facility Worker or otherwise relates to the Facility or recognize as the bargaining representative for any Facility Workers; or (D) increase the compensation or benefits of any Facility Worker other than a cost of living or contractually mandated increase; or</w:t>
      </w:r>
    </w:p>
    <w:p>
      <w:pPr>
        <w:pStyle w:val="TextBody"/>
        <w:bidi w:val="0"/>
        <w:spacing w:lineRule="auto" w:line="240"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(xi)    agree, in writing or otherwise, to take or authorize the taking of any of the foregoing actions.</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6.2    Conduct Regarding Facility Lease</w:t>
      </w:r>
      <w:r>
        <w:rPr>
          <w:rFonts w:ascii="Times New Roman;sans-serif" w:hAnsi="Times New Roman;sans-serif"/>
          <w:b w:val="false"/>
          <w:color w:val="000000"/>
          <w:sz w:val="22"/>
        </w:rPr>
        <w:t>. From and after the date hereof and until the earlier of the Lease Assignment Closing and the termination of the Sublease Agreement in accordance with its terms, [***].</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6.3    Information and Documents</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(a)    From time to time prior to the Initial Closing, upon reasonable advance notice and to the extent permitted by applicable Law, Seller shall permit Purchaser and its Representatives to have reasonable access, during normal business hours, to properties, including the Facility, assets, books, records, agreements, documents, data, files and personnel, in each case to the extent relating to the Facility, the Contractual Rights or the Purchased Assets, as may reasonably be requested by Purchaser;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such access shall not unreasonably interfere with Seller's operation of its businesses.</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Prior to the Initial Closing, all information received by Purchaser and given by or on behalf of Seller or any of its Representatives in connection with this Agreement and the Transactions will be held by Purchaser and its Representatives as "Confidential Information," as defined in, and pursuant to the terms of, the Confidentiality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(c)    Notwithstanding anything to the contrary in this Agreement, Seller shall use its commercially reasonable best efforts to deliver to Purchaser the Transferred Records as promptly as practicable following the Initial Closing, and shall continue to use its commercially reasonable best efforts to deliver to Purchaser any Transferred Records not previously delivered pursuant to this </w:t>
      </w:r>
      <w:r>
        <w:rPr>
          <w:rFonts w:ascii="Times New Roman;sans-serif" w:hAnsi="Times New Roman;sans-serif"/>
          <w:b w:val="false"/>
          <w:color w:val="000000"/>
          <w:sz w:val="22"/>
          <w:u w:val="single"/>
        </w:rPr>
        <w:t>Section 6.3(c)</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6.4    Trade Notification</w:t>
      </w:r>
      <w:r>
        <w:rPr>
          <w:rFonts w:ascii="Times New Roman;sans-serif" w:hAnsi="Times New Roman;sans-serif"/>
          <w:b w:val="false"/>
          <w:color w:val="000000"/>
          <w:sz w:val="22"/>
        </w:rPr>
        <w:t>. [***].</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6.5    License Agreement, Sub</w:t>
      </w:r>
      <w:r>
        <w:rPr>
          <w:rFonts w:ascii="Times New Roman;sans-serif" w:hAnsi="Times New Roman;sans-serif"/>
          <w:b w:val="false"/>
          <w:color w:val="000000"/>
          <w:sz w:val="22"/>
        </w:rPr>
        <w:t>-</w:t>
      </w:r>
      <w:r>
        <w:rPr>
          <w:rFonts w:ascii="Times New Roman;sans-serif" w:hAnsi="Times New Roman;sans-serif"/>
          <w:b/>
          <w:color w:val="000000"/>
          <w:sz w:val="22"/>
        </w:rPr>
        <w:t>License Agreement, and Use of Seller's Intellectual Property</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    After the Initial Closing, the Parties shall continue to negotiate in good faith, mutually agree the terms and conditions of, and subsequently enter into (i) a license agreement (the "</w:t>
      </w:r>
      <w:r>
        <w:rPr>
          <w:rFonts w:ascii="Times New Roman;sans-serif" w:hAnsi="Times New Roman;sans-serif"/>
          <w:b w:val="false"/>
          <w:color w:val="000000"/>
          <w:sz w:val="22"/>
          <w:u w:val="single"/>
        </w:rPr>
        <w:t>License Agreement</w:t>
      </w:r>
      <w:r>
        <w:rPr>
          <w:rFonts w:ascii="Times New Roman;sans-serif" w:hAnsi="Times New Roman;sans-serif"/>
          <w:b w:val="false"/>
          <w:color w:val="000000"/>
          <w:sz w:val="22"/>
        </w:rPr>
        <w:t>") and (ii) a sub-license agreement, (the "</w:t>
      </w:r>
      <w:r>
        <w:rPr>
          <w:rFonts w:ascii="Times New Roman;sans-serif" w:hAnsi="Times New Roman;sans-serif"/>
          <w:b w:val="false"/>
          <w:color w:val="000000"/>
          <w:sz w:val="22"/>
          <w:u w:val="single"/>
        </w:rPr>
        <w:t>Sub-License Agreement</w:t>
      </w:r>
      <w:r>
        <w:rPr>
          <w:rFonts w:ascii="Times New Roman;sans-serif" w:hAnsi="Times New Roman;sans-serif"/>
          <w:b w:val="false"/>
          <w:color w:val="000000"/>
          <w:sz w:val="22"/>
        </w:rPr>
        <w:t xml:space="preserve">"), each of which shall be agreed on the basis of, and be consistent with, the terms and principles set out in Exhibit I.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As set forth more fully in the Option Agreement, Purchaser's right to exercise its rights pursuant to the Option Agreement shall be conditioned upon and subject to the execution and delivery of each of the License Agreement and the Sub-License Agreement by Purchaser and Seller.</w:t>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60655"/>
                <wp:effectExtent l="0" t="0" r="0" b="0"/>
                <wp:wrapNone/>
                <wp:docPr id="162" name="Frame1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6.6    Other Post-Initial Closing Covenants</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From time to time after the Initial Closing, and for no further consideration, each of the Parties shall, and shall cause its Affiliates to, execute, acknowledge and deliver such assignments, transfers, consents, assumptions and other documents and instruments and take such other commercially reasonable actions as may reasonably be requested to more effectively assign, convey or transfer to or vest in Purchaser and its designated Affiliates the Purchased Assets and the Assumed Liabilities contemplated by this Agreement to be transferred or assumed at the Initial Closing (including transferring, at no additional cost to Purchaser, any Purchased Asset contemplated by this Agreement to be transferred to Purchaser at the Initial Closing and that was not so transferred at the Initial Closing);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Purchaser and TopCo shall (i) cause the Equity Commitment Letters to remain in full force and effect in accordance with their terms, (ii) take all best efforts to enforce the Equity Commitment Letters and to comply with all covenants and agreements set forth therein applicable to each of them and (iii) not modify, amend or waive any provision of either Equity Commitment Letter without Seller's written consent.</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6.7    Payments under Assumed Contracts and Transferred Permits</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If and to the extent that Seller has, prior to the Initial Closing Date, received any deposit or payment in advance in respect of obligations to be satisfied after the Initial Closing under any Assumed Contracts or Transferred Permits, Seller shall reimburse to Purchaser, within [***] from the Initial Closing Date, an amount corresponding to the amount of such deposit or payment received in advance.</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If and to the extent Purchaser receives any payment, refund, reimbursement or rebate following the Initial Closing in respect to obligations performed, satisfied or discharged by Seller prior to the Initial Closing under any Assumed Contracts or Transferred Permits, Purchaser shall reimburse to Seller, within [***] following Purchaser's receipt thereof, an amount corresponding to the amount of such payment, refund, reimbursement or rebate.</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6.8    [Reserved]</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6.9    Covenants with respect to Licensed Technology</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(b)    Seller and Purchaser each acknowledges and agrees that the remedy at law for any breach under this </w:t>
      </w:r>
      <w:r>
        <w:rPr>
          <w:rFonts w:ascii="Times New Roman;sans-serif" w:hAnsi="Times New Roman;sans-serif"/>
          <w:b w:val="false"/>
          <w:color w:val="000000"/>
          <w:sz w:val="22"/>
          <w:u w:val="single"/>
        </w:rPr>
        <w:t>Section 6.9</w:t>
      </w:r>
      <w:r>
        <w:rPr>
          <w:color w:val="000000"/>
        </w:rPr>
        <w:t xml:space="preserve"> </w:t>
      </w:r>
      <w:r>
        <w:rPr>
          <w:rFonts w:ascii="Times New Roman;sans-serif" w:hAnsi="Times New Roman;sans-serif"/>
          <w:b w:val="false"/>
          <w:color w:val="000000"/>
          <w:sz w:val="22"/>
        </w:rPr>
        <w:t>would be inadequate and that, in addition to and not in the alternative to any other remedies available, Purchaser and Seller shall be entitled to specific performance, injunctive relief or other equitable remedies in the event of any such breach or threatened breach by Seller or Purchaser, respectively, of any such covenants, without having to post bond, together with an award of its reasonable attorneys' fees incurred in enforcing its rights hereunder.</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6.10    Further Assurances; Governmental Review</w:t>
      </w:r>
      <w:r>
        <w:rPr>
          <w:rFonts w:ascii="Times New Roman;sans-serif" w:hAnsi="Times New Roman;sans-serif"/>
          <w:b w:val="false"/>
          <w:color w:val="000000"/>
          <w:sz w:val="22"/>
        </w:rPr>
        <w:t xml:space="preserve">. Subject to the terms and conditions of this Agreement, each of the Parties hereto shall cooperate with the other Parties hereto and use (and shall cause their respective Affiliates to use) their respective reasonable best efforts to promptly (a) take, or cause to be taken, all actions, and do, or cause to be done, all things necessary, proper or advisable to cause the conditions to Initial Closing set forth in </w:t>
      </w:r>
      <w:r>
        <w:rPr>
          <w:rFonts w:ascii="Times New Roman;sans-serif" w:hAnsi="Times New Roman;sans-serif"/>
          <w:b w:val="false"/>
          <w:color w:val="000000"/>
          <w:sz w:val="22"/>
          <w:u w:val="single"/>
        </w:rPr>
        <w:t>Article VII</w:t>
      </w:r>
      <w:r>
        <w:rPr>
          <w:color w:val="000000"/>
        </w:rPr>
        <w:t xml:space="preserve"> </w:t>
      </w:r>
      <w:r>
        <w:rPr>
          <w:rFonts w:ascii="Times New Roman;sans-serif" w:hAnsi="Times New Roman;sans-serif"/>
          <w:b w:val="false"/>
          <w:color w:val="000000"/>
          <w:sz w:val="22"/>
        </w:rPr>
        <w:t>to be satisfied as promptly as practicable and all documentation to effect all necessary filings, notices, petitions, statements, registrations, submissions of information, applications and other documents under applicable Antitrust Laws and (b) obtain all approvals, consents, registrations, permits, authorizations and other confirmations from any Governmental Entity necessary, proper or advisable under applicable Antitrust Laws to consummate the transactions contemplated by this Agreement.</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6.11    Transfer of Permits</w:t>
      </w:r>
      <w:r>
        <w:rPr>
          <w:rFonts w:ascii="Times New Roman;sans-serif" w:hAnsi="Times New Roman;sans-serif"/>
          <w:b w:val="false"/>
          <w:color w:val="000000"/>
          <w:sz w:val="22"/>
        </w:rPr>
        <w:t>. Seller shall, as soon as practicable following the Initial Closing Date (and in any case [***] following the Initial Closing Date) and solely to the extent applicable and with respect to Material Permits that are transferable, (a) update any Material Permits to the extent necessary to reflect the change of the operator of the Facility and (b) promptly notify Purchaser upon completion of the foregoing updates.</w:t>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60655"/>
                <wp:effectExtent l="0" t="0" r="0" b="0"/>
                <wp:wrapNone/>
                <wp:docPr id="163" name="Frame1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6.12    Employee Matters</w:t>
      </w:r>
      <w:r>
        <w:rPr>
          <w:rFonts w:ascii="Times New Roman;sans-serif" w:hAnsi="Times New Roman;sans-serif"/>
          <w:b w:val="false"/>
          <w:color w:val="000000"/>
          <w:sz w:val="22"/>
        </w:rPr>
        <w:t>.</w:t>
      </w:r>
      <w:r>
        <w:rPr>
          <w:color w:val="000000"/>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    On the date hereof, Purchaser shall (or shall cause its Affiliate to) offer employment (or, in the case of independent contractors who are Transferable Workers, engagement) in writing to each of the Transferable Workers who remain employed or engaged by Seller as of such date, to commence employment or service upon a date after Initial Closing mutually agreed upon by the Parties and as specified in each respective offer (each date as applicable, a "</w:t>
      </w:r>
      <w:r>
        <w:rPr>
          <w:rFonts w:ascii="Times New Roman;sans-serif" w:hAnsi="Times New Roman;sans-serif"/>
          <w:b w:val="false"/>
          <w:color w:val="000000"/>
          <w:sz w:val="22"/>
          <w:u w:val="single"/>
        </w:rPr>
        <w:t>Start Date</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(b)    On the date hereof, Purchaser shall (or shall cause its Affiliate to) offer employment (or, in the case of independent contractors who are [***], engagement) in writing to each of the [***] who remain employed or engaged by Seller as of such date (each such [***] together with each such Transferable Worker who is made an offer pursuant to </w:t>
      </w:r>
      <w:r>
        <w:rPr>
          <w:rFonts w:ascii="Times New Roman;sans-serif" w:hAnsi="Times New Roman;sans-serif"/>
          <w:b w:val="false"/>
          <w:color w:val="000000"/>
          <w:sz w:val="22"/>
          <w:u w:val="single"/>
        </w:rPr>
        <w:t>Section 6.12(a)</w:t>
      </w:r>
      <w:r>
        <w:rPr>
          <w:rFonts w:ascii="Times New Roman;sans-serif" w:hAnsi="Times New Roman;sans-serif"/>
          <w:b w:val="false"/>
          <w:color w:val="000000"/>
          <w:sz w:val="22"/>
        </w:rPr>
        <w:t>, an "</w:t>
      </w:r>
      <w:r>
        <w:rPr>
          <w:rFonts w:ascii="Times New Roman;sans-serif" w:hAnsi="Times New Roman;sans-serif"/>
          <w:b w:val="false"/>
          <w:color w:val="000000"/>
          <w:sz w:val="22"/>
          <w:u w:val="single"/>
        </w:rPr>
        <w:t>Offered Worker</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(c)    Each such offer shall be conditioned on such Offered Worker satisfactorily completing Purchaser's (or its relevant Affiliate's) standard hiring procedures (including, without limitation, a background check) and signing or receiving (as applicable) the New Hire Documents provided by Purchaser in connection with such offer of employment or engagement. Such offers shall require each Offered Worker to return a signed writing (such as an offer letter or contractor agreement) manifesting each such Offered Worker's assent to the offer, prior to the applicable Start Date. Each such Offered Worker who accepts his or her offer of employment or engagement as described in this </w:t>
      </w:r>
      <w:r>
        <w:rPr>
          <w:rFonts w:ascii="Times New Roman;sans-serif" w:hAnsi="Times New Roman;sans-serif"/>
          <w:b w:val="false"/>
          <w:color w:val="000000"/>
          <w:sz w:val="22"/>
          <w:u w:val="single"/>
        </w:rPr>
        <w:t>Section 6.12</w:t>
      </w:r>
      <w:r>
        <w:rPr>
          <w:color w:val="000000"/>
        </w:rPr>
        <w:t xml:space="preserve"> </w:t>
      </w:r>
      <w:r>
        <w:rPr>
          <w:rFonts w:ascii="Times New Roman;sans-serif" w:hAnsi="Times New Roman;sans-serif"/>
          <w:b w:val="false"/>
          <w:color w:val="000000"/>
          <w:sz w:val="22"/>
        </w:rPr>
        <w:t>and who actually commences employment or engagement with Purchaser on or after the Initial Closing or on or after July 31, 2023, with respect to the Offered Workers who are Transferable Workers or [***], respectively, is referred to herein as a "</w:t>
      </w:r>
      <w:r>
        <w:rPr>
          <w:rFonts w:ascii="Times New Roman;sans-serif" w:hAnsi="Times New Roman;sans-serif"/>
          <w:b w:val="false"/>
          <w:color w:val="000000"/>
          <w:sz w:val="22"/>
          <w:u w:val="single"/>
        </w:rPr>
        <w:t>Transferred Worker</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    Seller shall perform and discharge all of its obligations in respect of each Transferred Worker arising up to each respective Start Date. Seller shall pay, or shall cause to be paid, a lump sum payment to each applicable Transferred Worker on or around each respective Start Date, for accrued and unused vacation and/or paid time off (except where prohibited by applicable Law) to any Transferred Worker where required by and in accordance with applicable Laws. To the extent (and solely to the extent) necessary for any Transferred Worker to perform services in connection with such Transferred Worker's employment or engagement with Purchaser or its Affiliate, Seller or an Affiliate of Seller shall, and does hereby automatically, release effective as of the respective Start Date each Transferred Worker from any existing non-competition or non-solicitation, owed to Seller or any of its Affiliates.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(e)    Subject to </w:t>
      </w:r>
      <w:r>
        <w:rPr>
          <w:rFonts w:ascii="Times New Roman;sans-serif" w:hAnsi="Times New Roman;sans-serif"/>
          <w:b w:val="false"/>
          <w:color w:val="000000"/>
          <w:sz w:val="22"/>
          <w:u w:val="single"/>
        </w:rPr>
        <w:t>Section 10.6</w:t>
      </w:r>
      <w:r>
        <w:rPr>
          <w:rFonts w:ascii="Times New Roman;sans-serif" w:hAnsi="Times New Roman;sans-serif"/>
          <w:b w:val="false"/>
          <w:color w:val="000000"/>
          <w:sz w:val="22"/>
        </w:rPr>
        <w:t>, the timing and content of any announcement or notification to Seller's employees with respect to the transactions contemplated by this Agreement or any compensation profiles or offers of employment or independent contractor agreements or related communications to individual employees or independent contractors of Seller shall be subject to the approval, which shall not be unreasonably withheld, of each of Purchaser and Seller. Except with respect to any announcement or notification covered by the preceding sentence, Seller shall allow Purchaser, and Purchaser shall allow Seller, reasonable time to comment (and will consider in good faith the comments of Purchaser and Seller, respectively and as applicable) prior to sending any notices or other communication materials relating to the transactions contemplated by this Agreement to Transferable Workers or [***] of Seller.</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    Purchaser and Seller agree to utilize, or cause their respective Affiliates to utilize, the standard procedure set forth in Revenue Procedure 2004-53, 2004-34 I.R.B. 320 (Aug. 18, 2004) for wage reporting with respect to any Transferred Workers.</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    At the Initial Closing, Seller will provide to Purchaser a list of the number and site of employment of any employees of Seller or its Affiliates who have experienced an employment loss </w:t>
      </w:r>
    </w:p>
    <w:p>
      <w:pPr>
        <w:pStyle w:val="TextBody"/>
        <w:bidi w:val="0"/>
        <w:spacing w:lineRule="auto" w:line="240" w:before="0" w:after="240"/>
        <w:jc w:val="both"/>
        <w:rPr/>
      </w:pPr>
      <w:r>
        <w:rPr>
          <w:rFonts w:ascii="Times New Roman;sans-serif" w:hAnsi="Times New Roman;sans-serif"/>
          <w:b w:val="false"/>
          <w:color w:val="000000"/>
          <w:sz w:val="22"/>
        </w:rPr>
        <w:t>(as defined in the WARN Act)</w:t>
      </w:r>
      <w:r>
        <w:rPr>
          <w:color w:val="000000"/>
        </w:rPr>
        <w:t xml:space="preserve"> </w:t>
      </w:r>
      <w:r>
        <w:rPr>
          <w:rFonts w:ascii="Times New Roman;sans-serif" w:hAnsi="Times New Roman;sans-serif"/>
          <w:b w:val="false"/>
          <w:color w:val="000000"/>
          <w:sz w:val="22"/>
        </w:rPr>
        <w:t>within 90 days prior to the Initial Closing and who are located at a site of employment where Transferred Workers will be located following the Initial Closing, along with the date of the employment loss or layoff.</w:t>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60655"/>
                <wp:effectExtent l="0" t="0" r="0" b="0"/>
                <wp:wrapNone/>
                <wp:docPr id="164" name="Frame1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(h)    For [***] following the Initial Closing (or, if later, the Start Date of the relevant Transferred Worker), Purchaser shall provide to each Transferred Worker (i) a base salary or wage rate and target cash incentive opportunity that, in each case, is no less favorable in the aggregate than those provided to such Transferred Worker by Seller as of immediately prior to the applicable Start Date, and (ii) employee benefits that are no less favorable in the aggregate than the better of those provided to (A) such Transferred Worker immediately prior to the applicable Start Date and (B) similarly-situated employees of Purchaser. Additionally, Purchaser shall provide each Transferred Workers with a target cash incentive opportunity for calendar year 2023 based on the target amounts and base salary for each Transferred Worker as is set forth on </w:t>
      </w:r>
      <w:r>
        <w:rPr>
          <w:rFonts w:ascii="Times New Roman;sans-serif" w:hAnsi="Times New Roman;sans-serif"/>
          <w:b w:val="false"/>
          <w:color w:val="000000"/>
          <w:sz w:val="22"/>
          <w:u w:val="single"/>
        </w:rPr>
        <w:t>Schedule 6.12(h)</w:t>
      </w:r>
      <w:r>
        <w:rPr>
          <w:rFonts w:ascii="Times New Roman;sans-serif" w:hAnsi="Times New Roman;sans-serif"/>
          <w:b w:val="false"/>
          <w:color w:val="000000"/>
          <w:sz w:val="22"/>
        </w:rPr>
        <w:t>. [***]. In addition, subject to the continued service of the applicable Transferred Worker through the date of grant, Purchaser shall promptly, and in any event within six (6) months following the Initial Closing, grant to the Transferred Workers the equity awards that are substantially similar in the aggregate to those that such Transferred Workers enjoyed immediately prior to the Initial Closing and shall send to Seller an officer's certificate setting forth such grants and certifying compliance with this covenant. For purposes of determining eligibility to participate and entitlement to benefits where length of service is relevant under any Purchaser compensation or benefit plan, program or arrangement (a "</w:t>
      </w:r>
      <w:r>
        <w:rPr>
          <w:rFonts w:ascii="Times New Roman;sans-serif" w:hAnsi="Times New Roman;sans-serif"/>
          <w:b w:val="false"/>
          <w:color w:val="000000"/>
          <w:sz w:val="22"/>
          <w:u w:val="single"/>
        </w:rPr>
        <w:t>Purchaser Plan</w:t>
      </w:r>
      <w:r>
        <w:rPr>
          <w:rFonts w:ascii="Times New Roman;sans-serif" w:hAnsi="Times New Roman;sans-serif"/>
          <w:b w:val="false"/>
          <w:color w:val="000000"/>
          <w:sz w:val="22"/>
        </w:rPr>
        <w:t>") and to the extent permitted by applicable Law, Purchaser shall provide the Transferred Workers with service credit under each Purchaser Plan for their period of service with Seller prior to the applicable Start Date, except that the foregoing shall not apply to the extent such credit would result in a duplication of benefits for the same period of service. To the extent permitted by a Purchaser Plan: (x) each Transferred Worker shall be eligible to participate in any and all Purchaser Plans to the extent that coverage under such Purchaser Plans replaces coverage under comparable Employee Plans in which such Transferred Worker participated immediately prior to the applicable Start Date; and (y) for purposes of each Purchaser Plan providing medical, dental, pharmaceutical or vision benefits to any Transferred Worker, Purchaser shall use commercially reasonable efforts to (A) cause all pre-existing condition exclusions of such Purchaser Plan to be waived for such Transferred Worker (and his or her covered dependents), to the extent such conditions or requirements have been satisfied by the Transferred Worker (and his or her covered dependents) under the equivalent Employee Plan prior to the applicable Start Date; and (B) provide each Transferred Worker (and his or her covered dependents) with credit under the applicable Purchaser Plan for any co-payments and deductibles paid by the Transferred Worker (or his or her covered dependents) for purposes of satisfying any applicable deductible or out-of-pocket requirements under such Purchaser Plan.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(i)    Nothing contained in this </w:t>
      </w:r>
      <w:r>
        <w:rPr>
          <w:rFonts w:ascii="Times New Roman;sans-serif" w:hAnsi="Times New Roman;sans-serif"/>
          <w:b w:val="false"/>
          <w:color w:val="000000"/>
          <w:sz w:val="22"/>
          <w:u w:val="single"/>
        </w:rPr>
        <w:t>Section 6.12</w:t>
      </w:r>
      <w:r>
        <w:rPr>
          <w:rFonts w:ascii="Times New Roman;sans-serif" w:hAnsi="Times New Roman;sans-serif"/>
          <w:b w:val="false"/>
          <w:color w:val="000000"/>
          <w:sz w:val="22"/>
        </w:rPr>
        <w:t>, or elsewhere in this Agreement, shall confer upon any Facility Worker, employee or other service provider to Seller or its Affiliates or any legal representative or beneficiary of any such Person, any rights or remedies of any nature or kind whatsoever under or by reason of this Agreement, including any right to employment or continued employment for any specified period, or level of compensation or benefits, nor shall anything in this Agreement constitute the establishment, adoption, modification, amendment or termination of any Employee Plan or any other employee benefit plan, program, policy, arrangement or agreement maintained by Purchaser, Seller or their respective Affiliates.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(j)    Purchaser shall enter into an agreement with a replacement payroll provider for the facilitation of payment services of any compensation owed to the Transferred Workers, such services shall be effective as of the Initial Closing Date (the "</w:t>
      </w:r>
      <w:r>
        <w:rPr>
          <w:rFonts w:ascii="Times New Roman;sans-serif" w:hAnsi="Times New Roman;sans-serif"/>
          <w:b w:val="false"/>
          <w:color w:val="000000"/>
          <w:sz w:val="22"/>
          <w:u w:val="single"/>
        </w:rPr>
        <w:t>Payroll Agreement</w:t>
      </w:r>
      <w:r>
        <w:rPr>
          <w:rFonts w:ascii="Times New Roman;sans-serif" w:hAnsi="Times New Roman;sans-serif"/>
          <w:b w:val="false"/>
          <w:color w:val="000000"/>
          <w:sz w:val="22"/>
        </w:rPr>
        <w:t>").</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ARTICLE VII</w:t>
        <w:br/>
        <w:br/>
        <w:t>CONDITIONS TO CLOSING</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7.1    Conditions to the Initial Closing Obligations of Purchaser and Seller</w:t>
      </w:r>
      <w:r>
        <w:rPr>
          <w:rFonts w:ascii="Times New Roman;sans-serif" w:hAnsi="Times New Roman;sans-serif"/>
          <w:b w:val="false"/>
          <w:color w:val="000000"/>
          <w:sz w:val="22"/>
        </w:rPr>
        <w:t>. The respective obligations of each of the Parties to consummate the transactions contemplated by this Agreement as occurring at the Initial Closing shall be subject to the satisfaction of the following conditions precedent: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there shall not (i) be in effect any applicable Law that makes illegal or enjoins or prevents in any respect the consummation of the transactions contemplated by this Agreement as occurring at the Initial Closing or (ii) have been commenced and be continuing any Action or proceeding by any Governmental Entity of competent jurisdiction that seeks to make illegal, enjoin or prevent in any respect the transactions contemplated by this Agreement as occurring at the Initial Closing; and</w:t>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60655"/>
                <wp:effectExtent l="0" t="0" r="0" b="0"/>
                <wp:wrapNone/>
                <wp:docPr id="165" name="Frame1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the Landlord Consent to Sublease Agreement shall have been duly executed and delivered by Purchaser, Seller and the Landlord.</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7.2    Conditions to the Initial Closing Obligations of Purchaser</w:t>
      </w:r>
      <w:r>
        <w:rPr>
          <w:rFonts w:ascii="Times New Roman;sans-serif" w:hAnsi="Times New Roman;sans-serif"/>
          <w:b w:val="false"/>
          <w:color w:val="000000"/>
          <w:sz w:val="22"/>
        </w:rPr>
        <w:t>. The obligation of Purchaser to consummate the transactions contemplated by this Agreement as occurring at the Initial Closing shall be subject to the satisfaction of the following additional conditions precedent, any of which may be waived in writing exclusively by Purchaser:</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Seller shall have performed or complied with or caused to be performed or complied with, in all respects, all material obligations and covenants required by this Agreement to be performed or complied with by Seller at or prior to the Initial Closing;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(b)    the representations and warranties of Seller in this Agreement shall be true and correct in all respects as duly qualified (in the case of any representation or warranty of Seller qualified by materiality or Seller Material Adverse Effect) or in all material respects (in the case of any representation or warranty of Seller not qualified by materiality or Seller Material Adverse Effect) as of the date hereof and as of the Initial Closing Date, as if made as of the Initial Closing Date (except for those representations and warranties that address matters as of a particular date, which shall be true in all material respects only as of such date);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the Fundamental Reps made by Seller shall be true and correct in all respects as set forth herein as of the date hereof and as of the Initial Closing Date, as though made on and as of the Initial Closing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(c)    Purchaser shall have received a certificate of Seller, dated the Initial Closing Date and signed by an officer of Seller, certifying as to the fulfillment of the conditions set forth in </w:t>
      </w:r>
      <w:r>
        <w:rPr>
          <w:rFonts w:ascii="Times New Roman;sans-serif" w:hAnsi="Times New Roman;sans-serif"/>
          <w:b w:val="false"/>
          <w:color w:val="000000"/>
          <w:sz w:val="22"/>
          <w:u w:val="single"/>
        </w:rPr>
        <w:t>Section 7.2(a)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7.2(b)</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(d)    Seller shall have made, or caused to be made, delivery to Purchaser of all other instruments and documents set forth in </w:t>
      </w:r>
      <w:r>
        <w:rPr>
          <w:rFonts w:ascii="Times New Roman;sans-serif" w:hAnsi="Times New Roman;sans-serif"/>
          <w:b w:val="false"/>
          <w:color w:val="000000"/>
          <w:sz w:val="22"/>
          <w:u w:val="single"/>
        </w:rPr>
        <w:t>Section 3.3</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from the date hereof through the Initial Closing Date, no Seller Material Adverse Effect shall have occurred; and</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    Purchaser shall have received evidence in form and substance reasonably satisfactory to Purchaser that all Encumbrances other than Permitted Encumbrances on the Purchased Assets have been fully satisfied and released in connection with the Initial Closing.</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7.3    Conditions to the Initial Closing Obligations of Seller</w:t>
      </w:r>
      <w:r>
        <w:rPr>
          <w:rFonts w:ascii="Times New Roman;sans-serif" w:hAnsi="Times New Roman;sans-serif"/>
          <w:b w:val="false"/>
          <w:color w:val="000000"/>
          <w:sz w:val="22"/>
        </w:rPr>
        <w:t>. The obligation of Seller to consummate the transactions contemplated by this Agreement as occurring at the Initial Closing shall be subject to the satisfaction of the following additional conditions precedent, any of which may be waived in writing exclusively by Seller:</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Purchaser shall have performed or complied with or caused to be performed or complied with, in all respects, all material obligations and covenants required by this Agreement to be performed or complied with by it at or prior to the Initial Closing;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(b)    the representations and warranties of Purchaser in this Agreement shall be true and correct in all respects as duly qualified (in the case of any representation or warranty of Purchaser qualified by materiality) or in all material respects (in the case of any representation or warranty of Purchaser not qualified by materiality) as of the date hereof and as of the Initial Closing Date, as if made as of the Initial Closing Date (except for those representations and warranties that address matters as of a particular date, which shall be true in all material respects only as of such date);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the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Fundamental Reps made by Purchaser shall be true and correct in all respects as set forth herein as of the date hereof and as of the Initial Closing Date, as though made on and as of the Initial Closing Date;</w:t>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60655"/>
                <wp:effectExtent l="0" t="0" r="0" b="0"/>
                <wp:wrapNone/>
                <wp:docPr id="166" name="Frame1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(c)    Seller shall have received a certificate from Purchaser, dated the Initial Closing Date and signed by an officer of Purchaser, certifying as to the fulfillment of the conditions set forth in </w:t>
      </w:r>
      <w:r>
        <w:rPr>
          <w:rFonts w:ascii="Times New Roman;sans-serif" w:hAnsi="Times New Roman;sans-serif"/>
          <w:b w:val="false"/>
          <w:color w:val="000000"/>
          <w:sz w:val="22"/>
          <w:u w:val="single"/>
        </w:rPr>
        <w:t>Section 7.3(a)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7.3(b)</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Purchaser has obtained the Payroll Agreement that shall be in full force and effect as of the Initial Closing;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(e)    Purchaser shall have made, or caused to be made, delivery to Seller of all other instruments and documents set forth in </w:t>
      </w:r>
      <w:r>
        <w:rPr>
          <w:rFonts w:ascii="Times New Roman;sans-serif" w:hAnsi="Times New Roman;sans-serif"/>
          <w:b w:val="false"/>
          <w:color w:val="000000"/>
          <w:sz w:val="22"/>
          <w:u w:val="single"/>
        </w:rPr>
        <w:t>Section 3.4</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7.4    Conditions to the Lease Assignment Closing Obligations of Purchaser and Seller</w:t>
      </w:r>
      <w:r>
        <w:rPr>
          <w:rFonts w:ascii="Times New Roman;sans-serif" w:hAnsi="Times New Roman;sans-serif"/>
          <w:b w:val="false"/>
          <w:color w:val="000000"/>
          <w:sz w:val="22"/>
        </w:rPr>
        <w:t>. The respective obligations of each of the Parties to consummate the transactions contemplated by this Agreement as occurring at the Lease Assignment Closing shall be subject to the satisfaction of the following conditions precedent: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there shall not (i) be in effect any applicable Law that makes illegal or enjoins or prevents in any respect the consummation of the transactions contemplated by this Agreement as occurring at the Lease Assignment Closing or (ii) have been commenced and be continuing any Action or proceeding by any Governmental Entity of competent jurisdiction that seeks to make illegal, enjoin or prevent in any respect the transactions contemplated by this Agreement as occurring at the Lease Assignment Closing; and</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the Landlord Consent to Assignment and the Lease Assignment Agreement shall have been duly executed and delivered by each of Purchaser, Seller and the Landlord (as applicable).</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7.5    Conditions to the Lease Assignment Closing Obligations of Purchaser</w:t>
      </w:r>
      <w:r>
        <w:rPr>
          <w:rFonts w:ascii="Times New Roman;sans-serif" w:hAnsi="Times New Roman;sans-serif"/>
          <w:b w:val="false"/>
          <w:color w:val="000000"/>
          <w:sz w:val="22"/>
        </w:rPr>
        <w:t xml:space="preserve">. The obligation of Purchaser to consummate the transactions contemplated by this Agreement as occurring at the Lease Assignment Closing shall be subject to the satisfaction of the following condition precedent, which may be waived in writing exclusively by Purchaser: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Seller shall have performed or complied with or caused to be performed or complied with, in all respects, all material obligations and covenants required by this Agreement to be performed or complied with by Seller at or prior to the Lease Assignment Closing.</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7.6    Conditions to the Lease Assignment Closing Obligations of Seller</w:t>
      </w:r>
      <w:r>
        <w:rPr>
          <w:rFonts w:ascii="Times New Roman;sans-serif" w:hAnsi="Times New Roman;sans-serif"/>
          <w:b w:val="false"/>
          <w:color w:val="000000"/>
          <w:sz w:val="22"/>
        </w:rPr>
        <w:t xml:space="preserve">. The obligation of Seller to consummate the transactions contemplated by this Agreement as occurring at the Lease Assignment Closing shall be subject to the satisfaction of the following precedent, any of which may be waived in writing exclusively by Seller: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Purchaser shall have performed or complied with or caused to be performed or complied with, in all respects, all material obligations and covenants required by this Agreement to be performed or complied with by it at or prior to the Lease Assignment Closing.</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ARTICLE VIII</w:t>
        <w:br/>
        <w:br/>
        <w:t>TERMINATION</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8.1    Termination</w:t>
      </w:r>
      <w:r>
        <w:rPr>
          <w:rFonts w:ascii="Times New Roman;sans-serif" w:hAnsi="Times New Roman;sans-serif"/>
          <w:b w:val="false"/>
          <w:color w:val="000000"/>
          <w:sz w:val="22"/>
        </w:rPr>
        <w:t>. This Agreement may be terminated at any time prior to the Initial Closing:</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by written agreement of Purchaser and Seller;</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(b)    by either Party,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such Party is not then in breach of any of its respective obligations hereunder, by giving written notice of such termination to the other Party if: (i) there has been </w:t>
      </w:r>
    </w:p>
    <w:p>
      <w:pPr>
        <w:pStyle w:val="TextBody"/>
        <w:bidi w:val="0"/>
        <w:spacing w:lineRule="auto" w:line="240" w:before="0" w:after="240"/>
        <w:jc w:val="both"/>
        <w:rPr/>
      </w:pPr>
      <w:r>
        <w:rPr>
          <w:rFonts w:ascii="Times New Roman;sans-serif" w:hAnsi="Times New Roman;sans-serif"/>
          <w:b w:val="false"/>
          <w:color w:val="000000"/>
          <w:sz w:val="22"/>
        </w:rPr>
        <w:t xml:space="preserve">a material misrepresentation or material breach by the other Party of a representation or warranty contained herein, such that the conditions in </w:t>
      </w:r>
      <w:r>
        <w:rPr>
          <w:rFonts w:ascii="Times New Roman;sans-serif" w:hAnsi="Times New Roman;sans-serif"/>
          <w:b w:val="false"/>
          <w:color w:val="000000"/>
          <w:sz w:val="22"/>
          <w:u w:val="single"/>
        </w:rPr>
        <w:t>Section 7.2(b)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7.3(b)</w:t>
      </w:r>
      <w:r>
        <w:rPr>
          <w:rFonts w:ascii="Times New Roman;sans-serif" w:hAnsi="Times New Roman;sans-serif"/>
          <w:b w:val="false"/>
          <w:color w:val="000000"/>
          <w:sz w:val="22"/>
        </w:rPr>
        <w:t xml:space="preserve">, as applicable, will not be satisfied, and such material misrepresentation or material breach is incapable of being cured or is not cured [***] after written notice thereof from such Party detailing the nature of such misrepresentation or breach or (ii) the other Party has committed a material breach of any covenant imposed upon it hereunder, such that the conditions in </w:t>
      </w:r>
      <w:r>
        <w:rPr>
          <w:rFonts w:ascii="Times New Roman;sans-serif" w:hAnsi="Times New Roman;sans-serif"/>
          <w:b w:val="false"/>
          <w:color w:val="000000"/>
          <w:sz w:val="22"/>
          <w:u w:val="single"/>
        </w:rPr>
        <w:t>Section 7.2(a)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7.3(a)</w:t>
      </w:r>
      <w:r>
        <w:rPr>
          <w:rFonts w:ascii="Times New Roman;sans-serif" w:hAnsi="Times New Roman;sans-serif"/>
          <w:b w:val="false"/>
          <w:color w:val="000000"/>
          <w:sz w:val="22"/>
        </w:rPr>
        <w:t xml:space="preserve">, as applicable, will not be satisfied, and fails to cure such breach [***] after written notice thereof from such Party detailing the nature of such breach or such breach is incapable of being cured;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cure periods described above shall not apply to a breach of either Party's obligation to effect the Initial Closing in accordance with </w:t>
      </w:r>
      <w:r>
        <w:rPr>
          <w:rFonts w:ascii="Times New Roman;sans-serif" w:hAnsi="Times New Roman;sans-serif"/>
          <w:b w:val="false"/>
          <w:color w:val="000000"/>
          <w:sz w:val="22"/>
          <w:u w:val="single"/>
        </w:rPr>
        <w:t>Article III</w:t>
      </w:r>
      <w:r>
        <w:rPr>
          <w:rFonts w:ascii="Times New Roman;sans-serif" w:hAnsi="Times New Roman;sans-serif"/>
          <w:b w:val="false"/>
          <w:color w:val="000000"/>
          <w:sz w:val="22"/>
        </w:rPr>
        <w:t>; and</w:t>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60655"/>
                <wp:effectExtent l="0" t="0" r="0" b="0"/>
                <wp:wrapNone/>
                <wp:docPr id="167" name="Frame1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(c)    by either Purchaser or Seller by giving written notice of such termination to the other Party, if any Governmental Entity of competent jurisdiction shall have issued an Order or taken any other Action permanently restraining, enjoining or otherwise prohibiting the transactions contemplated by this Agreement and such Order or other Action shall have become final and non-appealable;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no Party may rely upon this </w:t>
      </w:r>
      <w:r>
        <w:rPr>
          <w:rFonts w:ascii="Times New Roman;sans-serif" w:hAnsi="Times New Roman;sans-serif"/>
          <w:b w:val="false"/>
          <w:color w:val="000000"/>
          <w:sz w:val="22"/>
          <w:u w:val="single"/>
        </w:rPr>
        <w:t>Section 8.1(c)</w:t>
      </w:r>
      <w:r>
        <w:rPr>
          <w:color w:val="000000"/>
        </w:rPr>
        <w:t xml:space="preserve"> </w:t>
      </w:r>
      <w:r>
        <w:rPr>
          <w:rFonts w:ascii="Times New Roman;sans-serif" w:hAnsi="Times New Roman;sans-serif"/>
          <w:b w:val="false"/>
          <w:color w:val="000000"/>
          <w:sz w:val="22"/>
        </w:rPr>
        <w:t>to terminate this Agreement if such Party shall have failed to use its reasonable best efforts to prevent the entry of such Order or the taking of such other Action.</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8.2    Effect of Termination</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(a)    Any termination of this Agreement under </w:t>
      </w:r>
      <w:r>
        <w:rPr>
          <w:rFonts w:ascii="Times New Roman;sans-serif" w:hAnsi="Times New Roman;sans-serif"/>
          <w:b w:val="false"/>
          <w:color w:val="000000"/>
          <w:sz w:val="22"/>
          <w:u w:val="single"/>
        </w:rPr>
        <w:t>Article VIII</w:t>
      </w:r>
      <w:r>
        <w:rPr>
          <w:color w:val="000000"/>
        </w:rPr>
        <w:t xml:space="preserve"> </w:t>
      </w:r>
      <w:r>
        <w:rPr>
          <w:rFonts w:ascii="Times New Roman;sans-serif" w:hAnsi="Times New Roman;sans-serif"/>
          <w:b w:val="false"/>
          <w:color w:val="000000"/>
          <w:sz w:val="22"/>
        </w:rPr>
        <w:t xml:space="preserve">shall be effective immediately upon delivery of written notice of such termination by the terminating Party to the other Party (unless such other time is specified in </w:t>
      </w:r>
      <w:r>
        <w:rPr>
          <w:rFonts w:ascii="Times New Roman;sans-serif" w:hAnsi="Times New Roman;sans-serif"/>
          <w:b w:val="false"/>
          <w:color w:val="000000"/>
          <w:sz w:val="22"/>
          <w:u w:val="single"/>
        </w:rPr>
        <w:t>Article VIII</w:t>
      </w:r>
      <w:r>
        <w:rPr>
          <w:rFonts w:ascii="Times New Roman;sans-serif" w:hAnsi="Times New Roman;sans-serif"/>
          <w:b w:val="false"/>
          <w:color w:val="000000"/>
          <w:sz w:val="22"/>
        </w:rPr>
        <w:t xml:space="preserve">). In the event of the termination of this Agreement in accordance with </w:t>
      </w:r>
      <w:r>
        <w:rPr>
          <w:rFonts w:ascii="Times New Roman;sans-serif" w:hAnsi="Times New Roman;sans-serif"/>
          <w:b w:val="false"/>
          <w:color w:val="000000"/>
          <w:sz w:val="22"/>
          <w:u w:val="single"/>
        </w:rPr>
        <w:t>Article VIII</w:t>
      </w:r>
      <w:r>
        <w:rPr>
          <w:rFonts w:ascii="Times New Roman;sans-serif" w:hAnsi="Times New Roman;sans-serif"/>
          <w:b w:val="false"/>
          <w:color w:val="000000"/>
          <w:sz w:val="22"/>
        </w:rPr>
        <w:t xml:space="preserve">, this Agreement shall thereafter become void and have no force or effect, and no Party shall have any Liability to the other Party or to such other Party's Affiliates, or its Representatives, except for the obligations of the Parties contained in this </w:t>
      </w:r>
      <w:r>
        <w:rPr>
          <w:rFonts w:ascii="Times New Roman;sans-serif" w:hAnsi="Times New Roman;sans-serif"/>
          <w:b w:val="false"/>
          <w:color w:val="000000"/>
          <w:sz w:val="22"/>
          <w:u w:val="single"/>
        </w:rPr>
        <w:t>Section 8.2</w:t>
      </w:r>
      <w:r>
        <w:rPr>
          <w:color w:val="000000"/>
        </w:rPr>
        <w:t xml:space="preserve"> </w:t>
      </w:r>
      <w:r>
        <w:rPr>
          <w:rFonts w:ascii="Times New Roman;sans-serif" w:hAnsi="Times New Roman;sans-serif"/>
          <w:b w:val="false"/>
          <w:color w:val="000000"/>
          <w:sz w:val="22"/>
        </w:rPr>
        <w:t xml:space="preserve">and in </w:t>
      </w:r>
      <w:r>
        <w:rPr>
          <w:rFonts w:ascii="Times New Roman;sans-serif" w:hAnsi="Times New Roman;sans-serif"/>
          <w:b w:val="false"/>
          <w:color w:val="000000"/>
          <w:sz w:val="22"/>
          <w:u w:val="single"/>
        </w:rPr>
        <w:t>Section 6.3(b)</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i/>
          <w:color w:val="000000"/>
          <w:sz w:val="22"/>
        </w:rPr>
        <w:t>Information and Documents</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10.1</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i/>
          <w:color w:val="000000"/>
          <w:sz w:val="22"/>
        </w:rPr>
        <w:t>Notices</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10.4</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i/>
          <w:color w:val="000000"/>
          <w:sz w:val="22"/>
        </w:rPr>
        <w:t>Entire Agreement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10.5</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i/>
          <w:color w:val="000000"/>
          <w:sz w:val="22"/>
        </w:rPr>
        <w:t>No Third-Party Beneficiaries</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10.6</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i/>
          <w:color w:val="000000"/>
          <w:sz w:val="22"/>
        </w:rPr>
        <w:t>Public Disclosure</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10.7(a)</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i/>
          <w:color w:val="000000"/>
          <w:sz w:val="22"/>
        </w:rPr>
        <w:t>Confidentiality</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10.8</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i/>
          <w:color w:val="000000"/>
          <w:sz w:val="22"/>
        </w:rPr>
        <w:t>Expenses</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Section 10.9</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i/>
          <w:color w:val="000000"/>
          <w:sz w:val="22"/>
        </w:rPr>
        <w:t>Governing Law; Dispute Resolution</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Article IX</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i/>
          <w:color w:val="000000"/>
          <w:sz w:val="22"/>
        </w:rPr>
        <w:t>Indemnification</w:t>
      </w:r>
      <w:r>
        <w:rPr>
          <w:rFonts w:ascii="Times New Roman;sans-serif" w:hAnsi="Times New Roman;sans-serif"/>
          <w:b w:val="false"/>
          <w:color w:val="000000"/>
          <w:sz w:val="22"/>
        </w:rPr>
        <w:t>), and except that nothing herein shall relieve any Party from liability for any intentional breach of any covenant set forth in this Agreement prior to such termination or for Fraud.</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In the event this Agreement shall be terminated and at such time a Party is in material breach of or default under any term or provision hereof, such termination shall be without prejudice to, and shall not affect, any and all rights to damages that any other Party may have hereunder. </w:t>
      </w:r>
    </w:p>
    <w:p>
      <w:pPr>
        <w:pStyle w:val="TextBody"/>
        <w:bidi w:val="0"/>
        <w:spacing w:lineRule="auto" w:line="240" w:before="0" w:after="24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Section 8.3    Termination of Ancillary Agreements.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(a)    In the event that Purchaser fails to make any payment of Deferred Consideration to Seller when such payment becomes due and payable on the date that occurs on the later of (x) the [***] of the execution of the License Agreement by Seller and Purchaser and (y) the applicable payment date set forth in </w:t>
      </w:r>
      <w:r>
        <w:rPr>
          <w:rFonts w:ascii="Times New Roman;sans-serif" w:hAnsi="Times New Roman;sans-serif"/>
          <w:b w:val="false"/>
          <w:color w:val="000000"/>
          <w:sz w:val="22"/>
          <w:u w:val="single"/>
        </w:rPr>
        <w:t>Section 2.6(c)</w:t>
      </w:r>
      <w:r>
        <w:rPr>
          <w:color w:val="000000"/>
        </w:rPr>
        <w:t xml:space="preserve"> </w:t>
      </w:r>
      <w:r>
        <w:rPr>
          <w:rFonts w:ascii="Times New Roman;sans-serif" w:hAnsi="Times New Roman;sans-serif"/>
          <w:b w:val="false"/>
          <w:color w:val="000000"/>
          <w:sz w:val="22"/>
        </w:rPr>
        <w:t>(or the next succeeding Business Day, in each case ((x) and (y)), if such date is not a Business Day), Seller shall have the right, but not the obligation, to terminate each of the Services Agreement and the Option Agreement.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In the event that (i) Seller has referred to arbitration any alleged failure by TopCo to make any payment of the Economic Share Payment (as defined in the Seller Economic Share Agreement) to Seller pursuant to the terms and conditions of the Seller Economic Share Agreement, (ii) the arbitral tribunal has issued a final award confirming such failure, and (iii) TopCo has failed to cure such failure in accordance with the final award within [***] of the final award, Seller shall have the right, but not the obligation, to terminate the License Agreement and the Sub-License Agreement.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In the event that (a) an Action has been initiated in respect of any alleged material breach of the License Agreement or the Sub-License Agreement by Seller that could result in the termination of the License Agreement or the Sub-License Agreement (as applicable) pursuant to the terms and conditions of the License Agreement or the Sub-License Agreement (as applicable), (b) a final ruling pursuant to the dispute resolution provisions of the License Agreement or the Sub-License Agreement (as applicable) has confirmed such breach, and (c) Seller has failed to cure such breach in accordance with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final ruling within [***] of the final ruling, each of TopCo and Purchaser shall have the right, but not the obligation, to terminate the Seller Economic Share Agreement. </w:t>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60655"/>
                <wp:effectExtent l="0" t="0" r="0" b="0"/>
                <wp:wrapNone/>
                <wp:docPr id="168" name="Frame1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ARTICLE IX</w:t>
        <w:br/>
        <w:br/>
        <w:t>INDEMNIFICATION</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9.1    Survival</w:t>
      </w:r>
      <w:r>
        <w:rPr>
          <w:rFonts w:ascii="Times New Roman;sans-serif" w:hAnsi="Times New Roman;sans-serif"/>
          <w:b w:val="false"/>
          <w:color w:val="000000"/>
          <w:sz w:val="22"/>
        </w:rPr>
        <w:t xml:space="preserve">. All of the representations and warranties of the Parties contained in this Agreement shall be extinguished and be of no further force and effect on the date that is [***] following the Initial Closing Date;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all of the Fundamental Reps shall remain in full force and effect and shall survive until the earlier of (a) [***] days following the expiration of the applicable statute of limitations (taking into account all waivers and extensions thereof) and (b) the [***] anniversary of the Initial Closing Date. All of the covenants and agreements contained in this Agreement that by their nature are required to be performed after the Initial Closing shall survive the Initial Closing until fully performed or fulfilled. The date of expiration of a claim for indemnification under this Agreement is referred to herein as such claim's "</w:t>
      </w:r>
      <w:r>
        <w:rPr>
          <w:rFonts w:ascii="Times New Roman;sans-serif" w:hAnsi="Times New Roman;sans-serif"/>
          <w:b w:val="false"/>
          <w:color w:val="000000"/>
          <w:sz w:val="22"/>
          <w:u w:val="single"/>
        </w:rPr>
        <w:t>Expiration Date</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9.2    Indemnification by Seller</w:t>
      </w:r>
      <w:r>
        <w:rPr>
          <w:rFonts w:ascii="Times New Roman;sans-serif" w:hAnsi="Times New Roman;sans-serif"/>
          <w:b w:val="false"/>
          <w:color w:val="000000"/>
          <w:sz w:val="22"/>
        </w:rPr>
        <w:t xml:space="preserve">. Subject to the provisions of this </w:t>
      </w:r>
      <w:r>
        <w:rPr>
          <w:rFonts w:ascii="Times New Roman;sans-serif" w:hAnsi="Times New Roman;sans-serif"/>
          <w:b w:val="false"/>
          <w:color w:val="000000"/>
          <w:sz w:val="22"/>
          <w:u w:val="single"/>
        </w:rPr>
        <w:t>Article IX</w:t>
      </w:r>
      <w:r>
        <w:rPr>
          <w:rFonts w:ascii="Times New Roman;sans-serif" w:hAnsi="Times New Roman;sans-serif"/>
          <w:b w:val="false"/>
          <w:color w:val="000000"/>
          <w:sz w:val="22"/>
        </w:rPr>
        <w:t>, Seller agrees to defend, indemnify and hold harmless Purchaser and its Affiliates and, if applicable, their respective directors, officers, agents, employees, successors and assigns (a "</w:t>
      </w:r>
      <w:r>
        <w:rPr>
          <w:rFonts w:ascii="Times New Roman;sans-serif" w:hAnsi="Times New Roman;sans-serif"/>
          <w:b w:val="false"/>
          <w:color w:val="000000"/>
          <w:sz w:val="22"/>
          <w:u w:val="single"/>
        </w:rPr>
        <w:t>Purchaser Indemnified Party</w:t>
      </w:r>
      <w:r>
        <w:rPr>
          <w:rFonts w:ascii="Times New Roman;sans-serif" w:hAnsi="Times New Roman;sans-serif"/>
          <w:b w:val="false"/>
          <w:color w:val="000000"/>
          <w:sz w:val="22"/>
        </w:rPr>
        <w:t>"), from and against any and all fees, Actions, judgments, Taxes, awards and Liabilities, including reasonable out-of-pocket documented attorneys' fees (collectively, the "</w:t>
      </w:r>
      <w:r>
        <w:rPr>
          <w:rFonts w:ascii="Times New Roman;sans-serif" w:hAnsi="Times New Roman;sans-serif"/>
          <w:b w:val="false"/>
          <w:color w:val="000000"/>
          <w:sz w:val="22"/>
          <w:u w:val="single"/>
        </w:rPr>
        <w:t>Losses</w:t>
      </w:r>
      <w:r>
        <w:rPr>
          <w:rFonts w:ascii="Times New Roman;sans-serif" w:hAnsi="Times New Roman;sans-serif"/>
          <w:b w:val="false"/>
          <w:color w:val="000000"/>
          <w:sz w:val="22"/>
        </w:rPr>
        <w:t>") to the extent arising from or relating to:</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any breach of any representation or warranty made by Seller in this Agreement;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any failure of Seller to perform any of its covenants or agreements contained in this Agreement; or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any Excluded Asset or Excluded Liability.</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9.3    Indemnification by Purchaser</w:t>
      </w:r>
      <w:r>
        <w:rPr>
          <w:rFonts w:ascii="Times New Roman;sans-serif" w:hAnsi="Times New Roman;sans-serif"/>
          <w:b w:val="false"/>
          <w:color w:val="000000"/>
          <w:sz w:val="22"/>
        </w:rPr>
        <w:t xml:space="preserve">. Subject to the provisions of this </w:t>
      </w:r>
      <w:r>
        <w:rPr>
          <w:rFonts w:ascii="Times New Roman;sans-serif" w:hAnsi="Times New Roman;sans-serif"/>
          <w:b w:val="false"/>
          <w:color w:val="000000"/>
          <w:sz w:val="22"/>
          <w:u w:val="single"/>
        </w:rPr>
        <w:t>Article IX</w:t>
      </w:r>
      <w:r>
        <w:rPr>
          <w:rFonts w:ascii="Times New Roman;sans-serif" w:hAnsi="Times New Roman;sans-serif"/>
          <w:b w:val="false"/>
          <w:color w:val="000000"/>
          <w:sz w:val="22"/>
        </w:rPr>
        <w:t>, Purchaser agrees to defend, indemnify and hold harmless Seller and its Affiliates and, if applicable, their respective directors, officers, agents, employees, successors and assigns (a "</w:t>
      </w:r>
      <w:r>
        <w:rPr>
          <w:rFonts w:ascii="Times New Roman;sans-serif" w:hAnsi="Times New Roman;sans-serif"/>
          <w:b w:val="false"/>
          <w:color w:val="000000"/>
          <w:sz w:val="22"/>
          <w:u w:val="single"/>
        </w:rPr>
        <w:t>Seller Indemnified Party</w:t>
      </w:r>
      <w:r>
        <w:rPr>
          <w:rFonts w:ascii="Times New Roman;sans-serif" w:hAnsi="Times New Roman;sans-serif"/>
          <w:b w:val="false"/>
          <w:color w:val="000000"/>
          <w:sz w:val="22"/>
        </w:rPr>
        <w:t>"), from and against any and all Losses to the extent arising from or relating to:</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any breach of any representation or warranty made by Purchaser in this Agreement or the Asset Assignment Agreement;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any failure of each of Purchaser or TopCo to perform any of its covenants or agreements contained in this Agreement or the Asset Assignment Agreement; or</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any Assumed Liability.</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9.4    Certain Limitations</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(a)    No claim for Losses shall be made under </w:t>
      </w:r>
      <w:r>
        <w:rPr>
          <w:rFonts w:ascii="Times New Roman;sans-serif" w:hAnsi="Times New Roman;sans-serif"/>
          <w:b w:val="false"/>
          <w:color w:val="000000"/>
          <w:sz w:val="22"/>
          <w:u w:val="single"/>
        </w:rPr>
        <w:t>Section 9.2(a)</w:t>
      </w:r>
      <w:r>
        <w:rPr>
          <w:color w:val="000000"/>
        </w:rPr>
        <w:t xml:space="preserve"> </w:t>
      </w:r>
      <w:r>
        <w:rPr>
          <w:rFonts w:ascii="Times New Roman;sans-serif" w:hAnsi="Times New Roman;sans-serif"/>
          <w:b w:val="false"/>
          <w:color w:val="000000"/>
          <w:sz w:val="22"/>
        </w:rPr>
        <w:t xml:space="preserve">or under </w:t>
      </w:r>
      <w:r>
        <w:rPr>
          <w:rFonts w:ascii="Times New Roman;sans-serif" w:hAnsi="Times New Roman;sans-serif"/>
          <w:b w:val="false"/>
          <w:color w:val="000000"/>
          <w:sz w:val="22"/>
          <w:u w:val="single"/>
        </w:rPr>
        <w:t>Section 9.3(a)</w:t>
      </w:r>
      <w:r>
        <w:rPr>
          <w:color w:val="000000"/>
        </w:rPr>
        <w:t xml:space="preserve"> </w:t>
      </w:r>
      <w:r>
        <w:rPr>
          <w:rFonts w:ascii="Times New Roman;sans-serif" w:hAnsi="Times New Roman;sans-serif"/>
          <w:b w:val="false"/>
          <w:color w:val="000000"/>
          <w:sz w:val="22"/>
        </w:rPr>
        <w:t>unless the aggregate amount of Losses exceeds [***] for which claims are made hereunder by the Indemnified Party (the "</w:t>
      </w:r>
      <w:r>
        <w:rPr>
          <w:rFonts w:ascii="Times New Roman;sans-serif" w:hAnsi="Times New Roman;sans-serif"/>
          <w:b w:val="false"/>
          <w:color w:val="000000"/>
          <w:sz w:val="22"/>
          <w:u w:val="single"/>
        </w:rPr>
        <w:t>Basket</w:t>
      </w:r>
      <w:r>
        <w:rPr>
          <w:rFonts w:ascii="Times New Roman;sans-serif" w:hAnsi="Times New Roman;sans-serif"/>
          <w:b w:val="false"/>
          <w:color w:val="000000"/>
          <w:sz w:val="22"/>
        </w:rPr>
        <w:t>"), in which case the Indemnified Party shall be entitled to seek compensation for Losses in excess of the Basket, but only up to a maximum aggregate amount of [***] (the "</w:t>
      </w:r>
      <w:r>
        <w:rPr>
          <w:rFonts w:ascii="Times New Roman;sans-serif" w:hAnsi="Times New Roman;sans-serif"/>
          <w:b w:val="false"/>
          <w:color w:val="000000"/>
          <w:sz w:val="22"/>
          <w:u w:val="single"/>
        </w:rPr>
        <w:t>Indemnification Cap</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foregoing Basket and Indemnification Cap shall not apply to Losses resulting from (i) Seller's Fraud or (ii) any breach of any Fundamental Rep made by Seller;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aggregate indemnification obligations of the Indemnified Party for all Losses resulting from any breach of any Fundamental Rep shall not exceed an amount equal to [***] (the "[***]"). Notwithstanding anything to the foregoing, with respect to any claim as to which the Indemnified Party may be entitled to indemnification under </w:t>
      </w:r>
      <w:r>
        <w:rPr>
          <w:rFonts w:ascii="Times New Roman;sans-serif" w:hAnsi="Times New Roman;sans-serif"/>
          <w:b w:val="false"/>
          <w:color w:val="000000"/>
          <w:sz w:val="22"/>
          <w:u w:val="single"/>
        </w:rPr>
        <w:t>Section 9.2(a)</w:t>
      </w:r>
      <w:r>
        <w:rPr>
          <w:color w:val="000000"/>
        </w:rPr>
        <w:t xml:space="preserve"> </w:t>
      </w:r>
      <w:r>
        <w:rPr>
          <w:rFonts w:ascii="Times New Roman;sans-serif" w:hAnsi="Times New Roman;sans-serif"/>
          <w:b w:val="false"/>
          <w:color w:val="000000"/>
          <w:sz w:val="22"/>
        </w:rPr>
        <w:t xml:space="preserve">or under </w:t>
      </w:r>
      <w:r>
        <w:rPr>
          <w:rFonts w:ascii="Times New Roman;sans-serif" w:hAnsi="Times New Roman;sans-serif"/>
          <w:b w:val="false"/>
          <w:color w:val="000000"/>
          <w:sz w:val="22"/>
          <w:u w:val="single"/>
        </w:rPr>
        <w:t>Section 9.3(a)</w:t>
      </w:r>
      <w:r>
        <w:rPr>
          <w:rFonts w:ascii="Times New Roman;sans-serif" w:hAnsi="Times New Roman;sans-serif"/>
          <w:b w:val="false"/>
          <w:color w:val="000000"/>
          <w:sz w:val="22"/>
        </w:rPr>
        <w:t xml:space="preserve">, (x) no Party shall be liable for any Loss resulting from or relating to any inaccuracy in or breach of any </w:t>
      </w:r>
    </w:p>
    <w:p>
      <w:pPr>
        <w:pStyle w:val="TextBody"/>
        <w:bidi w:val="0"/>
        <w:spacing w:lineRule="auto" w:line="240" w:before="0" w:after="240"/>
        <w:jc w:val="both"/>
        <w:rPr/>
      </w:pPr>
      <w:r>
        <w:rPr>
          <w:rFonts w:ascii="Times New Roman;sans-serif" w:hAnsi="Times New Roman;sans-serif"/>
          <w:b w:val="false"/>
          <w:color w:val="000000"/>
          <w:sz w:val="22"/>
        </w:rPr>
        <w:t>representation or warranty if the Party seeking indemnification for such Loss had knowledge of such breach or the underlying facts of such breach before the Initial Closing and (y) the Indemnifying Party shall not be liable for any individual or series of related Losses which do not exceed [***] (the "</w:t>
      </w:r>
      <w:r>
        <w:rPr>
          <w:rFonts w:ascii="Times New Roman;sans-serif" w:hAnsi="Times New Roman;sans-serif"/>
          <w:b w:val="false"/>
          <w:color w:val="000000"/>
          <w:sz w:val="22"/>
          <w:u w:val="single"/>
        </w:rPr>
        <w:t>De Minimis Amount</w:t>
      </w:r>
      <w:r>
        <w:rPr>
          <w:rFonts w:ascii="Times New Roman;sans-serif" w:hAnsi="Times New Roman;sans-serif"/>
          <w:b w:val="false"/>
          <w:color w:val="000000"/>
          <w:sz w:val="22"/>
        </w:rPr>
        <w:t xml:space="preserve">") (which Losses shall not be counted toward the Basket);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such de minimis limitation shall not apply with respect to Fraud. The aggregate indemnification obligations of the Indemnified Party for claims made under </w:t>
      </w:r>
      <w:r>
        <w:rPr>
          <w:rFonts w:ascii="Times New Roman;sans-serif" w:hAnsi="Times New Roman;sans-serif"/>
          <w:b w:val="false"/>
          <w:color w:val="000000"/>
          <w:sz w:val="22"/>
          <w:u w:val="single"/>
        </w:rPr>
        <w:t>Section 9.2(b)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9.3(b)</w:t>
      </w:r>
      <w:r>
        <w:rPr>
          <w:color w:val="000000"/>
        </w:rPr>
        <w:t xml:space="preserve"> </w:t>
      </w:r>
      <w:r>
        <w:rPr>
          <w:rFonts w:ascii="Times New Roman;sans-serif" w:hAnsi="Times New Roman;sans-serif"/>
          <w:b w:val="false"/>
          <w:color w:val="000000"/>
          <w:sz w:val="22"/>
        </w:rPr>
        <w:t xml:space="preserve">shall not exceed the [***] . For the avoidance of doubt, none of the Basket, Indemnification Cap, [***] or De Minimis Amount limitations shall apply with respect to any Losses under </w:t>
      </w:r>
      <w:r>
        <w:rPr>
          <w:rFonts w:ascii="Times New Roman;sans-serif" w:hAnsi="Times New Roman;sans-serif"/>
          <w:b w:val="false"/>
          <w:color w:val="000000"/>
          <w:sz w:val="22"/>
          <w:u w:val="single"/>
        </w:rPr>
        <w:t>Section 9.2(c)</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9.3(d)</w:t>
      </w:r>
      <w:r>
        <w:rPr>
          <w:rFonts w:ascii="Times New Roman;sans-serif" w:hAnsi="Times New Roman;sans-serif"/>
          <w:b w:val="false"/>
          <w:color w:val="000000"/>
          <w:sz w:val="22"/>
        </w:rPr>
        <w:t>.</w:t>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60655"/>
                <wp:effectExtent l="0" t="0" r="0" b="0"/>
                <wp:wrapNone/>
                <wp:docPr id="169" name="Frame1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(b)    The amount of any Loss for which indemnification is provided under </w:t>
      </w:r>
      <w:r>
        <w:rPr>
          <w:rFonts w:ascii="Times New Roman;sans-serif" w:hAnsi="Times New Roman;sans-serif"/>
          <w:b w:val="false"/>
          <w:color w:val="000000"/>
          <w:sz w:val="22"/>
          <w:u w:val="single"/>
        </w:rPr>
        <w:t>Section 9.2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9.3</w:t>
      </w:r>
      <w:r>
        <w:rPr>
          <w:color w:val="000000"/>
        </w:rPr>
        <w:t xml:space="preserve"> </w:t>
      </w:r>
      <w:r>
        <w:rPr>
          <w:rFonts w:ascii="Times New Roman;sans-serif" w:hAnsi="Times New Roman;sans-serif"/>
          <w:b w:val="false"/>
          <w:color w:val="000000"/>
          <w:sz w:val="22"/>
        </w:rPr>
        <w:t xml:space="preserve">shall be net of (i) any amounts actually received by the Indemnified Party pursuant to any indemnification by or indemnification agreement with any third party in respect of such Loss and (ii) any insurance proceeds actually received in respect of such Loss as an offset against such Loss. If the amount to be netted hereunder from any payment required under </w:t>
      </w:r>
      <w:r>
        <w:rPr>
          <w:rFonts w:ascii="Times New Roman;sans-serif" w:hAnsi="Times New Roman;sans-serif"/>
          <w:b w:val="false"/>
          <w:color w:val="000000"/>
          <w:sz w:val="22"/>
          <w:u w:val="single"/>
        </w:rPr>
        <w:t>Section 9.2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9.3</w:t>
      </w:r>
      <w:r>
        <w:rPr>
          <w:color w:val="000000"/>
        </w:rPr>
        <w:t xml:space="preserve"> </w:t>
      </w:r>
      <w:r>
        <w:rPr>
          <w:rFonts w:ascii="Times New Roman;sans-serif" w:hAnsi="Times New Roman;sans-serif"/>
          <w:b w:val="false"/>
          <w:color w:val="000000"/>
          <w:sz w:val="22"/>
        </w:rPr>
        <w:t xml:space="preserve">is determined after payment by the Indemnifying Party of any amount otherwise required to be paid to an Indemnified Party pursuant to this </w:t>
      </w:r>
      <w:r>
        <w:rPr>
          <w:rFonts w:ascii="Times New Roman;sans-serif" w:hAnsi="Times New Roman;sans-serif"/>
          <w:b w:val="false"/>
          <w:color w:val="000000"/>
          <w:sz w:val="22"/>
          <w:u w:val="single"/>
        </w:rPr>
        <w:t>Article IX</w:t>
      </w:r>
      <w:r>
        <w:rPr>
          <w:rFonts w:ascii="Times New Roman;sans-serif" w:hAnsi="Times New Roman;sans-serif"/>
          <w:b w:val="false"/>
          <w:color w:val="000000"/>
          <w:sz w:val="22"/>
        </w:rPr>
        <w:t xml:space="preserve">, the Indemnified Party shall repay to the Indemnifying Party, promptly after such determination, any amount that the Indemnifying Party would not have had to pay pursuant to this </w:t>
      </w:r>
      <w:r>
        <w:rPr>
          <w:rFonts w:ascii="Times New Roman;sans-serif" w:hAnsi="Times New Roman;sans-serif"/>
          <w:b w:val="false"/>
          <w:color w:val="000000"/>
          <w:sz w:val="22"/>
          <w:u w:val="single"/>
        </w:rPr>
        <w:t>Article IX</w:t>
      </w:r>
      <w:r>
        <w:rPr>
          <w:color w:val="000000"/>
        </w:rPr>
        <w:t xml:space="preserve"> </w:t>
      </w:r>
      <w:r>
        <w:rPr>
          <w:rFonts w:ascii="Times New Roman;sans-serif" w:hAnsi="Times New Roman;sans-serif"/>
          <w:b w:val="false"/>
          <w:color w:val="000000"/>
          <w:sz w:val="22"/>
        </w:rPr>
        <w:t>had such determination been made at the time of such payment.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Indemnified Party shall take, and shall cause its Affiliates to take, all reasonable steps to mitigate Losses, including incurring costs only to the minimum extent necessary to remedy the breach.</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(d)    All payments made pursuant to this </w:t>
      </w:r>
      <w:r>
        <w:rPr>
          <w:rFonts w:ascii="Times New Roman;sans-serif" w:hAnsi="Times New Roman;sans-serif"/>
          <w:b w:val="false"/>
          <w:color w:val="000000"/>
          <w:sz w:val="22"/>
          <w:u w:val="single"/>
        </w:rPr>
        <w:t>Article IX</w:t>
      </w:r>
      <w:r>
        <w:rPr>
          <w:color w:val="000000"/>
        </w:rPr>
        <w:t xml:space="preserve"> </w:t>
      </w:r>
      <w:r>
        <w:rPr>
          <w:rFonts w:ascii="Times New Roman;sans-serif" w:hAnsi="Times New Roman;sans-serif"/>
          <w:b w:val="false"/>
          <w:color w:val="000000"/>
          <w:sz w:val="22"/>
        </w:rPr>
        <w:t>shall be treated for Tax purposes as an adjustment to the purchase price, unless otherwise required by applicable Law.</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9.5    Indemnification Claims</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(a)    To cover Losses under the indemnification obligations of Seller under </w:t>
      </w:r>
      <w:r>
        <w:rPr>
          <w:rFonts w:ascii="Times New Roman;sans-serif" w:hAnsi="Times New Roman;sans-serif"/>
          <w:b w:val="false"/>
          <w:color w:val="000000"/>
          <w:sz w:val="22"/>
          <w:u w:val="single"/>
        </w:rPr>
        <w:t>Section 9.2</w:t>
      </w:r>
      <w:r>
        <w:rPr>
          <w:color w:val="000000"/>
        </w:rPr>
        <w:t xml:space="preserve"> </w:t>
      </w:r>
      <w:r>
        <w:rPr>
          <w:rFonts w:ascii="Times New Roman;sans-serif" w:hAnsi="Times New Roman;sans-serif"/>
          <w:b w:val="false"/>
          <w:color w:val="000000"/>
          <w:sz w:val="22"/>
        </w:rPr>
        <w:t xml:space="preserve">and of Purchaser under </w:t>
      </w:r>
      <w:r>
        <w:rPr>
          <w:rFonts w:ascii="Times New Roman;sans-serif" w:hAnsi="Times New Roman;sans-serif"/>
          <w:b w:val="false"/>
          <w:color w:val="000000"/>
          <w:sz w:val="22"/>
          <w:u w:val="single"/>
        </w:rPr>
        <w:t>Section 9.3</w:t>
      </w:r>
      <w:r>
        <w:rPr>
          <w:rFonts w:ascii="Times New Roman;sans-serif" w:hAnsi="Times New Roman;sans-serif"/>
          <w:b w:val="false"/>
          <w:color w:val="000000"/>
          <w:sz w:val="22"/>
        </w:rPr>
        <w:t xml:space="preserve">, any of the Persons seeking to be indemnified under this </w:t>
      </w:r>
      <w:r>
        <w:rPr>
          <w:rFonts w:ascii="Times New Roman;sans-serif" w:hAnsi="Times New Roman;sans-serif"/>
          <w:b w:val="false"/>
          <w:color w:val="000000"/>
          <w:sz w:val="22"/>
          <w:u w:val="single"/>
        </w:rPr>
        <w:t>Article IX</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val="false"/>
          <w:color w:val="000000"/>
          <w:sz w:val="22"/>
          <w:u w:val="single"/>
        </w:rPr>
        <w:t>Indemnified Party</w:t>
      </w:r>
      <w:r>
        <w:rPr>
          <w:rFonts w:ascii="Times New Roman;sans-serif" w:hAnsi="Times New Roman;sans-serif"/>
          <w:b w:val="false"/>
          <w:color w:val="000000"/>
          <w:sz w:val="22"/>
        </w:rPr>
        <w:t>") must deliver to the Party from whom indemnification is sought (the "</w:t>
      </w:r>
      <w:r>
        <w:rPr>
          <w:rFonts w:ascii="Times New Roman;sans-serif" w:hAnsi="Times New Roman;sans-serif"/>
          <w:b w:val="false"/>
          <w:color w:val="000000"/>
          <w:sz w:val="22"/>
          <w:u w:val="single"/>
        </w:rPr>
        <w:t>Indemnifying Party</w:t>
      </w:r>
      <w:r>
        <w:rPr>
          <w:rFonts w:ascii="Times New Roman;sans-serif" w:hAnsi="Times New Roman;sans-serif"/>
          <w:b w:val="false"/>
          <w:color w:val="000000"/>
          <w:sz w:val="22"/>
        </w:rPr>
        <w:t>") on or before the applicable Expiration Date a certificate signed by an officer of the Indemnified Party (an "</w:t>
      </w:r>
      <w:r>
        <w:rPr>
          <w:rFonts w:ascii="Times New Roman;sans-serif" w:hAnsi="Times New Roman;sans-serif"/>
          <w:b w:val="false"/>
          <w:color w:val="000000"/>
          <w:sz w:val="22"/>
          <w:u w:val="single"/>
        </w:rPr>
        <w:t>Indemnification Notice</w:t>
      </w:r>
      <w:r>
        <w:rPr>
          <w:rFonts w:ascii="Times New Roman;sans-serif" w:hAnsi="Times New Roman;sans-serif"/>
          <w:b w:val="false"/>
          <w:color w:val="000000"/>
          <w:sz w:val="22"/>
        </w:rPr>
        <w:t xml:space="preserve">") stating the basis of a claim pursuant to this </w:t>
      </w:r>
      <w:r>
        <w:rPr>
          <w:rFonts w:ascii="Times New Roman;sans-serif" w:hAnsi="Times New Roman;sans-serif"/>
          <w:b w:val="false"/>
          <w:color w:val="000000"/>
          <w:sz w:val="22"/>
          <w:u w:val="single"/>
        </w:rPr>
        <w:t>Article IX</w:t>
      </w:r>
      <w:r>
        <w:rPr>
          <w:rFonts w:ascii="Times New Roman;sans-serif" w:hAnsi="Times New Roman;sans-serif"/>
          <w:b w:val="false"/>
          <w:color w:val="000000"/>
          <w:sz w:val="22"/>
        </w:rPr>
        <w:t>, and specifying in reasonable detail the individual items of such Losses included in the amount so stated, the amount or estimated amount thereof (if known or reasonably capable of estimation), the method of calculation for such Losses, and the nature of the misrepresentation, breach of warranty, covenant or claim to which such item is related.</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The Indemnifying Party shall have a period of [***] from and after delivery of any Indemnification Notice to deliver to the Indemnified Party a response, in which the Indemnifying Party shall: (i) agree that the Indemnified Party is entitled to receive all of the requested Losses, or (ii) dispute that the Indemnified Party is entitled to receive the requested Losses.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(c)    If the Indemnifying Party does not deliver a response before the expiration of the [***] period referred to in </w:t>
      </w:r>
      <w:r>
        <w:rPr>
          <w:rFonts w:ascii="Times New Roman;sans-serif" w:hAnsi="Times New Roman;sans-serif"/>
          <w:b w:val="false"/>
          <w:color w:val="000000"/>
          <w:sz w:val="22"/>
          <w:u w:val="single"/>
        </w:rPr>
        <w:t>Section 9.5(b)</w:t>
      </w:r>
      <w:r>
        <w:rPr>
          <w:color w:val="000000"/>
        </w:rPr>
        <w:t xml:space="preserve"> </w:t>
      </w:r>
      <w:r>
        <w:rPr>
          <w:rFonts w:ascii="Times New Roman;sans-serif" w:hAnsi="Times New Roman;sans-serif"/>
          <w:b w:val="false"/>
          <w:color w:val="000000"/>
          <w:sz w:val="22"/>
        </w:rPr>
        <w:t xml:space="preserve">disputing any claim or claims made in the Indemnification Notice, the Indemnified Party shall, subject to the provisions of this </w:t>
      </w:r>
      <w:r>
        <w:rPr>
          <w:rFonts w:ascii="Times New Roman;sans-serif" w:hAnsi="Times New Roman;sans-serif"/>
          <w:b w:val="false"/>
          <w:color w:val="000000"/>
          <w:sz w:val="22"/>
          <w:u w:val="single"/>
        </w:rPr>
        <w:t>Article IX</w:t>
      </w:r>
      <w:r>
        <w:rPr>
          <w:rFonts w:ascii="Times New Roman;sans-serif" w:hAnsi="Times New Roman;sans-serif"/>
          <w:b w:val="false"/>
          <w:color w:val="000000"/>
          <w:sz w:val="22"/>
        </w:rPr>
        <w:t>, be entitled to recover such Losses.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(d)    If the Indemnifying Party disputes any claim or claims made in any Indemnification Notice, the Indemnified Party shall [***] to respond in a written statement to the objection of the Indemnifying Party. If after such [***] period there remains a dispute as to any claims, the Parties shall attempt in good faith for [***] to agree upon the rights of the Parties with respect to each of such claims (the "</w:t>
      </w:r>
      <w:r>
        <w:rPr>
          <w:rFonts w:ascii="Times New Roman;sans-serif" w:hAnsi="Times New Roman;sans-serif"/>
          <w:b w:val="false"/>
          <w:color w:val="000000"/>
          <w:sz w:val="22"/>
          <w:u w:val="single"/>
        </w:rPr>
        <w:t>Claim Period</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(e)    If no agreement can be reached after good faith negotiation between the Parties during the Claims Period pursuant to </w:t>
      </w:r>
      <w:r>
        <w:rPr>
          <w:rFonts w:ascii="Times New Roman;sans-serif" w:hAnsi="Times New Roman;sans-serif"/>
          <w:b w:val="false"/>
          <w:color w:val="000000"/>
          <w:sz w:val="22"/>
          <w:u w:val="single"/>
        </w:rPr>
        <w:t>Section 9.5(d)</w:t>
      </w:r>
      <w:r>
        <w:rPr>
          <w:rFonts w:ascii="Times New Roman;sans-serif" w:hAnsi="Times New Roman;sans-serif"/>
          <w:b w:val="false"/>
          <w:color w:val="000000"/>
          <w:sz w:val="22"/>
        </w:rPr>
        <w:t xml:space="preserve">, either Party may initiate formal legal action with the applicable court in accordance with </w:t>
      </w:r>
      <w:r>
        <w:rPr>
          <w:rFonts w:ascii="Times New Roman;sans-serif" w:hAnsi="Times New Roman;sans-serif"/>
          <w:b w:val="false"/>
          <w:color w:val="000000"/>
          <w:sz w:val="22"/>
          <w:u w:val="single"/>
        </w:rPr>
        <w:t>Section 10.9</w:t>
      </w:r>
      <w:r>
        <w:rPr>
          <w:color w:val="000000"/>
        </w:rPr>
        <w:t xml:space="preserve"> </w:t>
      </w:r>
      <w:r>
        <w:rPr>
          <w:rFonts w:ascii="Times New Roman;sans-serif" w:hAnsi="Times New Roman;sans-serif"/>
          <w:b w:val="false"/>
          <w:color w:val="000000"/>
          <w:sz w:val="22"/>
        </w:rPr>
        <w:t xml:space="preserve">to resolve such dispute. The decision of the court as to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validity and amount of any claim in such Indemnification Notice shall be binding and conclusive upon the Parties.</w:t>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60655"/>
                <wp:effectExtent l="0" t="0" r="0" b="0"/>
                <wp:wrapNone/>
                <wp:docPr id="170" name="Frame1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9.6    Third-Party Claims</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(a)    If any claim, Action, suit or proceeding (in equity or at law) is instituted by a third party with respect to which the Indemnified Party intends to claim any Loss under this </w:t>
      </w:r>
      <w:r>
        <w:rPr>
          <w:rFonts w:ascii="Times New Roman;sans-serif" w:hAnsi="Times New Roman;sans-serif"/>
          <w:b w:val="false"/>
          <w:color w:val="000000"/>
          <w:sz w:val="22"/>
          <w:u w:val="single"/>
        </w:rPr>
        <w:t>Article IX</w:t>
      </w:r>
      <w:r>
        <w:rPr>
          <w:rFonts w:ascii="Times New Roman;sans-serif" w:hAnsi="Times New Roman;sans-serif"/>
          <w:b w:val="false"/>
          <w:color w:val="000000"/>
          <w:sz w:val="22"/>
        </w:rPr>
        <w:t>, the Indemnified Party shall promptly notify (the "</w:t>
      </w:r>
      <w:r>
        <w:rPr>
          <w:rFonts w:ascii="Times New Roman;sans-serif" w:hAnsi="Times New Roman;sans-serif"/>
          <w:b w:val="false"/>
          <w:color w:val="000000"/>
          <w:sz w:val="22"/>
          <w:u w:val="single"/>
        </w:rPr>
        <w:t>Third-Party Claim Notice</w:t>
      </w:r>
      <w:r>
        <w:rPr>
          <w:rFonts w:ascii="Times New Roman;sans-serif" w:hAnsi="Times New Roman;sans-serif"/>
          <w:b w:val="false"/>
          <w:color w:val="000000"/>
          <w:sz w:val="22"/>
        </w:rPr>
        <w:t xml:space="preserve">") the Indemnifying Party of such claim, Action, suit or proceeding. A failure by the Indemnified Party to give notice of any claim, Action, suit or proceeding in a timely manner pursuant to this </w:t>
      </w:r>
      <w:r>
        <w:rPr>
          <w:rFonts w:ascii="Times New Roman;sans-serif" w:hAnsi="Times New Roman;sans-serif"/>
          <w:b w:val="false"/>
          <w:color w:val="000000"/>
          <w:sz w:val="22"/>
          <w:u w:val="single"/>
        </w:rPr>
        <w:t>Section 9.4(d)</w:t>
      </w:r>
      <w:r>
        <w:rPr>
          <w:color w:val="000000"/>
        </w:rPr>
        <w:t xml:space="preserve"> </w:t>
      </w:r>
      <w:r>
        <w:rPr>
          <w:rFonts w:ascii="Times New Roman;sans-serif" w:hAnsi="Times New Roman;sans-serif"/>
          <w:b w:val="false"/>
          <w:color w:val="000000"/>
          <w:sz w:val="22"/>
        </w:rPr>
        <w:t xml:space="preserve">shall not limit the obligation of the Indemnifying Party under this </w:t>
      </w:r>
      <w:r>
        <w:rPr>
          <w:rFonts w:ascii="Times New Roman;sans-serif" w:hAnsi="Times New Roman;sans-serif"/>
          <w:b w:val="false"/>
          <w:color w:val="000000"/>
          <w:sz w:val="22"/>
          <w:u w:val="single"/>
        </w:rPr>
        <w:t>Article IX</w:t>
      </w:r>
      <w:r>
        <w:rPr>
          <w:rFonts w:ascii="Times New Roman;sans-serif" w:hAnsi="Times New Roman;sans-serif"/>
          <w:b w:val="false"/>
          <w:color w:val="000000"/>
          <w:sz w:val="22"/>
        </w:rPr>
        <w:t xml:space="preserve">, except (a) to the extent such Indemnifying Party is actually prejudiced thereby or (b) as provided in </w:t>
      </w:r>
      <w:r>
        <w:rPr>
          <w:rFonts w:ascii="Times New Roman;sans-serif" w:hAnsi="Times New Roman;sans-serif"/>
          <w:b w:val="false"/>
          <w:color w:val="000000"/>
          <w:sz w:val="22"/>
          <w:u w:val="single"/>
        </w:rPr>
        <w:t>Section 9.1</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(b)    The Indemnifying Party under this </w:t>
      </w:r>
      <w:r>
        <w:rPr>
          <w:rFonts w:ascii="Times New Roman;sans-serif" w:hAnsi="Times New Roman;sans-serif"/>
          <w:b w:val="false"/>
          <w:color w:val="000000"/>
          <w:sz w:val="22"/>
          <w:u w:val="single"/>
        </w:rPr>
        <w:t>Article IX</w:t>
      </w:r>
      <w:r>
        <w:rPr>
          <w:color w:val="000000"/>
        </w:rPr>
        <w:t xml:space="preserve"> </w:t>
      </w:r>
      <w:r>
        <w:rPr>
          <w:rFonts w:ascii="Times New Roman;sans-serif" w:hAnsi="Times New Roman;sans-serif"/>
          <w:b w:val="false"/>
          <w:color w:val="000000"/>
          <w:sz w:val="22"/>
        </w:rPr>
        <w:t>shall have the right, but not the obligation, exercisable by written notice to the Indemnified Party within [***] of receipt of a Third-Party Claim Notice from the Indemnified Party with respect thereto, to assume the conduct and control, at the expense of the Indemnifying Party and through counsel of its choosing that is reasonably acceptable to the Indemnified Party, any third-party claim, Action, suit or proceeding (a "</w:t>
      </w:r>
      <w:r>
        <w:rPr>
          <w:rFonts w:ascii="Times New Roman;sans-serif" w:hAnsi="Times New Roman;sans-serif"/>
          <w:b w:val="false"/>
          <w:color w:val="000000"/>
          <w:sz w:val="22"/>
          <w:u w:val="single"/>
        </w:rPr>
        <w:t>Third-Party Claim</w:t>
      </w:r>
      <w:r>
        <w:rPr>
          <w:rFonts w:ascii="Times New Roman;sans-serif" w:hAnsi="Times New Roman;sans-serif"/>
          <w:b w:val="false"/>
          <w:color w:val="000000"/>
          <w:sz w:val="22"/>
        </w:rPr>
        <w:t xml:space="preserve">"), except as provided in this </w:t>
      </w:r>
      <w:r>
        <w:rPr>
          <w:rFonts w:ascii="Times New Roman;sans-serif" w:hAnsi="Times New Roman;sans-serif"/>
          <w:b w:val="false"/>
          <w:color w:val="000000"/>
          <w:sz w:val="22"/>
          <w:u w:val="single"/>
        </w:rPr>
        <w:t>Section 9.6(b)</w:t>
      </w:r>
      <w:r>
        <w:rPr>
          <w:color w:val="000000"/>
        </w:rPr>
        <w:t xml:space="preserve"> </w:t>
      </w:r>
      <w:r>
        <w:rPr>
          <w:rFonts w:ascii="Times New Roman;sans-serif" w:hAnsi="Times New Roman;sans-serif"/>
          <w:b w:val="false"/>
          <w:color w:val="000000"/>
          <w:sz w:val="22"/>
        </w:rPr>
        <w:t xml:space="preserve">and the Indemnifying Party may compromise or settle the same;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the Indemnifying Party shall give the Indemnified Party advance written notice of any proposed compromise or settlement and shall not, without the prior written consent of the Indemnified Party (which consent shall not be unreasonably withheld, conditioned or delayed), consent to or enter into any compromise or settlement that commits the Indemnified Party, to take, or to forbear to take, any action or does not provide for a full and complete written release by the applicable third party of the Indemnified Party. No Indemnified Party may compromise or settle any Third-Party Claim for which it is seeking indemnification hereunder without the consent of the Indemnifying Party (which consent shall not be unreasonably withheld, conditioned or delayed). No Indemnifying Party may consent to the entry of any judgment that does not relate solely to monetary damages arising from any such Third-Party Claim without the prior written consent of the Indemnified Party (which consent shall not be unreasonably withheld, conditioned or delayed). The Indemnifying Party shall permit the Indemnified Party to participate in, but not control, the defense of any such Third-Party Claim through counsel chosen by the Indemnified Party;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the fees and expenses of such counsel shall be borne by the Indemnified Party. If the Indemnifying Party elects not to control or conduct the defense of a Third-Party Claim, the Indemnifying Party nevertheless shall have the right to participate in the defense of any Third-Party Claim and, at its own expense, to employ counsel of its own choosing for such purpose.</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The Parties shall cooperate in the defense of any Third-Party Claim, with such cooperation to include (i) the retention and the provision to the Indemnifying Party of records and information that are reasonably relevant to such Third-Party Claim and (ii) reasonable access to employees on a mutually convenient basis for providing additional information and explanation of any material provided hereunder.</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9.7    Sole Remedy</w:t>
      </w:r>
      <w:r>
        <w:rPr>
          <w:rFonts w:ascii="Times New Roman;sans-serif" w:hAnsi="Times New Roman;sans-serif"/>
          <w:b w:val="false"/>
          <w:color w:val="000000"/>
          <w:sz w:val="22"/>
        </w:rPr>
        <w:t xml:space="preserve">. Except as expressly provided otherwise in this Agreement and the Ancillary Agreements, each Party acknowledges and agrees that the remedies provided for in this </w:t>
      </w:r>
      <w:r>
        <w:rPr>
          <w:rFonts w:ascii="Times New Roman;sans-serif" w:hAnsi="Times New Roman;sans-serif"/>
          <w:b w:val="false"/>
          <w:color w:val="000000"/>
          <w:sz w:val="22"/>
          <w:u w:val="single"/>
        </w:rPr>
        <w:t>Article IX</w:t>
      </w:r>
      <w:r>
        <w:rPr>
          <w:color w:val="000000"/>
        </w:rPr>
        <w:t xml:space="preserve"> </w:t>
      </w:r>
      <w:r>
        <w:rPr>
          <w:rFonts w:ascii="Times New Roman;sans-serif" w:hAnsi="Times New Roman;sans-serif"/>
          <w:b w:val="false"/>
          <w:color w:val="000000"/>
          <w:sz w:val="22"/>
        </w:rPr>
        <w:t>shall be its sole and exclusive remedy with respect to the subject matter of this Agreement. In furtherance of the foregoing, each of the Parties hereby waives, to the fullest extent permitted by applicable Law, any and all other rights, claims and causes of action (including rights of contributions, if any) known or unknown, foreseen or unforeseen, which exist or may arise in the future, that it may have against Seller or any of its Affiliates, or Purchaser or any of its Affiliates, as the case may be, arising under or based upon any applicable Law and related to the subject matter of this Agreement, except that nothing herein shall limit the liability of either Party for Fraud. Each Party agrees that the previous sentence shall not limit or otherwise affect any (i) non-monetary right or remedy which either Party may have under this Agreement or any of the Ancillary Agreements or otherwise limit or affect either Party's right to seek equitable relief, including the remedy of specific performance or (ii) any and all remedies available to a Party at law or equity in the case of any fraudulent conduct or willful misrepresentation by Seller or any of its Affiliates or Representatives.</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9.8    Indemnity Payments</w:t>
      </w:r>
      <w:r>
        <w:rPr>
          <w:rFonts w:ascii="Times New Roman;sans-serif" w:hAnsi="Times New Roman;sans-serif"/>
          <w:b w:val="false"/>
          <w:color w:val="000000"/>
          <w:sz w:val="22"/>
        </w:rPr>
        <w:t>.</w:t>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60655"/>
                <wp:effectExtent l="0" t="0" r="0" b="0"/>
                <wp:wrapNone/>
                <wp:docPr id="171" name="Frame1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Any and all amounts payable by Seller in its capacity as an Indemnifying Party to a Purchaser Indemnified Party shall first be satisfied by setting off and applying any and all amounts finally determined as payable by the Seller in its capacity as an Indemnifying Party against any remaining amount of Deferred Consideration that has not been paid and then by payment in cash by wire transfer of immediately available funds to the accounts specified in writing by the Purchaser Indemnified Party.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Any and all amounts payable by Purchaser in its capacity as an Indemnifying Party to a Seller Indemnified Party shall be paid promptly in cash by wire transfer of immediately available funds to the accounts specified in writing by the Seller Indemnified Party.</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(c)    With respect to any claim brought by an Indemnified Party under this Agreement, each of the Parties expressly waives any right of subrogation, contribution, advancement, indemnification or other claim against the other Party with respect to any amounts owed by such other Party pursuant to this </w:t>
      </w:r>
      <w:r>
        <w:rPr>
          <w:rFonts w:ascii="Times New Roman;sans-serif" w:hAnsi="Times New Roman;sans-serif"/>
          <w:b w:val="false"/>
          <w:color w:val="000000"/>
          <w:sz w:val="22"/>
          <w:u w:val="single"/>
        </w:rPr>
        <w:t>Article IX</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9.9    EXCEPTIONS</w:t>
      </w:r>
      <w:r>
        <w:rPr>
          <w:rFonts w:ascii="Times New Roman;sans-serif" w:hAnsi="Times New Roman;sans-serif"/>
          <w:b w:val="false"/>
          <w:color w:val="000000"/>
          <w:sz w:val="22"/>
        </w:rPr>
        <w:t xml:space="preserve">. NOTWITHSTANDING ANYTHING TO THE CONTRARY CONTAINED HEREIN, NO PARTY TO THIS AGREEMENT SHALL BE LIABLE TO OR OTHERWISE RESPONSIBLE TO THE OTHER PARTY OR ANY AFFILIATE OF THE OTHER PARTY FOR [***] THAT ARISE OUT OF OR RELATE TO THIS AGREEMENT;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THIS </w:t>
      </w:r>
      <w:r>
        <w:rPr>
          <w:rFonts w:ascii="Times New Roman;sans-serif" w:hAnsi="Times New Roman;sans-serif"/>
          <w:b w:val="false"/>
          <w:color w:val="000000"/>
          <w:sz w:val="22"/>
          <w:u w:val="single"/>
        </w:rPr>
        <w:t>SECTION 9.9</w:t>
      </w:r>
      <w:r>
        <w:rPr>
          <w:color w:val="000000"/>
        </w:rPr>
        <w:t xml:space="preserve"> </w:t>
      </w:r>
      <w:r>
        <w:rPr>
          <w:rFonts w:ascii="Times New Roman;sans-serif" w:hAnsi="Times New Roman;sans-serif"/>
          <w:b w:val="false"/>
          <w:color w:val="000000"/>
          <w:sz w:val="22"/>
        </w:rPr>
        <w:t xml:space="preserve">SHALL NOT SERVE AS A LIMITATION ON ANY INDEMNIFYING PARTY'S INDEMNIFICATION OBLIGATIONS FOR ANY LOSSES ACTUALLY PAID TO A THIRD PARTY THAT SUCH INDEMNIFYING PARTY WOULD OTHERWISE BE LIABLE FOR HEREUNDER. </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ARTICLE X</w:t>
        <w:br/>
        <w:br/>
        <w:t>MISCELLANEOUS</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10.1    Notices</w:t>
      </w:r>
      <w:r>
        <w:rPr>
          <w:rFonts w:ascii="Times New Roman;sans-serif" w:hAnsi="Times New Roman;sans-serif"/>
          <w:b w:val="false"/>
          <w:color w:val="000000"/>
          <w:sz w:val="22"/>
        </w:rPr>
        <w:t>. All notices or other communications hereunder shall be deemed to have been duly given and made if in writing and if served by personal delivery upon the party for whom it is intended, delivered by registered or certified mail, return receipt requested, or by a national overnight courier service, or sent by email to the Person at the address or email address set forth below, or such other address as may be designated in writing hereafter, in the same manner, by such Person:</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If to Seller, to:</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Senti Biosciences, Inc.</w:t>
        <w:br/>
        <w:t>2 Corporate Drive, First Floor</w:t>
        <w:br/>
        <w:t>South San Francisco, CA 94080</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Email: Tim Lu</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Attention: [***]</w:t>
      </w:r>
    </w:p>
    <w:p>
      <w:pPr>
        <w:pStyle w:val="TextBody"/>
        <w:bidi w:val="0"/>
        <w:spacing w:lineRule="auto" w:line="240" w:before="240" w:after="240"/>
        <w:jc w:val="left"/>
        <w:rPr>
          <w:rFonts w:ascii="Times New Roman;sans-serif" w:hAnsi="Times New Roman;sans-serif"/>
          <w:b w:val="false"/>
          <w:color w:val="000000"/>
          <w:sz w:val="22"/>
        </w:rPr>
      </w:pPr>
      <w:r>
        <w:rPr>
          <w:rFonts w:ascii="Times New Roman;sans-serif" w:hAnsi="Times New Roman;sans-serif"/>
          <w:b w:val="false"/>
          <w:color w:val="000000"/>
          <w:sz w:val="22"/>
        </w:rPr>
        <w:t>with a copy to:    </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Cooley LLP</w:t>
        <w:br/>
        <w:t>Suite 700, 1299 Pennsylvania Avenue, NW,</w:t>
        <w:br/>
        <w:t>Washington, DC 20004-2400</w:t>
        <w:br/>
        <w:t>Email: Maureen Nagle; Rena Kaminsky</w:t>
        <w:br/>
        <w:t>Attention: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If to Purchaser, to:</w:t>
      </w:r>
    </w:p>
    <w:p>
      <w:pPr>
        <w:pStyle w:val="TextBody"/>
        <w:bidi w:val="0"/>
        <w:spacing w:lineRule="auto" w:line="240" w:before="0" w:after="0"/>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GeneFab, LLC </w:t>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60655"/>
                <wp:effectExtent l="0" t="0" r="0" b="0"/>
                <wp:wrapNone/>
                <wp:docPr id="172" name="Frame1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1101 Marina Village Parkway</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Suite 201, PMB 7333</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Alameda CA 94501</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Email: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Attention: Philip Lee</w:t>
      </w:r>
    </w:p>
    <w:p>
      <w:pPr>
        <w:pStyle w:val="TextBody"/>
        <w:bidi w:val="0"/>
        <w:spacing w:lineRule="auto" w:line="240" w:before="24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with a copy to:</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Morrison &amp; Foerster LLP</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33/F, Edinburgh Tower, Landmark</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15 Queen's Road Central</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Hong Kong</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Email: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Attention: Marcia Ellis</w:t>
      </w:r>
    </w:p>
    <w:p>
      <w:pPr>
        <w:pStyle w:val="TextBody"/>
        <w:bidi w:val="0"/>
        <w:spacing w:lineRule="auto" w:line="240" w:before="240" w:after="240"/>
        <w:jc w:val="both"/>
        <w:rPr/>
      </w:pPr>
      <w:r>
        <w:rPr>
          <w:rFonts w:ascii="Times New Roman;sans-serif" w:hAnsi="Times New Roman;sans-serif"/>
          <w:b w:val="false"/>
          <w:color w:val="000000"/>
          <w:sz w:val="22"/>
        </w:rPr>
        <w:t>All notices and other communications under this Agreement shall be deemed to have been received (i) when delivered by hand, if personally delivered, (ii) three (3) Business Days after being delivered by registered or certified mail, return receipt requested, (iii) one (1) Business Day after being delivered to a national overnight courier service or (iv) on the date of delivery, if sent by email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no "bounce back" or notice of non-delivery is received). </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10.2    Amendment; Waiver</w:t>
      </w:r>
      <w:r>
        <w:rPr>
          <w:rFonts w:ascii="Times New Roman;sans-serif" w:hAnsi="Times New Roman;sans-serif"/>
          <w:b w:val="false"/>
          <w:color w:val="000000"/>
          <w:sz w:val="22"/>
        </w:rPr>
        <w:t>. Any provision of this Agreement may be amended or waived if, and only if, such amendment or waiver is in writing and signed (a) in the case of an amendment, by Purchaser and Seller and (b) in the case of a waiver, by the Party against whom the waiver is to be effective. No waiver by any Party of any provision of this Agreement or any default, misrepresentation, or breach of warranty or covenant hereunder, whether intentional or not, shall be valid unless the same shall be in writing and signed by the Party making such waiver, nor shall such waiver be deemed to extend to any prior or subsequent default, misrepresentation, or breach of warranty or covenant hereunder or affect in any way any rights arising by virtue of any prior or subsequent such occurrence. No failure or delay by any Party in exercising any right, power or privilege hereunder shall operate as a waiver thereof, nor shall any single or partial exercise thereof preclude any other or further exercise thereof or the exercise of any other right, power or privilege.</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10.3    Binding Effect; Assignment</w:t>
      </w:r>
      <w:r>
        <w:rPr>
          <w:rFonts w:ascii="Times New Roman;sans-serif" w:hAnsi="Times New Roman;sans-serif"/>
          <w:b w:val="false"/>
          <w:color w:val="000000"/>
          <w:sz w:val="22"/>
        </w:rPr>
        <w:t>. This Agreement and all of the provisions hereof shall be binding upon and shall inure to the benefit of the Parties hereto and their respective successors and permitted assigns. No Party to this Agreement may assign any of its rights or obligations under this Agreement, including by sale of stock, or operation of Law in connection with a merger or sale of substantially all the assets, without the prior written consent of the other Party, except that Purchaser may, without the consent of Seller, assign its rights or obligations under this Agreement, in whole or in part, to one or more of its Affiliates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Purchaser continues to guarantee any of its obligations hereunder).</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10.4    Entire Agreement</w:t>
      </w:r>
      <w:r>
        <w:rPr>
          <w:rFonts w:ascii="Times New Roman;sans-serif" w:hAnsi="Times New Roman;sans-serif"/>
          <w:b w:val="false"/>
          <w:color w:val="000000"/>
          <w:sz w:val="22"/>
        </w:rPr>
        <w:t>. This Agreement, together with the Ancillary Agreements, Annexes, Exhibits and Schedules (including the Seller Disclosure Schedules), contains the entire agreement among the Parties with respect to the subject matter hereof and supersedes all prior agreements and understandings, oral or written, with respect to such matters, but excluding the Confidentiality Agreement, which shall remain in full force and effect for the term provided for therein.</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10.5    No Third-Party Beneficiaries</w:t>
      </w:r>
      <w:r>
        <w:rPr>
          <w:rFonts w:ascii="Times New Roman;sans-serif" w:hAnsi="Times New Roman;sans-serif"/>
          <w:b w:val="false"/>
          <w:color w:val="000000"/>
          <w:sz w:val="22"/>
        </w:rPr>
        <w:t>. This Agreement shall inure to the benefit of and be binding upon the Parties and their respective successors and permitted assigns. Nothing in this Agreement, express or implied, is intended to confer upon any Person other than Purchaser, Seller or their successors or permitted assigns, any rights or remedies under or by reason of this Agreement.</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10.6    Public Disclosure</w:t>
      </w:r>
      <w:r>
        <w:rPr>
          <w:rFonts w:ascii="Times New Roman;sans-serif" w:hAnsi="Times New Roman;sans-serif"/>
          <w:b w:val="false"/>
          <w:color w:val="000000"/>
          <w:sz w:val="22"/>
        </w:rPr>
        <w:t xml:space="preserve">. Notwithstanding anything herein to the contrary, each Party hereby agrees with the other Party that no press release or similar public announcement or communication shall, at any time, be made by it or caused to be made by it concerning the execution or performance of this Agreement unless it shall have consulted the other Party in advance with respect thereto and such </w:t>
      </w:r>
    </w:p>
    <w:p>
      <w:pPr>
        <w:pStyle w:val="TextBody"/>
        <w:bidi w:val="0"/>
        <w:spacing w:lineRule="auto" w:line="240" w:before="0" w:after="240"/>
        <w:jc w:val="both"/>
        <w:rPr/>
      </w:pPr>
      <w:r>
        <w:rPr>
          <w:rFonts w:ascii="Times New Roman;sans-serif" w:hAnsi="Times New Roman;sans-serif"/>
          <w:b w:val="false"/>
          <w:color w:val="000000"/>
          <w:sz w:val="22"/>
        </w:rPr>
        <w:t xml:space="preserve">other Party consents in writing to such release, announcement or communication;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the provisions of this </w:t>
      </w:r>
      <w:r>
        <w:rPr>
          <w:rFonts w:ascii="Times New Roman;sans-serif" w:hAnsi="Times New Roman;sans-serif"/>
          <w:b w:val="false"/>
          <w:color w:val="000000"/>
          <w:sz w:val="22"/>
          <w:u w:val="single"/>
        </w:rPr>
        <w:t>Section 10.6</w:t>
      </w:r>
      <w:r>
        <w:rPr>
          <w:color w:val="000000"/>
        </w:rPr>
        <w:t xml:space="preserve"> </w:t>
      </w:r>
      <w:r>
        <w:rPr>
          <w:rFonts w:ascii="Times New Roman;sans-serif" w:hAnsi="Times New Roman;sans-serif"/>
          <w:b w:val="false"/>
          <w:color w:val="000000"/>
          <w:sz w:val="22"/>
        </w:rPr>
        <w:t>shall not prohibit (i) any disclosure required to comply with the requirements of any applicable Laws or the rules and regulations of each stock exchange upon which the securities of such Party are listed, if any (in which case such Party shall notify the other Party promptly and shall use commercially reasonable efforts to provide the other Party with a copy of the contemplated disclosure prior to submission or release, as the case may be) and (ii) any disclosure made in connection with the enforcement of any right or remedy relating to this Agreement or the transactions contemplated herein. Notwithstanding any other provision contained herein, Purchaser shall have a right to disclose the existence of this Agreement and a general description of the Purchased Assets, provided that such description shall not disclose the Cash Consideration or similar pricing information.</w:t>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60655"/>
                <wp:effectExtent l="0" t="0" r="0" b="0"/>
                <wp:wrapNone/>
                <wp:docPr id="173" name="Frame1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10.7    Confidentiality; Equitable Relief</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    The Parties acknowledge that Seller and Purchaser have previously executed that certain Confidentiality Disclosure Agreement, dated January, 2023, as amended as of June 17, 2023,</w:t>
      </w:r>
      <w:r>
        <w:rPr>
          <w:color w:val="000000"/>
        </w:rPr>
        <w:t xml:space="preserve"> </w:t>
      </w:r>
      <w:r>
        <w:rPr>
          <w:rFonts w:ascii="Times New Roman;sans-serif" w:hAnsi="Times New Roman;sans-serif"/>
          <w:b w:val="false"/>
          <w:color w:val="000000"/>
          <w:sz w:val="22"/>
        </w:rPr>
        <w:t>(as amended, restated and modified from time to time, the "</w:t>
      </w:r>
      <w:r>
        <w:rPr>
          <w:rFonts w:ascii="Times New Roman;sans-serif" w:hAnsi="Times New Roman;sans-serif"/>
          <w:b w:val="false"/>
          <w:color w:val="000000"/>
          <w:sz w:val="22"/>
          <w:u w:val="single"/>
        </w:rPr>
        <w:t>Confidentiality Agreement</w:t>
      </w:r>
      <w:r>
        <w:rPr>
          <w:rFonts w:ascii="Times New Roman;sans-serif" w:hAnsi="Times New Roman;sans-serif"/>
          <w:b w:val="false"/>
          <w:color w:val="000000"/>
          <w:sz w:val="22"/>
        </w:rPr>
        <w:t xml:space="preserve">"). After the Initial Closing, Seller shall each keep confidential, and shall use reasonable efforts to cause its Representatives to keep confidential, all Confidential Information relating to the Facility, Purchased Assets, the Assumed Liabilities, the Excluded Assets or the Excluded Liabilities, except (A) as required by Law, (B) as necessary to arbitrate, defend or prosecute any indemnification claim or any Litigation or dispute or (C) for information that is available to the public on the Initial Closing Date, or thereafter becomes available to the public other than as a result of a breach of this </w:t>
      </w:r>
      <w:r>
        <w:rPr>
          <w:rFonts w:ascii="Times New Roman;sans-serif" w:hAnsi="Times New Roman;sans-serif"/>
          <w:b w:val="false"/>
          <w:color w:val="000000"/>
          <w:sz w:val="22"/>
          <w:u w:val="single"/>
        </w:rPr>
        <w:t>Section 10.7(a)</w:t>
      </w:r>
      <w:r>
        <w:rPr>
          <w:rFonts w:ascii="Times New Roman;sans-serif" w:hAnsi="Times New Roman;sans-serif"/>
          <w:b w:val="false"/>
          <w:color w:val="000000"/>
          <w:sz w:val="22"/>
        </w:rPr>
        <w:t>, or is furnished to Purchaser after the Initial Closing by a third party that, to the knowledge of Purchaser, is under no obligation of confidentiality to the other Party with respect to such information.</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Each Party hereby waives any requirement that the other Party post a bond or other security as a condition for obtaining any such relief. Each Party hereby waives any defenses in any action for specific performance, including the defense that a remedy at Law would be adequate.</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10.8    Expenses</w:t>
      </w:r>
      <w:r>
        <w:rPr>
          <w:rFonts w:ascii="Times New Roman;sans-serif" w:hAnsi="Times New Roman;sans-serif"/>
          <w:b w:val="false"/>
          <w:color w:val="000000"/>
          <w:sz w:val="22"/>
        </w:rPr>
        <w:t>. [***]</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10.9    Governing Law; Dispute Resolution</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This Agreement, including all issues and questions concerning the application, construction, validity, interpretation, and enforceability of this Agreement, shall be governed by and construed in accordance with the internal laws of the State of Delaware, without regard to its conflict of laws provisions.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Dispute Resolution</w:t>
      </w:r>
      <w:r>
        <w:rPr>
          <w:rFonts w:ascii="Times New Roman;sans-serif" w:hAnsi="Times New Roman;sans-serif"/>
          <w:b w:val="false"/>
          <w:color w:val="000000"/>
          <w:sz w:val="22"/>
        </w:rPr>
        <w:t>. Any dispute, controversy, difference, or claim arising out of, relating to, or in connection with this Agreement, including any question regarding its existence, validity, or termination, the scope or applicability of this agreement to arbitrate, or any dispute regarding non-contractual obligations arising out of or relating to it, shall be referred to and finally resolved by arbitration administered by the International Centre for Dispute Resolution ("</w:t>
      </w:r>
      <w:r>
        <w:rPr>
          <w:rFonts w:ascii="Times New Roman;sans-serif" w:hAnsi="Times New Roman;sans-serif"/>
          <w:b w:val="false"/>
          <w:color w:val="000000"/>
          <w:sz w:val="22"/>
          <w:u w:val="single"/>
        </w:rPr>
        <w:t>ICDR</w:t>
      </w:r>
      <w:r>
        <w:rPr>
          <w:rFonts w:ascii="Times New Roman;sans-serif" w:hAnsi="Times New Roman;sans-serif"/>
          <w:b w:val="false"/>
          <w:color w:val="000000"/>
          <w:sz w:val="22"/>
        </w:rPr>
        <w:t>") in accordance with its International Arbitration Rules in effect at the time of the arbitration, which rules are deemed to be incorporated by reference into this clause, except as they be modified herein. The seat, or legal place, of arbitration shall be New York, New York, United States of America. The arbitration proceedings shall be conducted in English. The arbitral tribunal shall consist of three arbitrators. The tribunal shall award to the prevailing party its costs and expenses of the arbitration, including its reasonable legal fees and other costs of legal representation, fees paid to the arbitrators, and any administrative fees paid to the ICDR, as determined by the tribunal. Judgment upon the award may be entered by any court having jurisdiction of the award or having jurisdiction over the relevant party or its assets. The parties agree that the arbitration shall be kept confidential. The existence of the arbitration, any non-public information provided in the arbitration, and any submissions, orders, or awards made in the arbitration (together, the "</w:t>
      </w:r>
      <w:r>
        <w:rPr>
          <w:rFonts w:ascii="Times New Roman;sans-serif" w:hAnsi="Times New Roman;sans-serif"/>
          <w:b w:val="false"/>
          <w:color w:val="000000"/>
          <w:sz w:val="22"/>
          <w:u w:val="single"/>
        </w:rPr>
        <w:t>Arbitration Confidential Information</w:t>
      </w:r>
      <w:r>
        <w:rPr>
          <w:rFonts w:ascii="Times New Roman;sans-serif" w:hAnsi="Times New Roman;sans-serif"/>
          <w:b w:val="false"/>
          <w:color w:val="000000"/>
          <w:sz w:val="22"/>
        </w:rPr>
        <w:t xml:space="preserve">") shall not be disclosed to any non-party except the tribunal, the ICDR, the </w:t>
      </w:r>
    </w:p>
    <w:p>
      <w:pPr>
        <w:pStyle w:val="TextBody"/>
        <w:bidi w:val="0"/>
        <w:spacing w:lineRule="auto" w:line="240" w:before="0" w:after="240"/>
        <w:jc w:val="both"/>
        <w:rPr/>
      </w:pPr>
      <w:r>
        <w:rPr>
          <w:rFonts w:ascii="Times New Roman;sans-serif" w:hAnsi="Times New Roman;sans-serif"/>
          <w:b w:val="false"/>
          <w:color w:val="000000"/>
          <w:sz w:val="22"/>
        </w:rPr>
        <w:t xml:space="preserve">parties, their counsel, experts, witnesses, accountants, and auditors, potential third-party funders, and any other person necessary to the conduct of the arbitration. Notwithstanding the foregoing, a party may disclose Arbitration Confidential Information to the extent required to protect or pursue a legal right or interest of the party in legal proceedings before a court or other authority, or enforce or challenge an award in </w:t>
      </w:r>
      <w:r>
        <w:rPr>
          <w:rFonts w:ascii="Times New Roman;sans-serif" w:hAnsi="Times New Roman;sans-serif"/>
          <w:b w:val="false"/>
          <w:i/>
          <w:color w:val="000000"/>
          <w:sz w:val="22"/>
        </w:rPr>
        <w:t>bona fide</w:t>
      </w:r>
      <w:r>
        <w:rPr>
          <w:color w:val="000000"/>
        </w:rPr>
        <w:t xml:space="preserve"> </w:t>
      </w:r>
      <w:r>
        <w:rPr>
          <w:rFonts w:ascii="Times New Roman;sans-serif" w:hAnsi="Times New Roman;sans-serif"/>
          <w:b w:val="false"/>
          <w:color w:val="000000"/>
          <w:sz w:val="22"/>
        </w:rPr>
        <w:t xml:space="preserve">legal proceedings. This confidentiality provision survives termination of this Agreement and of any arbitration brought pursuant to this Agreement. Notwithstanding </w:t>
      </w:r>
      <w:r>
        <w:rPr>
          <w:rFonts w:ascii="Times New Roman;sans-serif" w:hAnsi="Times New Roman;sans-serif"/>
          <w:b w:val="false"/>
          <w:color w:val="000000"/>
          <w:sz w:val="22"/>
          <w:u w:val="single"/>
        </w:rPr>
        <w:t>Section 10.9(a)</w:t>
      </w:r>
      <w:r>
        <w:rPr>
          <w:rFonts w:ascii="Times New Roman;sans-serif" w:hAnsi="Times New Roman;sans-serif"/>
          <w:b w:val="false"/>
          <w:color w:val="000000"/>
          <w:sz w:val="22"/>
        </w:rPr>
        <w:t>, the arbitration and this agreement to arbitrate shall be governed by Title 9 (Arbitration) of the United States Code.</w:t>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60655"/>
                <wp:effectExtent l="0" t="0" r="0" b="0"/>
                <wp:wrapNone/>
                <wp:docPr id="174" name="Frame1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10.10    Relationship of the Parties</w:t>
      </w:r>
      <w:r>
        <w:rPr>
          <w:rFonts w:ascii="Times New Roman;sans-serif" w:hAnsi="Times New Roman;sans-serif"/>
          <w:b w:val="false"/>
          <w:color w:val="000000"/>
          <w:sz w:val="22"/>
        </w:rPr>
        <w:t>. Nothing contained herein is intended or is to be construed so as to constitute Purchaser and Seller as partners, agents or joint venturers. Neither Party shall have any express or implied right or authority to assume or create any obligations on behalf of or in the name of the other Party or to bind the other Party to any contract, agreement or undertaking with any third party. The Parties (and any successor, assignee, transferee, or Affiliate of a Party) shall not treat or report the relationship between the Parties arising under this Agreement as a partnership for United States Tax purposes, without the prior written consent of the other Party unless required by a final "determination" as defined in Section 1313 of the Code.</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10.11    Counterparts</w:t>
      </w:r>
      <w:r>
        <w:rPr>
          <w:rFonts w:ascii="Times New Roman;sans-serif" w:hAnsi="Times New Roman;sans-serif"/>
          <w:b w:val="false"/>
          <w:color w:val="000000"/>
          <w:sz w:val="22"/>
        </w:rPr>
        <w:t>. This Agreement may be executed in counterparts, and by the Parties hereto in separate counterparts, each of which when executed shall be deemed to be an original but all of which taken together shall constitute one and the same agreement. Delivery of an executed counterpart of a signature page to this Agreement by e-mail of a .pdf attachment shall be effective as delivery of a manually executed counterpart of this Agreement.</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10.12    Headings</w:t>
      </w:r>
      <w:r>
        <w:rPr>
          <w:rFonts w:ascii="Times New Roman;sans-serif" w:hAnsi="Times New Roman;sans-serif"/>
          <w:b w:val="false"/>
          <w:color w:val="000000"/>
          <w:sz w:val="22"/>
        </w:rPr>
        <w:t>. The heading references herein and the table of contents hereto are for convenience purposes only, do not constitute a part of this Agreement and shall not be deemed to limit or affect the meaning or interpretation any of the provisions hereof.</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10.13    Severability</w:t>
      </w:r>
      <w:r>
        <w:rPr>
          <w:rFonts w:ascii="Times New Roman;sans-serif" w:hAnsi="Times New Roman;sans-serif"/>
          <w:b w:val="false"/>
          <w:color w:val="000000"/>
          <w:sz w:val="22"/>
        </w:rPr>
        <w:t>. The provisions of this Agreement shall be deemed severable and the invalidity or unenforceability of any provision shall not affect the validity or enforceability of the other provisions hereof. If any term or other provision of this Agreement, or the application thereof to any Person or any circumstance, is invalid, illegal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illegality or unenforceability, nor shall such invalidity, illegality or unenforceability affect the validity or enforceability of such provision, or the application thereof, in any other jurisdiction.</w:t>
      </w:r>
    </w:p>
    <w:p>
      <w:pPr>
        <w:pStyle w:val="TextBody"/>
        <w:bidi w:val="0"/>
        <w:spacing w:lineRule="auto" w:line="240" w:before="0" w:after="240"/>
        <w:ind w:left="0" w:right="0" w:firstLine="720"/>
        <w:jc w:val="both"/>
        <w:rPr/>
      </w:pPr>
      <w:r>
        <w:rPr>
          <w:rFonts w:ascii="Times New Roman;sans-serif" w:hAnsi="Times New Roman;sans-serif"/>
          <w:b/>
          <w:color w:val="000000"/>
          <w:sz w:val="22"/>
        </w:rPr>
        <w:t>Section 10.14    Acknowledgement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 xml:space="preserve">Each of Purchaser and TopCo agrees that it has conducted its own independent review and analysis of the business, assets (including the Purchased Assets and the Facility), liabilities (including the Assumed Liabilities), condition, and operations of Seller. In entering into this Agreement, each of Purchaser and TopCo has relied solely upon its own investigation and analysis and the representations and warranties of Seller set forth in </w:t>
      </w:r>
      <w:r>
        <w:rPr>
          <w:rFonts w:ascii="Times New Roman;sans-serif" w:hAnsi="Times New Roman;sans-serif"/>
          <w:b w:val="false"/>
          <w:color w:val="000000"/>
          <w:sz w:val="22"/>
          <w:u w:val="single"/>
        </w:rPr>
        <w:t>Article IV</w:t>
      </w:r>
      <w:r>
        <w:rPr>
          <w:color w:val="000000"/>
        </w:rPr>
        <w:t xml:space="preserve"> </w:t>
      </w:r>
      <w:r>
        <w:rPr>
          <w:rFonts w:ascii="Times New Roman;sans-serif" w:hAnsi="Times New Roman;sans-serif"/>
          <w:b w:val="false"/>
          <w:color w:val="000000"/>
          <w:sz w:val="22"/>
        </w:rPr>
        <w:t xml:space="preserve">(as modified by the Seller Disclosure Schedules) or in the certificate delivered by Seller to Purchaser and TopCo pursuant to </w:t>
      </w:r>
      <w:r>
        <w:rPr>
          <w:rFonts w:ascii="Times New Roman;sans-serif" w:hAnsi="Times New Roman;sans-serif"/>
          <w:b w:val="false"/>
          <w:color w:val="000000"/>
          <w:sz w:val="22"/>
          <w:u w:val="single"/>
        </w:rPr>
        <w:t>Section 7.2(c)</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val="false"/>
          <w:color w:val="000000"/>
          <w:sz w:val="22"/>
          <w:u w:val="single"/>
        </w:rPr>
        <w:t>Seller Certificate</w:t>
      </w:r>
      <w:r>
        <w:rPr>
          <w:rFonts w:ascii="Times New Roman;sans-serif" w:hAnsi="Times New Roman;sans-serif"/>
          <w:b w:val="false"/>
          <w:color w:val="000000"/>
          <w:sz w:val="22"/>
        </w:rPr>
        <w:t xml:space="preserve">"), and each of Purchaser and TopCo acknowledges and agrees that, except for the representations and warranties of Seller expressly set forth in </w:t>
      </w:r>
      <w:r>
        <w:rPr>
          <w:rFonts w:ascii="Times New Roman;sans-serif" w:hAnsi="Times New Roman;sans-serif"/>
          <w:b w:val="false"/>
          <w:color w:val="000000"/>
          <w:sz w:val="22"/>
          <w:u w:val="single"/>
        </w:rPr>
        <w:t>Article IV</w:t>
      </w:r>
      <w:r>
        <w:rPr>
          <w:color w:val="000000"/>
        </w:rPr>
        <w:t xml:space="preserve"> </w:t>
      </w:r>
      <w:r>
        <w:rPr>
          <w:rFonts w:ascii="Times New Roman;sans-serif" w:hAnsi="Times New Roman;sans-serif"/>
          <w:b w:val="false"/>
          <w:color w:val="000000"/>
          <w:sz w:val="22"/>
        </w:rPr>
        <w:t xml:space="preserve">(as modified by Seller Disclosure Schedules) or in the Seller Certificate, neither Seller nor any of its Representatives nor any other Person acting on Seller's behalf makes or has made, and each of Purchaser and TopCo is not relying on and has not relied on, any representation or warranty of any kind, nature or description, express or implied, including any warranty of title, merchantability or fitness of any Purchased Assets for a particular purpose or with respect to the future operational performance of the Facility or Purchased Assets, or with respect to Seller, its business or the Transactions. Without limiting the generality of the foregoing, each of Purchaser and TopCo acknowledges and agrees that neither Seller nor any its Representatives or any other Person has made, and each of Purchaser and TopCo is not relying on and has not relied on, any representation or warranty with respect to (a) any projections, estimates or budgets for Seller, the Purchased Assets or the Facility, or (b) any materials, documents or information relating to Seller or its business made available to Purchaser or TopCo or any of their respective Representatives in any "data room," online data site, confidential memorandum, other offering materials or otherwise, </w:t>
      </w:r>
    </w:p>
    <w:p>
      <w:pPr>
        <w:pStyle w:val="TextBody"/>
        <w:bidi w:val="0"/>
        <w:spacing w:lineRule="auto" w:line="240" w:before="0" w:after="240"/>
        <w:jc w:val="both"/>
        <w:rPr/>
      </w:pPr>
      <w:r>
        <w:rPr>
          <w:rFonts w:ascii="Times New Roman;sans-serif" w:hAnsi="Times New Roman;sans-serif"/>
          <w:b w:val="false"/>
          <w:color w:val="000000"/>
          <w:sz w:val="22"/>
        </w:rPr>
        <w:t xml:space="preserve">except, in the case of clauses (a) and (b), as specifically set forth in the representations and warranties set forth in </w:t>
      </w:r>
      <w:r>
        <w:rPr>
          <w:rFonts w:ascii="Times New Roman;sans-serif" w:hAnsi="Times New Roman;sans-serif"/>
          <w:b w:val="false"/>
          <w:color w:val="000000"/>
          <w:sz w:val="22"/>
          <w:u w:val="single"/>
        </w:rPr>
        <w:t>Article IV</w:t>
      </w:r>
      <w:r>
        <w:rPr>
          <w:color w:val="000000"/>
        </w:rPr>
        <w:t xml:space="preserve"> </w:t>
      </w:r>
      <w:r>
        <w:rPr>
          <w:rFonts w:ascii="Times New Roman;sans-serif" w:hAnsi="Times New Roman;sans-serif"/>
          <w:b w:val="false"/>
          <w:color w:val="000000"/>
          <w:sz w:val="22"/>
        </w:rPr>
        <w:t>(as modified by the Seller Disclosure Schedules) and in the Seller Certificate.</w:t>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60655"/>
                <wp:effectExtent l="0" t="0" r="0" b="0"/>
                <wp:wrapNone/>
                <wp:docPr id="175" name="Frame1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txbxContent>
                </v:textbox>
                <w10:wrap type="none"/>
              </v:rect>
            </w:pict>
          </mc:Fallback>
        </mc:AlternateConten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[REMAINDER OF PAGE LEFT BLANK INTENTIONALLY]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60655"/>
                <wp:effectExtent l="0" t="0" r="0" b="0"/>
                <wp:wrapNone/>
                <wp:docPr id="176" name="Frame1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p>
                  </w:txbxContent>
                </v:textbox>
                <w10:wrap type="none"/>
              </v:rect>
            </w:pict>
          </mc:Fallback>
        </mc:AlternateContent>
      </w:r>
    </w:p>
    <w:p>
      <w:pPr>
        <w:pStyle w:val="TextBody"/>
        <w:bidi w:val="0"/>
        <w:spacing w:lineRule="auto" w:line="240" w:before="0" w:after="48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or caused this Agreement to be executed as of the date first written above.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tbl>
      <w:tblPr>
        <w:tblW w:w="2694" w:type="dxa"/>
        <w:jc w:val="left"/>
        <w:tblInd w:w="0" w:type="dxa"/>
        <w:tblLayout w:type="fixed"/>
        <w:tblCellMar>
          <w:top w:w="28" w:type="dxa"/>
          <w:left w:w="28" w:type="dxa"/>
          <w:bottom w:w="28" w:type="dxa"/>
          <w:right w:w="28" w:type="dxa"/>
        </w:tblCellMar>
      </w:tblPr>
      <w:tblGrid>
        <w:gridCol w:w="379"/>
        <w:gridCol w:w="333"/>
        <w:gridCol w:w="333"/>
        <w:gridCol w:w="480"/>
        <w:gridCol w:w="480"/>
        <w:gridCol w:w="689"/>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269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PURCHASER: </w:t>
            </w:r>
          </w:p>
        </w:tc>
      </w:tr>
      <w:tr>
        <w:trPr/>
        <w:tc>
          <w:tcPr>
            <w:tcW w:w="26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color w:val="000000"/>
                <w:sz w:val="22"/>
              </w:rPr>
            </w:pPr>
            <w:r>
              <w:rPr>
                <w:rFonts w:ascii="Times New Roman;sans-serif" w:hAnsi="Times New Roman;sans-serif"/>
                <w:b/>
                <w:color w:val="000000"/>
                <w:sz w:val="22"/>
              </w:rPr>
              <w:t>GENEFAB, LLC</w:t>
            </w:r>
          </w:p>
        </w:tc>
      </w:tr>
      <w:tr>
        <w:trPr/>
        <w:tc>
          <w:tcPr>
            <w:tcW w:w="2694" w:type="dxa"/>
            <w:gridSpan w:val="6"/>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By its sole member:</w:t>
            </w:r>
          </w:p>
        </w:tc>
      </w:tr>
      <w:tr>
        <w:trPr/>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color w:val="000000"/>
                <w:sz w:val="22"/>
              </w:rPr>
            </w:pPr>
            <w:r>
              <w:rPr>
                <w:rFonts w:ascii="Times New Roman;sans-serif" w:hAnsi="Times New Roman;sans-serif"/>
                <w:b/>
                <w:color w:val="000000"/>
                <w:sz w:val="22"/>
              </w:rPr>
              <w:t>VALERE BIO, INC.</w:t>
            </w:r>
          </w:p>
        </w:tc>
      </w:tr>
      <w:tr>
        <w:trPr/>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By: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 Donald Tang</w:t>
            </w:r>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Donald Tang</w:t>
            </w:r>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0"/>
              <w:ind w:left="0" w:right="0" w:hanging="432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President</w:t>
            </w:r>
          </w:p>
        </w:tc>
      </w:tr>
      <w:tr>
        <w:trPr/>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16840"/>
                <wp:effectExtent l="0" t="0" r="0" b="0"/>
                <wp:wrapNone/>
                <wp:docPr id="177" name="Frame17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[Signature Page to Framework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[Signature Page to Framework Agreement]</w:t>
                      </w:r>
                    </w:p>
                  </w:txbxContent>
                </v:textbox>
                <w10:wrap type="none"/>
              </v:rect>
            </w:pict>
          </mc:Fallback>
        </mc:AlternateContent>
      </w:r>
    </w:p>
    <w:p>
      <w:pPr>
        <w:pStyle w:val="TextBody"/>
        <w:bidi w:val="0"/>
        <w:spacing w:lineRule="auto" w:line="240" w:before="0" w:after="48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or caused this Agreement to be executed as of the date first written above.</w:t>
      </w:r>
    </w:p>
    <w:p>
      <w:pPr>
        <w:pStyle w:val="TextBody"/>
        <w:bidi w:val="0"/>
        <w:spacing w:before="0" w:after="0"/>
        <w:jc w:val="left"/>
        <w:rPr/>
      </w:pPr>
      <w:r>
        <w:rPr/>
      </w:r>
    </w:p>
    <w:p>
      <w:pPr>
        <w:pStyle w:val="TextBody"/>
        <w:bidi w:val="0"/>
        <w:spacing w:before="0" w:after="0"/>
        <w:jc w:val="left"/>
        <w:rPr/>
      </w:pPr>
      <w:r>
        <w:rPr/>
      </w:r>
    </w:p>
    <w:tbl>
      <w:tblPr>
        <w:tblW w:w="3819" w:type="dxa"/>
        <w:jc w:val="left"/>
        <w:tblInd w:w="0" w:type="dxa"/>
        <w:tblLayout w:type="fixed"/>
        <w:tblCellMar>
          <w:top w:w="28" w:type="dxa"/>
          <w:left w:w="28" w:type="dxa"/>
          <w:bottom w:w="28" w:type="dxa"/>
          <w:right w:w="28" w:type="dxa"/>
        </w:tblCellMar>
      </w:tblPr>
      <w:tblGrid>
        <w:gridCol w:w="526"/>
        <w:gridCol w:w="462"/>
        <w:gridCol w:w="462"/>
        <w:gridCol w:w="686"/>
        <w:gridCol w:w="686"/>
        <w:gridCol w:w="997"/>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381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SELLER:</w:t>
            </w:r>
          </w:p>
        </w:tc>
      </w:tr>
      <w:tr>
        <w:trPr/>
        <w:tc>
          <w:tcPr>
            <w:tcW w:w="38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9" w:type="dxa"/>
            <w:gridSpan w:val="6"/>
            <w:tcBorders/>
            <w:tcMar>
              <w:top w:w="0" w:type="dxa"/>
              <w:left w:w="0" w:type="dxa"/>
              <w:bottom w:w="0" w:type="dxa"/>
              <w:right w:w="0" w:type="dxa"/>
            </w:tcMar>
            <w:vAlign w:val="center"/>
          </w:tcPr>
          <w:p>
            <w:pPr>
              <w:pStyle w:val="TableContents"/>
              <w:bidi w:val="0"/>
              <w:spacing w:lineRule="auto" w:line="240" w:before="0" w:after="0"/>
              <w:ind w:left="0" w:right="0" w:hanging="4320"/>
              <w:jc w:val="left"/>
              <w:rPr>
                <w:rFonts w:ascii="Times New Roman;sans-serif" w:hAnsi="Times New Roman;sans-serif"/>
                <w:b/>
                <w:color w:val="000000"/>
                <w:sz w:val="22"/>
              </w:rPr>
            </w:pPr>
            <w:r>
              <w:rPr>
                <w:rFonts w:ascii="Times New Roman;sans-serif" w:hAnsi="Times New Roman;sans-serif"/>
                <w:b/>
                <w:color w:val="000000"/>
                <w:sz w:val="22"/>
              </w:rPr>
              <w:t>SENTI BIOSCIENCES, INC.</w:t>
            </w:r>
          </w:p>
        </w:tc>
      </w:tr>
      <w:tr>
        <w:trPr/>
        <w:tc>
          <w:tcPr>
            <w:tcW w:w="1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By: </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 Tim Lu</w:t>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Tim Lu, M.D., Ph.D.</w:t>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0"/>
              <w:ind w:left="0" w:right="0" w:hanging="432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tc>
      </w:tr>
      <w:tr>
        <w:trPr/>
        <w:tc>
          <w:tcPr>
            <w:tcW w:w="1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16840"/>
                <wp:effectExtent l="0" t="0" r="0" b="0"/>
                <wp:wrapNone/>
                <wp:docPr id="178" name="Frame17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[Signature Page to Framework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[Signature Page to Framework Agreement]</w:t>
                      </w:r>
                    </w:p>
                  </w:txbxContent>
                </v:textbox>
                <w10:wrap type="none"/>
              </v:rect>
            </w:pict>
          </mc:Fallback>
        </mc:AlternateContent>
      </w:r>
    </w:p>
    <w:p>
      <w:pPr>
        <w:pStyle w:val="TextBody"/>
        <w:bidi w:val="0"/>
        <w:spacing w:lineRule="auto" w:line="240" w:before="0" w:after="48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or caused this Agreement to be executed as of the date first written above.</w:t>
      </w:r>
    </w:p>
    <w:p>
      <w:pPr>
        <w:pStyle w:val="TextBody"/>
        <w:bidi w:val="0"/>
        <w:spacing w:before="0" w:after="0"/>
        <w:jc w:val="left"/>
        <w:rPr/>
      </w:pPr>
      <w:r>
        <w:rPr/>
      </w:r>
    </w:p>
    <w:p>
      <w:pPr>
        <w:pStyle w:val="TextBody"/>
        <w:bidi w:val="0"/>
        <w:spacing w:before="0" w:after="0"/>
        <w:jc w:val="left"/>
        <w:rPr/>
      </w:pPr>
      <w:r>
        <w:rPr/>
      </w:r>
    </w:p>
    <w:tbl>
      <w:tblPr>
        <w:tblW w:w="2689" w:type="dxa"/>
        <w:jc w:val="left"/>
        <w:tblInd w:w="0" w:type="dxa"/>
        <w:tblLayout w:type="fixed"/>
        <w:tblCellMar>
          <w:top w:w="28" w:type="dxa"/>
          <w:left w:w="28" w:type="dxa"/>
          <w:bottom w:w="28" w:type="dxa"/>
          <w:right w:w="28" w:type="dxa"/>
        </w:tblCellMar>
      </w:tblPr>
      <w:tblGrid>
        <w:gridCol w:w="378"/>
        <w:gridCol w:w="331"/>
        <w:gridCol w:w="331"/>
        <w:gridCol w:w="475"/>
        <w:gridCol w:w="475"/>
        <w:gridCol w:w="699"/>
      </w:tblGrid>
      <w:tr>
        <w:trPr/>
        <w:tc>
          <w:tcPr>
            <w:tcW w:w="3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6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TOPCO: </w:t>
            </w:r>
          </w:p>
        </w:tc>
      </w:tr>
      <w:tr>
        <w:trPr/>
        <w:tc>
          <w:tcPr>
            <w:tcW w:w="268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color w:val="000000"/>
                <w:sz w:val="22"/>
              </w:rPr>
            </w:pPr>
            <w:r>
              <w:rPr>
                <w:rFonts w:ascii="Times New Roman;sans-serif" w:hAnsi="Times New Roman;sans-serif"/>
                <w:b/>
                <w:color w:val="000000"/>
                <w:sz w:val="22"/>
              </w:rPr>
              <w:t>VALERE BIO, INC.</w:t>
            </w:r>
          </w:p>
        </w:tc>
      </w:tr>
      <w:tr>
        <w:trPr/>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By: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 Donald Tang</w:t>
            </w:r>
          </w:p>
        </w:tc>
      </w:tr>
      <w:tr>
        <w:trPr/>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Donald Tang</w:t>
            </w:r>
          </w:p>
        </w:tc>
      </w:tr>
      <w:tr>
        <w:trPr/>
        <w:tc>
          <w:tcPr>
            <w:tcW w:w="1040" w:type="dxa"/>
            <w:gridSpan w:val="3"/>
            <w:tcBorders/>
            <w:tcMar>
              <w:top w:w="0" w:type="dxa"/>
              <w:left w:w="0" w:type="dxa"/>
              <w:bottom w:w="0" w:type="dxa"/>
              <w:right w:w="0" w:type="dxa"/>
            </w:tcMar>
            <w:vAlign w:val="center"/>
          </w:tcPr>
          <w:p>
            <w:pPr>
              <w:pStyle w:val="TableContents"/>
              <w:bidi w:val="0"/>
              <w:spacing w:lineRule="auto" w:line="240" w:before="0" w:after="0"/>
              <w:ind w:left="0" w:right="0" w:hanging="432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President</w:t>
            </w:r>
          </w:p>
        </w:tc>
      </w:tr>
      <w:tr>
        <w:trPr/>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16840"/>
                <wp:effectExtent l="0" t="0" r="0" b="0"/>
                <wp:wrapNone/>
                <wp:docPr id="179" name="Frame17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[Signature Page to Framework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[Signature Page to Framework Agreement]</w:t>
                      </w:r>
                    </w:p>
                  </w:txbxContent>
                </v:textbox>
                <w10:wrap type="none"/>
              </v:rect>
            </w:pict>
          </mc:Fallback>
        </mc:AlternateContent>
      </w:r>
    </w:p>
    <w:p>
      <w:pPr>
        <w:pStyle w:val="TextBody"/>
        <w:bidi w:val="0"/>
        <w:spacing w:before="0" w:after="240"/>
        <w:jc w:val="left"/>
        <w:rPr/>
      </w:pPr>
      <w:r>
        <w:rPr/>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Services Agreement</w:t>
      </w:r>
    </w:p>
    <w:p>
      <w:pPr>
        <w:pStyle w:val="TextBody"/>
        <w:bidi w:val="0"/>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16840"/>
                <wp:effectExtent l="0" t="0" r="0" b="0"/>
                <wp:wrapNone/>
                <wp:docPr id="180" name="Frame18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[Signature Page to Framework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[Signature Page to Framework Agreement]</w:t>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B</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Asset Assignment Agreement</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16840"/>
                <wp:effectExtent l="0" t="0" r="0" b="0"/>
                <wp:wrapNone/>
                <wp:docPr id="181" name="Frame18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[Signature Page to Framework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[Signature Page to Framework Agreement]</w:t>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C</w: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Transitional Services Agreement</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16840"/>
                <wp:effectExtent l="0" t="0" r="0" b="0"/>
                <wp:wrapNone/>
                <wp:docPr id="182" name="Frame18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[Signature Page to Framework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[Signature Page to Framework Agreement]</w:t>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D</w: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Sublease Agreement</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16840"/>
                <wp:effectExtent l="0" t="0" r="0" b="0"/>
                <wp:wrapNone/>
                <wp:docPr id="183" name="Frame18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[Signature Page to Framework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[Signature Page to Framework Agreement]</w:t>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E</w: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Landlord Consent to Sublease Agreement</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16840"/>
                <wp:effectExtent l="0" t="0" r="0" b="0"/>
                <wp:wrapNone/>
                <wp:docPr id="184" name="Frame18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[Signature Page to Framework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[Signature Page to Framework Agreement]</w:t>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F</w: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Option Agreement</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16840"/>
                <wp:effectExtent l="0" t="0" r="0" b="0"/>
                <wp:wrapNone/>
                <wp:docPr id="185" name="Frame18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[Signature Page to Framework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[Signature Page to Framework Agreement]</w:t>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G-1</w: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TopCo Equity Commitment Letter</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16840"/>
                <wp:effectExtent l="0" t="0" r="0" b="0"/>
                <wp:wrapNone/>
                <wp:docPr id="186" name="Frame18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[Signature Page to Framework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[Signature Page to Framework Agreement]</w:t>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G-2</w: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Celadon Equity Commitment Letter</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16840"/>
                <wp:effectExtent l="0" t="0" r="0" b="0"/>
                <wp:wrapNone/>
                <wp:docPr id="187" name="Frame18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[Signature Page to Framework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[Signature Page to Framework Agreement]</w:t>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H</w: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Seller Economic Share Agreement</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16840"/>
                <wp:effectExtent l="0" t="0" r="0" b="0"/>
                <wp:wrapNone/>
                <wp:docPr id="188" name="Frame18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[Signature Page to Framework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[Signature Page to Framework Agreement]</w:t>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I</w: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Terms of License and Sub-License</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10.2</w:t>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16840"/>
                <wp:effectExtent l="0" t="0" r="0" b="0"/>
                <wp:wrapNone/>
                <wp:docPr id="189" name="Frame18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[Signature Page to Framework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[Signature Page to Framework Agreement]</w:t>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pStyle w:val="TextBody"/>
        <w:bidi w:val="0"/>
        <w:spacing w:before="0" w:after="0"/>
        <w:jc w:val="left"/>
        <w:rPr/>
      </w:pPr>
      <w:r>
        <w:rPr/>
      </w:r>
    </w:p>
    <w:p>
      <w:pPr>
        <w:pStyle w:val="TextBody"/>
        <w:bidi w:val="0"/>
        <w:spacing w:before="0" w:after="240"/>
        <w:jc w:val="center"/>
        <w:rPr/>
      </w:pPr>
      <w:r>
        <w:rPr/>
      </w:r>
    </w:p>
    <w:p>
      <w:pPr>
        <w:pStyle w:val="TextBody"/>
        <w:bidi w:val="0"/>
        <w:spacing w:lineRule="auto" w:line="240" w:before="0" w:after="2"/>
        <w:jc w:val="center"/>
        <w:rPr>
          <w:rFonts w:ascii="Times New Roman;sans-serif" w:hAnsi="Times New Roman;sans-serif"/>
          <w:b/>
          <w:color w:val="000000"/>
          <w:sz w:val="22"/>
        </w:rPr>
      </w:pPr>
      <w:r>
        <w:rPr>
          <w:rFonts w:ascii="Times New Roman;sans-serif" w:hAnsi="Times New Roman;sans-serif"/>
          <w:b/>
          <w:color w:val="000000"/>
          <w:sz w:val="22"/>
        </w:rPr>
        <w:t>SELLER ECONOMIC SHARE AGREEMENT</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This Seller Economic Share Agreement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is entered into as of August 7, 2023, by and among Senti Biosciences, Inc., a Delaware corporation (“</w:t>
      </w:r>
      <w:r>
        <w:rPr>
          <w:rFonts w:ascii="Times New Roman;sans-serif" w:hAnsi="Times New Roman;sans-serif"/>
          <w:b w:val="false"/>
          <w:color w:val="000000"/>
          <w:sz w:val="22"/>
          <w:u w:val="single"/>
        </w:rPr>
        <w:t>Senti</w:t>
      </w:r>
      <w:r>
        <w:rPr>
          <w:color w:val="000000"/>
        </w:rPr>
        <w:t>”</w:t>
      </w:r>
      <w:r>
        <w:rPr>
          <w:rFonts w:ascii="Times New Roman;sans-serif" w:hAnsi="Times New Roman;sans-serif"/>
          <w:b w:val="false"/>
          <w:color w:val="000000"/>
          <w:sz w:val="22"/>
        </w:rPr>
        <w:t>), Valere Bio, Inc., a Delaware corporation (“</w:t>
      </w:r>
      <w:r>
        <w:rPr>
          <w:rFonts w:ascii="Times New Roman;sans-serif" w:hAnsi="Times New Roman;sans-serif"/>
          <w:b w:val="false"/>
          <w:color w:val="000000"/>
          <w:sz w:val="22"/>
          <w:u w:val="single"/>
        </w:rPr>
        <w:t>TopCo</w:t>
      </w:r>
      <w:r>
        <w:rPr>
          <w:color w:val="000000"/>
        </w:rPr>
        <w:t>”</w:t>
      </w:r>
      <w:r>
        <w:rPr>
          <w:rFonts w:ascii="Times New Roman;sans-serif" w:hAnsi="Times New Roman;sans-serif"/>
          <w:b w:val="false"/>
          <w:color w:val="000000"/>
          <w:sz w:val="22"/>
        </w:rPr>
        <w:t>), and GeneFab, LLC, a Delaware limited liability company and a wholly-owned subsidiary of TopCo (“</w:t>
      </w:r>
      <w:r>
        <w:rPr>
          <w:rFonts w:ascii="Times New Roman;sans-serif" w:hAnsi="Times New Roman;sans-serif"/>
          <w:b w:val="false"/>
          <w:color w:val="000000"/>
          <w:sz w:val="22"/>
          <w:u w:val="single"/>
        </w:rPr>
        <w:t>Purchaser</w:t>
      </w:r>
      <w:r>
        <w:rPr>
          <w:rFonts w:ascii="Times New Roman;sans-serif" w:hAnsi="Times New Roman;sans-serif"/>
          <w:b w:val="false"/>
          <w:color w:val="000000"/>
          <w:sz w:val="22"/>
        </w:rPr>
        <w:t>,” and, together with Senti and TopCo, the “</w:t>
      </w:r>
      <w:r>
        <w:rPr>
          <w:rFonts w:ascii="Times New Roman;sans-serif" w:hAnsi="Times New Roman;sans-serif"/>
          <w:b w:val="false"/>
          <w:color w:val="000000"/>
          <w:sz w:val="22"/>
          <w:u w:val="single"/>
        </w:rPr>
        <w:t>Parties</w:t>
      </w:r>
      <w:r>
        <w:rPr>
          <w:color w:val="000000"/>
        </w:rPr>
        <w:t>”</w:t>
      </w:r>
      <w:r>
        <w:rPr>
          <w:rFonts w:ascii="Times New Roman;sans-serif" w:hAnsi="Times New Roman;sans-serif"/>
          <w:b w:val="false"/>
          <w:color w:val="000000"/>
          <w:sz w:val="22"/>
        </w:rPr>
        <w:t>). Capitalized terms used but not defined herein shall have the meanings ascribed to such terms in the Framework Agreement (as defined below).</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RECITALS</w:t>
      </w:r>
    </w:p>
    <w:p>
      <w:pPr>
        <w:pStyle w:val="TextBody"/>
        <w:bidi w:val="0"/>
        <w:spacing w:lineRule="auto" w:line="240" w:before="0" w:after="24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pursuant to that certain Framework Agreement, dated as of August 7, 2023 (as may be amended or otherwise modified from time to time, the “</w:t>
      </w:r>
      <w:r>
        <w:rPr>
          <w:rFonts w:ascii="Times New Roman;sans-serif" w:hAnsi="Times New Roman;sans-serif"/>
          <w:b w:val="false"/>
          <w:color w:val="000000"/>
          <w:sz w:val="22"/>
          <w:u w:val="single"/>
        </w:rPr>
        <w:t>Framework Agreement</w:t>
      </w:r>
      <w:r>
        <w:rPr>
          <w:color w:val="000000"/>
        </w:rPr>
        <w:t>”</w:t>
      </w:r>
      <w:r>
        <w:rPr>
          <w:rFonts w:ascii="Times New Roman;sans-serif" w:hAnsi="Times New Roman;sans-serif"/>
          <w:b w:val="false"/>
          <w:color w:val="000000"/>
          <w:sz w:val="22"/>
        </w:rPr>
        <w:t>), by and among Senti, Purchaser, and TopCo, amongst other things, Senti shall sell, assign and transfer to Purchaser certain assets of the Senti and Purchaser shall purchase and assume certain obligations and liabilities of Senti upon the terms and subject to the conditions set forth in the Framework Agreement.</w:t>
      </w:r>
    </w:p>
    <w:p>
      <w:pPr>
        <w:pStyle w:val="TextBody"/>
        <w:bidi w:val="0"/>
        <w:spacing w:lineRule="auto" w:line="240" w:before="0" w:after="24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xml:space="preserve">, as of Initial Closing, TopCo holds [***] units of Purchaser. </w:t>
      </w:r>
    </w:p>
    <w:p>
      <w:pPr>
        <w:pStyle w:val="TextBody"/>
        <w:bidi w:val="0"/>
        <w:spacing w:lineRule="auto" w:line="240" w:before="0" w:after="24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xml:space="preserve">, the Parties have agreed, amongst other things, that in consideration of the Transactions contemplated by the Framework Agreement, in respect of any payments of cash actually received by TopCo as a result of any Purchaser Dividend (as defined below) or a Purchaser Sale Event (as defined below) that are attributable to the Initial TopCo Interest (as defined below), TopCo shall pay to Senti from time to time an amount equal to ten percent (10%) of the Realized Gains (as defined below) resulting from such payments (if any), </w:t>
      </w:r>
      <w:r>
        <w:rPr>
          <w:rFonts w:ascii="Times New Roman;sans-serif" w:hAnsi="Times New Roman;sans-serif"/>
          <w:b w:val="false"/>
          <w:i/>
          <w:color w:val="000000"/>
          <w:sz w:val="22"/>
        </w:rPr>
        <w:t>less</w:t>
      </w:r>
      <w:r>
        <w:rPr>
          <w:color w:val="000000"/>
        </w:rPr>
        <w:t xml:space="preserve"> </w:t>
      </w:r>
      <w:r>
        <w:rPr>
          <w:rFonts w:ascii="Times New Roman;sans-serif" w:hAnsi="Times New Roman;sans-serif"/>
          <w:b w:val="false"/>
          <w:color w:val="000000"/>
          <w:sz w:val="22"/>
        </w:rPr>
        <w:t>[***] (the “</w:t>
      </w:r>
      <w:r>
        <w:rPr>
          <w:rFonts w:ascii="Times New Roman;sans-serif" w:hAnsi="Times New Roman;sans-serif"/>
          <w:b w:val="false"/>
          <w:color w:val="000000"/>
          <w:sz w:val="22"/>
          <w:u w:val="single"/>
        </w:rPr>
        <w:t>Economic Share Payment</w:t>
      </w:r>
      <w:r>
        <w:rPr>
          <w:color w:val="000000"/>
        </w:rPr>
        <w:t>”</w:t>
      </w:r>
      <w:r>
        <w:rPr>
          <w:rFonts w:ascii="Times New Roman;sans-serif" w:hAnsi="Times New Roman;sans-serif"/>
          <w:b w:val="false"/>
          <w:color w:val="000000"/>
          <w:sz w:val="22"/>
        </w:rPr>
        <w:t>), in accordance with and subject to the terms and conditions of this Agreement (the “</w:t>
      </w:r>
      <w:r>
        <w:rPr>
          <w:rFonts w:ascii="Times New Roman;sans-serif" w:hAnsi="Times New Roman;sans-serif"/>
          <w:b w:val="false"/>
          <w:color w:val="000000"/>
          <w:sz w:val="22"/>
          <w:u w:val="single"/>
        </w:rPr>
        <w:t>Senti Economic Share</w:t>
      </w:r>
      <w:r>
        <w:rPr>
          <w:color w:val="000000"/>
        </w:rPr>
        <w:t>”</w:t>
      </w:r>
      <w:r>
        <w:rPr>
          <w:rFonts w:ascii="Times New Roman;sans-serif" w:hAnsi="Times New Roman;sans-serif"/>
          <w:b w:val="false"/>
          <w:color w:val="000000"/>
          <w:sz w:val="22"/>
        </w:rPr>
        <w:t xml:space="preserve">). </w:t>
      </w:r>
    </w:p>
    <w:p>
      <w:pPr>
        <w:pStyle w:val="TextBody"/>
        <w:bidi w:val="0"/>
        <w:spacing w:lineRule="auto" w:line="240" w:before="0" w:after="240"/>
        <w:jc w:val="both"/>
        <w:rPr/>
      </w:pPr>
      <w:r>
        <w:rPr>
          <w:rFonts w:ascii="Times New Roman;sans-serif" w:hAnsi="Times New Roman;sans-serif"/>
          <w:b/>
          <w:color w:val="000000"/>
          <w:sz w:val="22"/>
        </w:rPr>
        <w:t xml:space="preserve">NOW, THEREFORE, </w:t>
      </w:r>
      <w:r>
        <w:rPr>
          <w:rFonts w:ascii="Times New Roman;sans-serif" w:hAnsi="Times New Roman;sans-serif"/>
          <w:b w:val="false"/>
          <w:color w:val="000000"/>
          <w:sz w:val="22"/>
        </w:rPr>
        <w:t xml:space="preserve">in consideration of the mutual covenants and agreements set forth in this Agreement and the Framework Agreement and for the other good and valuable consideration set forth herein and therein, the receipt and sufficiency of which are hereby mutually acknowledged by the Parties, the Parties hereby agree as follows: </w:t>
      </w:r>
    </w:p>
    <w:p>
      <w:pPr>
        <w:pStyle w:val="TextBody"/>
        <w:bidi w:val="0"/>
        <w:spacing w:lineRule="auto" w:line="240" w:before="0" w:after="240"/>
        <w:jc w:val="both"/>
        <w:rPr/>
      </w:pPr>
      <w:r>
        <w:rPr>
          <w:rFonts w:ascii="Times New Roman;sans-serif" w:hAnsi="Times New Roman;sans-serif"/>
          <w:b/>
          <w:color w:val="000000"/>
          <w:sz w:val="22"/>
        </w:rPr>
        <w:t xml:space="preserve">1.    Definitions. </w:t>
      </w:r>
      <w:r>
        <w:rPr>
          <w:rFonts w:ascii="Times New Roman;sans-serif" w:hAnsi="Times New Roman;sans-serif"/>
          <w:b w:val="false"/>
          <w:color w:val="000000"/>
          <w:sz w:val="22"/>
        </w:rPr>
        <w:t>For the purposes of this Agreement:</w:t>
      </w:r>
    </w:p>
    <w:p>
      <w:pPr>
        <w:pStyle w:val="TextBody"/>
        <w:bidi w:val="0"/>
        <w:spacing w:lineRule="auto" w:line="240" w:before="0" w:after="240"/>
        <w:jc w:val="both"/>
        <w:rPr/>
      </w:pPr>
      <w:r>
        <w:rPr>
          <w:rFonts w:ascii="Times New Roman;sans-serif" w:hAnsi="Times New Roman;sans-serif"/>
          <w:b/>
          <w:color w:val="000000"/>
          <w:sz w:val="22"/>
        </w:rPr>
        <w:t>(a)    </w:t>
      </w:r>
      <w:r>
        <w:rPr>
          <w:color w:val="000000"/>
        </w:rPr>
        <w:t>“</w:t>
      </w:r>
      <w:r>
        <w:rPr>
          <w:rFonts w:ascii="Times New Roman;sans-serif" w:hAnsi="Times New Roman;sans-serif"/>
          <w:b w:val="false"/>
          <w:color w:val="000000"/>
          <w:sz w:val="22"/>
          <w:u w:val="single"/>
        </w:rPr>
        <w:t>Cash Distribution</w:t>
      </w:r>
      <w:r>
        <w:rPr>
          <w:color w:val="000000"/>
        </w:rPr>
        <w:t xml:space="preserve">” </w:t>
      </w:r>
      <w:r>
        <w:rPr>
          <w:rFonts w:ascii="Times New Roman;sans-serif" w:hAnsi="Times New Roman;sans-serif"/>
          <w:b w:val="false"/>
          <w:color w:val="000000"/>
          <w:sz w:val="22"/>
        </w:rPr>
        <w:t>means any payments of cash actually directly or indirectly received by TopCo as a result of any Purchaser Dividend or a Purchaser Sale Event. For the avoidance of doubt and notwithstanding the foregoing, the Prepayment and the Blue Rock Prepayment, each as defined in the Services Agreement, shall be deemed as Cash Distribution for the purposes of this Agreement.</w:t>
      </w:r>
    </w:p>
    <w:p>
      <w:pPr>
        <w:pStyle w:val="TextBody"/>
        <w:bidi w:val="0"/>
        <w:spacing w:lineRule="auto" w:line="240" w:before="0" w:after="240"/>
        <w:jc w:val="both"/>
        <w:rPr/>
      </w:pPr>
      <w:r>
        <w:rPr>
          <w:rFonts w:ascii="Times New Roman;sans-serif" w:hAnsi="Times New Roman;sans-serif"/>
          <w:b/>
          <w:color w:val="000000"/>
          <w:sz w:val="22"/>
        </w:rPr>
        <w:t>(b)    </w:t>
      </w:r>
      <w:r>
        <w:rPr>
          <w:color w:val="000000"/>
        </w:rPr>
        <w:t>“</w:t>
      </w:r>
      <w:r>
        <w:rPr>
          <w:rFonts w:ascii="Times New Roman;sans-serif" w:hAnsi="Times New Roman;sans-serif"/>
          <w:b w:val="false"/>
          <w:color w:val="000000"/>
          <w:sz w:val="22"/>
          <w:u w:val="single"/>
        </w:rPr>
        <w:t>Fees and Expenses</w:t>
      </w:r>
      <w:r>
        <w:rPr>
          <w:color w:val="000000"/>
        </w:rPr>
        <w:t xml:space="preserve">” </w:t>
      </w:r>
      <w:r>
        <w:rPr>
          <w:rFonts w:ascii="Times New Roman;sans-serif" w:hAnsi="Times New Roman;sans-serif"/>
          <w:b w:val="false"/>
          <w:color w:val="000000"/>
          <w:sz w:val="22"/>
        </w:rPr>
        <w:t xml:space="preserve">means: (i) with respect to any Cash Distribution, any taxes, or duties incurred by Purchaser and required to be paid or withheld by TopCo attributable to such cash; and (ii) with respect to any In-Kind Distribution, any taxes or duties incurred by Purchaser and required to be paid or withheld by TopCo attributable to such securities or non-cash distributions, including without limitation any stamp duty or tax payable with respect to the sale, transfer or other disposition of such securities or other non-cash distributions and any other reasonable third party fees or expenses (including reasonable out of pocket documented legal fees) paid, payable by TopCo in connection with the sale, transfer or other disposition of such securities or other non-cash distributions (for purposes hereof, Celadon and its Affiliates shall not be third parties). </w:t>
      </w:r>
    </w:p>
    <w:p>
      <w:pPr>
        <w:pStyle w:val="TextBody"/>
        <w:bidi w:val="0"/>
        <w:spacing w:lineRule="auto" w:line="240" w:before="0" w:after="240"/>
        <w:jc w:val="both"/>
        <w:rPr/>
      </w:pPr>
      <w:r>
        <w:rPr>
          <w:rFonts w:ascii="Times New Roman;sans-serif" w:hAnsi="Times New Roman;sans-serif"/>
          <w:b/>
          <w:color w:val="000000"/>
          <w:sz w:val="22"/>
        </w:rPr>
        <w:t>(c)    </w:t>
      </w:r>
      <w:r>
        <w:rPr>
          <w:color w:val="000000"/>
        </w:rPr>
        <w:t>“</w:t>
      </w:r>
      <w:r>
        <w:rPr>
          <w:rFonts w:ascii="Times New Roman;sans-serif" w:hAnsi="Times New Roman;sans-serif"/>
          <w:b w:val="false"/>
          <w:color w:val="000000"/>
          <w:sz w:val="22"/>
          <w:u w:val="single"/>
        </w:rPr>
        <w:t>In-Kind Distribution</w:t>
      </w:r>
      <w:r>
        <w:rPr>
          <w:color w:val="000000"/>
        </w:rPr>
        <w:t xml:space="preserve">” </w:t>
      </w:r>
      <w:r>
        <w:rPr>
          <w:rFonts w:ascii="Times New Roman;sans-serif" w:hAnsi="Times New Roman;sans-serif"/>
          <w:b w:val="false"/>
          <w:color w:val="000000"/>
          <w:sz w:val="22"/>
        </w:rPr>
        <w:t xml:space="preserve">means any securities or any other non-cash distributions actually directly or indirectly received by TopCo as a result of any Purchaser Dividend or a Purchaser Sale Event. </w:t>
      </w:r>
    </w:p>
    <w:p>
      <w:pPr>
        <w:pStyle w:val="TextBody"/>
        <w:bidi w:val="0"/>
        <w:spacing w:lineRule="auto" w:line="240" w:before="0" w:after="240"/>
        <w:jc w:val="both"/>
        <w:rPr/>
      </w:pPr>
      <w:r>
        <w:rPr>
          <w:rFonts w:ascii="Times New Roman;sans-serif" w:hAnsi="Times New Roman;sans-serif"/>
          <w:b/>
          <w:color w:val="000000"/>
          <w:sz w:val="22"/>
        </w:rPr>
        <w:t>(d)    </w:t>
      </w:r>
      <w:r>
        <w:rPr>
          <w:color w:val="000000"/>
        </w:rPr>
        <w:t xml:space="preserve"> “</w:t>
      </w:r>
      <w:r>
        <w:rPr>
          <w:rFonts w:ascii="Times New Roman;sans-serif" w:hAnsi="Times New Roman;sans-serif"/>
          <w:b w:val="false"/>
          <w:color w:val="000000"/>
          <w:sz w:val="22"/>
          <w:u w:val="single"/>
        </w:rPr>
        <w:t>Initial TopCo Interest</w:t>
      </w:r>
      <w:r>
        <w:rPr>
          <w:color w:val="000000"/>
        </w:rPr>
        <w:t xml:space="preserve">” </w:t>
      </w:r>
      <w:r>
        <w:rPr>
          <w:rFonts w:ascii="Times New Roman;sans-serif" w:hAnsi="Times New Roman;sans-serif"/>
          <w:b w:val="false"/>
          <w:color w:val="000000"/>
          <w:sz w:val="22"/>
        </w:rPr>
        <w:t xml:space="preserve">means, as determined from time to time, the aggregate of [***]. </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xml:space="preserve">     </w:t>
                            </w: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xml:space="preserve">     </w:t>
                      </w: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color w:val="000000"/>
          <w:sz w:val="22"/>
        </w:rPr>
        <w:t>(e)    </w:t>
      </w:r>
      <w:r>
        <w:rPr>
          <w:color w:val="000000"/>
        </w:rPr>
        <w:t>“</w:t>
      </w:r>
      <w:r>
        <w:rPr>
          <w:rFonts w:ascii="Times New Roman;sans-serif" w:hAnsi="Times New Roman;sans-serif"/>
          <w:b w:val="false"/>
          <w:color w:val="000000"/>
          <w:sz w:val="22"/>
          <w:u w:val="single"/>
        </w:rPr>
        <w:t>Investment Amount</w:t>
      </w:r>
      <w:r>
        <w:rPr>
          <w:color w:val="000000"/>
        </w:rPr>
        <w:t xml:space="preserve">” </w:t>
      </w:r>
      <w:r>
        <w:rPr>
          <w:rFonts w:ascii="Times New Roman;sans-serif" w:hAnsi="Times New Roman;sans-serif"/>
          <w:b w:val="false"/>
          <w:color w:val="000000"/>
          <w:sz w:val="22"/>
        </w:rPr>
        <w:t>means, as determined from time to time, an amount equal to [***].</w:t>
      </w:r>
    </w:p>
    <w:p>
      <w:pPr>
        <w:pStyle w:val="TextBody"/>
        <w:bidi w:val="0"/>
        <w:spacing w:lineRule="auto" w:line="240" w:before="0" w:after="240"/>
        <w:jc w:val="both"/>
        <w:rPr/>
      </w:pPr>
      <w:r>
        <w:rPr>
          <w:rFonts w:ascii="Times New Roman;sans-serif" w:hAnsi="Times New Roman;sans-serif"/>
          <w:b/>
          <w:color w:val="000000"/>
          <w:sz w:val="22"/>
        </w:rPr>
        <w:t>(f)    </w:t>
      </w:r>
      <w:r>
        <w:rPr>
          <w:color w:val="000000"/>
        </w:rPr>
        <w:t>“</w:t>
      </w:r>
      <w:r>
        <w:rPr>
          <w:rFonts w:ascii="Times New Roman;sans-serif" w:hAnsi="Times New Roman;sans-serif"/>
          <w:b w:val="false"/>
          <w:color w:val="000000"/>
          <w:sz w:val="22"/>
          <w:u w:val="single"/>
        </w:rPr>
        <w:t>Purchaser Dividend</w:t>
      </w:r>
      <w:r>
        <w:rPr>
          <w:color w:val="000000"/>
        </w:rPr>
        <w:t xml:space="preserve">” </w:t>
      </w:r>
      <w:r>
        <w:rPr>
          <w:rFonts w:ascii="Times New Roman;sans-serif" w:hAnsi="Times New Roman;sans-serif"/>
          <w:b w:val="false"/>
          <w:color w:val="000000"/>
          <w:sz w:val="22"/>
        </w:rPr>
        <w:t>means any dividend, payment or other distribution made, distributed or paid by Purchaser to TopCo, including any such dividend, payment or distribution in respect of any redemption of Initial TopCo Interest, and excluding any such dividend, payment or distribution in respect of a Purchaser Sale Event. For the avoidance of doubt, the Prepayment and the Blue Rock Prepayment, each as defined in the Services Agreement and due and payable from Senti to Purchaser on the Initial Closing Date pursuant to the Services Agreement, shall be deemed as Purchaser Dividend for the purposes of this Agreement.</w:t>
      </w:r>
    </w:p>
    <w:p>
      <w:pPr>
        <w:pStyle w:val="TextBody"/>
        <w:bidi w:val="0"/>
        <w:spacing w:lineRule="auto" w:line="240" w:before="0" w:after="240"/>
        <w:jc w:val="both"/>
        <w:rPr/>
      </w:pPr>
      <w:r>
        <w:rPr>
          <w:rFonts w:ascii="Times New Roman;sans-serif" w:hAnsi="Times New Roman;sans-serif"/>
          <w:b/>
          <w:color w:val="000000"/>
          <w:sz w:val="22"/>
        </w:rPr>
        <w:t>(g)    </w:t>
      </w:r>
      <w:r>
        <w:rPr>
          <w:color w:val="000000"/>
        </w:rPr>
        <w:t>“</w:t>
      </w:r>
      <w:r>
        <w:rPr>
          <w:rFonts w:ascii="Times New Roman;sans-serif" w:hAnsi="Times New Roman;sans-serif"/>
          <w:b w:val="false"/>
          <w:color w:val="000000"/>
          <w:sz w:val="22"/>
          <w:u w:val="single"/>
        </w:rPr>
        <w:t>Purchaser Sale Event</w:t>
      </w:r>
      <w:r>
        <w:rPr>
          <w:color w:val="000000"/>
        </w:rPr>
        <w:t xml:space="preserve">” </w:t>
      </w:r>
      <w:r>
        <w:rPr>
          <w:rFonts w:ascii="Times New Roman;sans-serif" w:hAnsi="Times New Roman;sans-serif"/>
          <w:b w:val="false"/>
          <w:color w:val="000000"/>
          <w:sz w:val="22"/>
        </w:rPr>
        <w:t xml:space="preserve">means, with respect to Purchaser (or any of its successors or assigns), the occurrence of any of the following (whether in a single transaction or a series of related transactions): (i) a sale, transfer, conveyance or other disposition of all or substantially all of the assets of Purchaser and (ii) any merger, consolidation, business combination or other transaction involving the sale or disposition of over fifty percent (50%) of the equity interests of Purchaser;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notwithstanding anything to the contrary in this definition, a “Purchaser Sale Event” shall not be deemed to have occurred by virtue of the consummation of any transaction or series of related transactions immediately following which the record holders of the equity interests of Purchaser immediately prior to such transaction or series of transactions continue to have substantially the same proportionate ownership in, and voting control over, and own substantially all of the equity interests of, an entity which owns, directly or indirectly, all or substantially all of the assets or equity interests of Purchaser immediately following such transaction or series of transactions;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however, that “Purchaser Sale Event” shall not include any consolidation, merger, reorganization or a similar event by Purchaser (or any of its holding companies) and any Affiliate of [***]; whereby, immediately after any such consolidation, merger, reorganization or similar event, [***] (and/or its Affiliates collectively) is the single largest equityholder of the surviving entity. </w:t>
      </w:r>
    </w:p>
    <w:p>
      <w:pPr>
        <w:pStyle w:val="TextBody"/>
        <w:bidi w:val="0"/>
        <w:spacing w:lineRule="auto" w:line="240" w:before="0" w:after="240"/>
        <w:jc w:val="both"/>
        <w:rPr/>
      </w:pPr>
      <w:r>
        <w:rPr>
          <w:rFonts w:ascii="Times New Roman;sans-serif" w:hAnsi="Times New Roman;sans-serif"/>
          <w:b/>
          <w:color w:val="000000"/>
          <w:sz w:val="22"/>
        </w:rPr>
        <w:t>(h)    </w:t>
      </w:r>
      <w:r>
        <w:rPr>
          <w:color w:val="000000"/>
        </w:rPr>
        <w:t>“</w:t>
      </w:r>
      <w:r>
        <w:rPr>
          <w:rFonts w:ascii="Times New Roman;sans-serif" w:hAnsi="Times New Roman;sans-serif"/>
          <w:b w:val="false"/>
          <w:color w:val="000000"/>
          <w:sz w:val="22"/>
          <w:u w:val="single"/>
        </w:rPr>
        <w:t>Realized Gains</w:t>
      </w:r>
      <w:r>
        <w:rPr>
          <w:color w:val="000000"/>
        </w:rPr>
        <w:t xml:space="preserve">” </w:t>
      </w:r>
      <w:r>
        <w:rPr>
          <w:rFonts w:ascii="Times New Roman;sans-serif" w:hAnsi="Times New Roman;sans-serif"/>
          <w:b w:val="false"/>
          <w:color w:val="000000"/>
          <w:sz w:val="22"/>
        </w:rPr>
        <w:t xml:space="preserve">with respect to any Cash Distribution and/or In-Kind Distribution shall be calculated based on the following formula: </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 </w:t>
      </w:r>
    </w:p>
    <w:p>
      <w:pPr>
        <w:pStyle w:val="TextBody"/>
        <w:bidi w:val="0"/>
        <w:spacing w:lineRule="auto" w:line="240" w:before="0" w:after="240"/>
        <w:jc w:val="both"/>
        <w:rPr/>
      </w:pPr>
      <w:r>
        <w:rPr>
          <w:rFonts w:ascii="Times New Roman;sans-serif" w:hAnsi="Times New Roman;sans-serif"/>
          <w:b/>
          <w:color w:val="000000"/>
          <w:sz w:val="22"/>
        </w:rPr>
        <w:t>(i)    </w:t>
      </w:r>
      <w:r>
        <w:rPr>
          <w:color w:val="000000"/>
        </w:rPr>
        <w:t>“</w:t>
      </w:r>
      <w:r>
        <w:rPr>
          <w:rFonts w:ascii="Times New Roman;sans-serif" w:hAnsi="Times New Roman;sans-serif"/>
          <w:b w:val="false"/>
          <w:color w:val="000000"/>
          <w:sz w:val="22"/>
          <w:u w:val="single"/>
        </w:rPr>
        <w:t>Valuation Expert</w:t>
      </w:r>
      <w:r>
        <w:rPr>
          <w:color w:val="000000"/>
        </w:rPr>
        <w:t xml:space="preserve">” </w:t>
      </w:r>
      <w:r>
        <w:rPr>
          <w:rFonts w:ascii="Times New Roman;sans-serif" w:hAnsi="Times New Roman;sans-serif"/>
          <w:b w:val="false"/>
          <w:color w:val="000000"/>
          <w:sz w:val="22"/>
        </w:rPr>
        <w:t xml:space="preserve">means an independent nationally recognized third party valuation firm with appropriate experience in valuing the applicable asset appointed by TopCo’s board of directors;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any valuation report and supporting documents shall be provided to Senti prior to any Cash Distribution or In-Kind Distribution and upon the delivery of such valuation report Senti shall have fifteen (15) Business Days to object to such report, any dispute with respect to such valuation report which cannot be mutually resolved by the parties hereto within thirty (30) days after the delivery of such objection shall be resolved in accordance with </w:t>
      </w:r>
      <w:r>
        <w:rPr>
          <w:rFonts w:ascii="Times New Roman;sans-serif" w:hAnsi="Times New Roman;sans-serif"/>
          <w:b w:val="false"/>
          <w:color w:val="000000"/>
          <w:sz w:val="22"/>
          <w:u w:val="single"/>
        </w:rPr>
        <w:t>Section 6</w:t>
      </w:r>
      <w:r>
        <w:rPr>
          <w:rFonts w:ascii="Times New Roman;sans-serif" w:hAnsi="Times New Roman;sans-serif"/>
          <w:b w:val="false"/>
          <w:color w:val="000000"/>
          <w:sz w:val="22"/>
        </w:rPr>
        <w:t xml:space="preserve">. </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2.    Economic Entitlements.</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color w:val="000000"/>
          <w:sz w:val="22"/>
        </w:rPr>
        <w:t>(a)    </w:t>
      </w:r>
      <w:r>
        <w:rPr>
          <w:rFonts w:ascii="Times New Roman;sans-serif" w:hAnsi="Times New Roman;sans-serif"/>
          <w:b w:val="false"/>
          <w:color w:val="000000"/>
          <w:sz w:val="22"/>
        </w:rPr>
        <w:t xml:space="preserve">Subject to the terms and conditions of this Agreement and in consideration of the Transactions contemplated by the Framework Agreement, TopCo hereby grants to Senti and Senti hereby acquires from TopCo the right to receive the Economic Share Payment pursuant to </w:t>
      </w:r>
      <w:r>
        <w:rPr>
          <w:rFonts w:ascii="Times New Roman;sans-serif" w:hAnsi="Times New Roman;sans-serif"/>
          <w:b w:val="false"/>
          <w:color w:val="000000"/>
          <w:sz w:val="22"/>
          <w:u w:val="single"/>
        </w:rPr>
        <w:t>Section 3</w:t>
      </w:r>
      <w:r>
        <w:rPr>
          <w:rFonts w:ascii="Times New Roman;sans-serif" w:hAnsi="Times New Roman;sans-serif"/>
          <w:b w:val="false"/>
          <w:color w:val="000000"/>
          <w:sz w:val="22"/>
        </w:rPr>
        <w:t xml:space="preserve">, effective as of the Initial Closing. </w:t>
      </w:r>
      <w:r>
        <w:rPr>
          <w:rFonts w:ascii="Times New Roman;sans-serif" w:hAnsi="Times New Roman;sans-serif"/>
          <w:b w:val="false"/>
          <w:color w:val="000000"/>
          <w:sz w:val="22"/>
          <w:u w:val="single"/>
        </w:rPr>
        <w:t>Schedule 1</w:t>
      </w:r>
      <w:r>
        <w:rPr>
          <w:color w:val="000000"/>
        </w:rPr>
        <w:t xml:space="preserve"> </w:t>
      </w:r>
      <w:r>
        <w:rPr>
          <w:rFonts w:ascii="Times New Roman;sans-serif" w:hAnsi="Times New Roman;sans-serif"/>
          <w:b w:val="false"/>
          <w:color w:val="000000"/>
          <w:sz w:val="22"/>
        </w:rPr>
        <w:t>attached hereto contains illustrative calculations of the Senti Economic Share.</w:t>
      </w:r>
    </w:p>
    <w:p>
      <w:pPr>
        <w:pStyle w:val="TextBody"/>
        <w:bidi w:val="0"/>
        <w:spacing w:lineRule="auto" w:line="240" w:before="0" w:after="240"/>
        <w:jc w:val="both"/>
        <w:rPr/>
      </w:pPr>
      <w:r>
        <w:rPr>
          <w:rFonts w:ascii="Times New Roman;sans-serif" w:hAnsi="Times New Roman;sans-serif"/>
          <w:b/>
          <w:color w:val="000000"/>
          <w:sz w:val="22"/>
        </w:rPr>
        <w:t>(b)    </w:t>
      </w:r>
      <w:r>
        <w:rPr>
          <w:rFonts w:ascii="Times New Roman;sans-serif" w:hAnsi="Times New Roman;sans-serif"/>
          <w:b w:val="false"/>
          <w:color w:val="000000"/>
          <w:sz w:val="22"/>
        </w:rPr>
        <w:t xml:space="preserve">It is understood and agreed that this Senti Economic Share (i) shall constitute a relationship between TopCo as debtor, and Senti as creditor with the right of Senti to receive the Economic Share Payment pursuant to </w:t>
      </w:r>
      <w:r>
        <w:rPr>
          <w:rFonts w:ascii="Times New Roman;sans-serif" w:hAnsi="Times New Roman;sans-serif"/>
          <w:b w:val="false"/>
          <w:color w:val="000000"/>
          <w:sz w:val="22"/>
          <w:u w:val="single"/>
        </w:rPr>
        <w:t>Section 3</w:t>
      </w:r>
      <w:r>
        <w:rPr>
          <w:color w:val="000000"/>
        </w:rPr>
        <w:t xml:space="preserve"> </w:t>
      </w:r>
      <w:r>
        <w:rPr>
          <w:rFonts w:ascii="Times New Roman;sans-serif" w:hAnsi="Times New Roman;sans-serif"/>
          <w:b w:val="false"/>
          <w:color w:val="000000"/>
          <w:sz w:val="22"/>
        </w:rPr>
        <w:t xml:space="preserve">from TopCo; and (ii) shall not constitute (x) a sale of a true equity participation or (y) a transfer of any rights or obligations relating to the Initial TopCo Interest and Senti shall have no proprietary interest of any kind in the Initial TopCo Interest, whether by way of beneficial ownership, referred to therein or relating thereto. TopCo shall not by virtue of the provisions of this Agreement be deemed to be, or otherwise become, an agent, nominee, trustee or fiduciary for Senti in respect of the Initial TopCo Interest. </w:t>
      </w:r>
    </w:p>
    <w:p>
      <w:pPr>
        <w:pStyle w:val="TextBody"/>
        <w:bidi w:val="0"/>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 xml:space="preserve">3.    Payments. </w:t>
      </w:r>
    </w:p>
    <w:p>
      <w:pPr>
        <w:pStyle w:val="TextBody"/>
        <w:bidi w:val="0"/>
        <w:spacing w:lineRule="auto" w:line="240" w:before="0" w:after="240"/>
        <w:jc w:val="both"/>
        <w:rPr/>
      </w:pPr>
      <w:r>
        <w:rPr>
          <w:rFonts w:ascii="Times New Roman;sans-serif" w:hAnsi="Times New Roman;sans-serif"/>
          <w:b/>
          <w:color w:val="000000"/>
          <w:sz w:val="22"/>
        </w:rPr>
        <w:t>(a)    </w:t>
      </w:r>
      <w:r>
        <w:rPr>
          <w:rFonts w:ascii="Times New Roman;sans-serif" w:hAnsi="Times New Roman;sans-serif"/>
          <w:b w:val="false"/>
          <w:color w:val="000000"/>
          <w:sz w:val="22"/>
        </w:rPr>
        <w:t xml:space="preserve">Upon the receipt of any Cash Distribution, then TopCo shall, within ten (10) Business Days after receiving such Cash Distribution, pay to Senti an amount in cash equal to ten percent (10%) of the Realized Gains resulting from the amount of such Cash Distribution, if any, </w:t>
      </w:r>
      <w:r>
        <w:rPr>
          <w:rFonts w:ascii="Times New Roman;sans-serif" w:hAnsi="Times New Roman;sans-serif"/>
          <w:b w:val="false"/>
          <w:i/>
          <w:color w:val="000000"/>
          <w:sz w:val="22"/>
        </w:rPr>
        <w:t xml:space="preserve">less </w:t>
      </w:r>
      <w:r>
        <w:rPr>
          <w:rFonts w:ascii="Times New Roman;sans-serif" w:hAnsi="Times New Roman;sans-serif"/>
          <w:b w:val="false"/>
          <w:color w:val="000000"/>
          <w:sz w:val="22"/>
        </w:rPr>
        <w:t xml:space="preserve">[***], in accordance with the wire instructions provided by Senti, which must be with respect to a bank account opened in the name of Senti and must be provided at least five (5) Business Days prior to the date of wiring. </w:t>
      </w:r>
    </w:p>
    <w:p>
      <w:pPr>
        <w:pStyle w:val="TextBody"/>
        <w:bidi w:val="0"/>
        <w:spacing w:lineRule="auto" w:line="240" w:before="0" w:after="240"/>
        <w:jc w:val="both"/>
        <w:rPr/>
      </w:pPr>
      <w:r>
        <w:rPr>
          <w:rFonts w:ascii="Times New Roman;sans-serif" w:hAnsi="Times New Roman;sans-serif"/>
          <w:b/>
          <w:color w:val="000000"/>
          <w:sz w:val="22"/>
        </w:rPr>
        <w:t>(b)    </w:t>
      </w:r>
      <w:r>
        <w:rPr>
          <w:rFonts w:ascii="Times New Roman;sans-serif" w:hAnsi="Times New Roman;sans-serif"/>
          <w:b w:val="false"/>
          <w:color w:val="000000"/>
          <w:sz w:val="22"/>
        </w:rPr>
        <w:t xml:space="preserve">Upon the receipt of any In-Kind Distribution, then TopCo shall: </w:t>
      </w:r>
    </w:p>
    <w:p>
      <w:pPr>
        <w:pStyle w:val="TextBody"/>
        <w:bidi w:val="0"/>
        <w:spacing w:lineRule="auto" w:line="240" w:before="0" w:after="240"/>
        <w:jc w:val="both"/>
        <w:rPr/>
      </w:pPr>
      <w:r>
        <w:rPr>
          <w:rFonts w:ascii="Times New Roman;sans-serif" w:hAnsi="Times New Roman;sans-serif"/>
          <w:b/>
          <w:color w:val="000000"/>
          <w:sz w:val="22"/>
        </w:rPr>
        <w:t>(i)    </w:t>
      </w:r>
      <w:r>
        <w:rPr>
          <w:rFonts w:ascii="Times New Roman;sans-serif" w:hAnsi="Times New Roman;sans-serif"/>
          <w:b w:val="false"/>
          <w:color w:val="000000"/>
          <w:sz w:val="22"/>
        </w:rPr>
        <w:t>[***]</w:t>
      </w:r>
    </w:p>
    <w:p>
      <w:pPr>
        <w:pStyle w:val="TextBody"/>
        <w:bidi w:val="0"/>
        <w:spacing w:lineRule="auto" w:line="240" w:before="0" w:after="240"/>
        <w:jc w:val="both"/>
        <w:rPr/>
      </w:pPr>
      <w:r>
        <w:rPr>
          <w:rFonts w:ascii="Times New Roman;sans-serif" w:hAnsi="Times New Roman;sans-serif"/>
          <w:b/>
          <w:color w:val="000000"/>
          <w:sz w:val="22"/>
        </w:rPr>
        <w:t>(ii)    </w:t>
      </w:r>
      <w:r>
        <w:rPr>
          <w:rFonts w:ascii="Times New Roman;sans-serif" w:hAnsi="Times New Roman;sans-serif"/>
          <w:b w:val="false"/>
          <w:color w:val="000000"/>
          <w:sz w:val="22"/>
        </w:rPr>
        <w: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lineRule="auto" w:line="240" w:before="0" w:after="240"/>
        <w:jc w:val="both"/>
        <w:rPr/>
      </w:pPr>
      <w:r>
        <w:rPr>
          <w:rFonts w:ascii="Times New Roman;sans-serif" w:hAnsi="Times New Roman;sans-serif"/>
          <w:b/>
          <w:color w:val="000000"/>
          <w:sz w:val="22"/>
        </w:rPr>
        <w:t>(c)    </w:t>
      </w:r>
      <w:r>
        <w:rPr>
          <w:rFonts w:ascii="Times New Roman;sans-serif" w:hAnsi="Times New Roman;sans-serif"/>
          <w:b w:val="false"/>
          <w:color w:val="000000"/>
          <w:sz w:val="22"/>
        </w:rPr>
        <w:t>Within five (5) Business Days prior to making any payment or transfer to Senti pursuant to this Section 3, TopCo shall provide a written statement to Senti that sets forth the calculation of such forthcoming payment or transfer (the “</w:t>
      </w:r>
      <w:r>
        <w:rPr>
          <w:rFonts w:ascii="Times New Roman;sans-serif" w:hAnsi="Times New Roman;sans-serif"/>
          <w:b w:val="false"/>
          <w:color w:val="000000"/>
          <w:sz w:val="22"/>
          <w:u w:val="single"/>
        </w:rPr>
        <w:t>Economic Share Statement</w:t>
      </w:r>
      <w:r>
        <w:rPr>
          <w:color w:val="000000"/>
        </w:rPr>
        <w:t>”</w:t>
      </w:r>
      <w:r>
        <w:rPr>
          <w:rFonts w:ascii="Times New Roman;sans-serif" w:hAnsi="Times New Roman;sans-serif"/>
          <w:b w:val="false"/>
          <w:color w:val="000000"/>
          <w:sz w:val="22"/>
        </w:rPr>
        <w:t xml:space="preserve">). </w:t>
      </w:r>
    </w:p>
    <w:p>
      <w:pPr>
        <w:pStyle w:val="TextBody"/>
        <w:bidi w:val="0"/>
        <w:spacing w:lineRule="auto" w:line="240" w:before="0" w:after="240"/>
        <w:jc w:val="both"/>
        <w:rPr/>
      </w:pPr>
      <w:r>
        <w:rPr>
          <w:rFonts w:ascii="Times New Roman;sans-serif" w:hAnsi="Times New Roman;sans-serif"/>
          <w:b/>
          <w:color w:val="000000"/>
          <w:sz w:val="22"/>
        </w:rPr>
        <w:t>(d)    </w:t>
      </w:r>
      <w:r>
        <w:rPr>
          <w:rFonts w:ascii="Times New Roman;sans-serif" w:hAnsi="Times New Roman;sans-serif"/>
          <w:b w:val="false"/>
          <w:color w:val="000000"/>
          <w:sz w:val="22"/>
        </w:rPr>
        <w:t xml:space="preserve">Any debt or equity financing of Purchaser that results in any dilution to the Senti Economic Share will be made on an arms’ length basis and on reasonable commercial terms. </w:t>
      </w:r>
    </w:p>
    <w:p>
      <w:pPr>
        <w:pStyle w:val="TextBody"/>
        <w:bidi w:val="0"/>
        <w:spacing w:lineRule="auto" w:line="240" w:before="0" w:after="240"/>
        <w:jc w:val="both"/>
        <w:rPr/>
      </w:pPr>
      <w:r>
        <w:rPr>
          <w:rFonts w:ascii="Times New Roman;sans-serif" w:hAnsi="Times New Roman;sans-serif"/>
          <w:b/>
          <w:color w:val="000000"/>
          <w:sz w:val="22"/>
        </w:rPr>
        <w:t xml:space="preserve">4.    Representations and Warranties of TopCo and Purchaser. </w:t>
      </w:r>
      <w:r>
        <w:rPr>
          <w:rFonts w:ascii="Times New Roman;sans-serif" w:hAnsi="Times New Roman;sans-serif"/>
          <w:b w:val="false"/>
          <w:color w:val="000000"/>
          <w:sz w:val="22"/>
        </w:rPr>
        <w:t>Each of TopCo and Purchaser hereby represents and warrants to Senti as follows:</w:t>
      </w:r>
    </w:p>
    <w:p>
      <w:pPr>
        <w:pStyle w:val="TextBody"/>
        <w:bidi w:val="0"/>
        <w:spacing w:lineRule="auto" w:line="240" w:before="0" w:after="240"/>
        <w:jc w:val="both"/>
        <w:rPr/>
      </w:pPr>
      <w:r>
        <w:rPr>
          <w:rFonts w:ascii="Times New Roman;sans-serif" w:hAnsi="Times New Roman;sans-serif"/>
          <w:b/>
          <w:color w:val="000000"/>
          <w:sz w:val="22"/>
        </w:rPr>
        <w:t>(a)    </w:t>
      </w:r>
      <w:r>
        <w:rPr>
          <w:rFonts w:ascii="Times New Roman;sans-serif" w:hAnsi="Times New Roman;sans-serif"/>
          <w:b w:val="false"/>
          <w:color w:val="000000"/>
          <w:sz w:val="22"/>
        </w:rPr>
        <w:t>it is duly organized, validly existing and in good standing under the laws of its jurisdiction of organization or incorporation and has the power and authority to carry on its present business and operations and to enter into and perform its obligations under this Agreement;</w:t>
      </w:r>
    </w:p>
    <w:p>
      <w:pPr>
        <w:pStyle w:val="TextBody"/>
        <w:bidi w:val="0"/>
        <w:spacing w:lineRule="auto" w:line="240" w:before="0" w:after="240"/>
        <w:jc w:val="both"/>
        <w:rPr/>
      </w:pPr>
      <w:r>
        <w:rPr>
          <w:rFonts w:ascii="Times New Roman;sans-serif" w:hAnsi="Times New Roman;sans-serif"/>
          <w:b/>
          <w:color w:val="000000"/>
          <w:sz w:val="22"/>
        </w:rPr>
        <w:t>(b)    </w:t>
      </w:r>
      <w:r>
        <w:rPr>
          <w:rFonts w:ascii="Times New Roman;sans-serif" w:hAnsi="Times New Roman;sans-serif"/>
          <w:b w:val="false"/>
          <w:color w:val="000000"/>
          <w:sz w:val="22"/>
        </w:rPr>
        <w:t>this Agreement has been duly and validly authorized, executed and delivered by it and is the legal, valid and binding obligation of it and enforceable against it in accordance with its terms, except as such enforceability may be limited by bankruptcy, insolvency, reorganization, moratorium or similar laws relating to or limiting creditors’ rights generally or by equitable principles;</w:t>
      </w:r>
    </w:p>
    <w:p>
      <w:pPr>
        <w:pStyle w:val="TextBody"/>
        <w:bidi w:val="0"/>
        <w:spacing w:lineRule="auto" w:line="240" w:before="0" w:after="240"/>
        <w:jc w:val="both"/>
        <w:rPr/>
      </w:pPr>
      <w:r>
        <w:rPr>
          <w:rFonts w:ascii="Times New Roman;sans-serif" w:hAnsi="Times New Roman;sans-serif"/>
          <w:b/>
          <w:color w:val="000000"/>
          <w:sz w:val="22"/>
        </w:rPr>
        <w:t>(c)    </w:t>
      </w:r>
      <w:r>
        <w:rPr>
          <w:rFonts w:ascii="Times New Roman;sans-serif" w:hAnsi="Times New Roman;sans-serif"/>
          <w:b w:val="false"/>
          <w:color w:val="000000"/>
          <w:sz w:val="22"/>
        </w:rPr>
        <w:t xml:space="preserve">neither the execution, delivery or performance of this Agreement by it nor consummation of the transactions contemplated hereby will violate or contravene any law, rule, regulation, order, agreement, or instrument affecting it or the Initial TopCo Interest; </w:t>
      </w:r>
    </w:p>
    <w:p>
      <w:pPr>
        <w:pStyle w:val="TextBody"/>
        <w:bidi w:val="0"/>
        <w:spacing w:lineRule="auto" w:line="240" w:before="0" w:after="240"/>
        <w:jc w:val="both"/>
        <w:rPr/>
      </w:pPr>
      <w:r>
        <w:rPr>
          <w:rFonts w:ascii="Times New Roman;sans-serif" w:hAnsi="Times New Roman;sans-serif"/>
          <w:b/>
          <w:color w:val="000000"/>
          <w:sz w:val="22"/>
        </w:rPr>
        <w:t>(d)    </w:t>
      </w:r>
      <w:r>
        <w:rPr>
          <w:rFonts w:ascii="Times New Roman;sans-serif" w:hAnsi="Times New Roman;sans-serif"/>
          <w:b w:val="false"/>
          <w:color w:val="000000"/>
          <w:sz w:val="22"/>
        </w:rPr>
        <w:t>Purchaser has provided to Senti true and correct copies of the organizational documents of Purchaser and TopCo; and</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color w:val="000000"/>
          <w:sz w:val="22"/>
        </w:rPr>
        <w:t>(e)    </w:t>
      </w:r>
      <w:r>
        <w:rPr>
          <w:rFonts w:ascii="Times New Roman;sans-serif" w:hAnsi="Times New Roman;sans-serif"/>
          <w:b w:val="false"/>
          <w:color w:val="000000"/>
          <w:sz w:val="22"/>
        </w:rPr>
        <w:t>No Actions are pending against it or to the best of its knowledge, threatened against it before any governmental authority that will materially and adversely affect (i) the Initial TopCo Interest or the obligations assumed hereunder, or (ii) any action taken or to be taken by it under this Agreement.</w:t>
      </w:r>
    </w:p>
    <w:p>
      <w:pPr>
        <w:pStyle w:val="TextBody"/>
        <w:bidi w:val="0"/>
        <w:spacing w:lineRule="auto" w:line="240" w:before="0" w:after="240"/>
        <w:jc w:val="both"/>
        <w:rPr/>
      </w:pPr>
      <w:r>
        <w:rPr>
          <w:rFonts w:ascii="Times New Roman;sans-serif" w:hAnsi="Times New Roman;sans-serif"/>
          <w:b/>
          <w:color w:val="000000"/>
          <w:sz w:val="22"/>
        </w:rPr>
        <w:t xml:space="preserve">5.    Representations and Warranties of Senti. </w:t>
      </w:r>
      <w:r>
        <w:rPr>
          <w:rFonts w:ascii="Times New Roman;sans-serif" w:hAnsi="Times New Roman;sans-serif"/>
          <w:b w:val="false"/>
          <w:color w:val="000000"/>
          <w:sz w:val="22"/>
        </w:rPr>
        <w:t xml:space="preserve">Senti hereby represents and warrants to each of TopCo and Purchaser as follows: </w:t>
      </w:r>
    </w:p>
    <w:p>
      <w:pPr>
        <w:pStyle w:val="TextBody"/>
        <w:bidi w:val="0"/>
        <w:spacing w:lineRule="auto" w:line="240" w:before="0" w:after="240"/>
        <w:jc w:val="both"/>
        <w:rPr/>
      </w:pPr>
      <w:r>
        <w:rPr>
          <w:rFonts w:ascii="Times New Roman;sans-serif" w:hAnsi="Times New Roman;sans-serif"/>
          <w:b/>
          <w:color w:val="000000"/>
          <w:sz w:val="22"/>
        </w:rPr>
        <w:t>(a)    </w:t>
      </w:r>
      <w:r>
        <w:rPr>
          <w:rFonts w:ascii="Times New Roman;sans-serif" w:hAnsi="Times New Roman;sans-serif"/>
          <w:b w:val="false"/>
          <w:color w:val="000000"/>
          <w:sz w:val="22"/>
        </w:rPr>
        <w:t>Senti is duly organized, validly existing and in good standing under the laws of its jurisdiction of organization or incorporation and has the power and authority to carry on its present business and operations and to enter into and perform its obligations under this Agreement;</w:t>
      </w:r>
    </w:p>
    <w:p>
      <w:pPr>
        <w:pStyle w:val="TextBody"/>
        <w:bidi w:val="0"/>
        <w:spacing w:lineRule="auto" w:line="240" w:before="0" w:after="240"/>
        <w:jc w:val="both"/>
        <w:rPr/>
      </w:pPr>
      <w:r>
        <w:rPr>
          <w:rFonts w:ascii="Times New Roman;sans-serif" w:hAnsi="Times New Roman;sans-serif"/>
          <w:b/>
          <w:color w:val="000000"/>
          <w:sz w:val="22"/>
        </w:rPr>
        <w:t>(b)    </w:t>
      </w:r>
      <w:r>
        <w:rPr>
          <w:rFonts w:ascii="Times New Roman;sans-serif" w:hAnsi="Times New Roman;sans-serif"/>
          <w:b w:val="false"/>
          <w:color w:val="000000"/>
          <w:sz w:val="22"/>
        </w:rPr>
        <w:t>this Agreement and the other documents to which it is a party in connection herewith have been duly authorized, executed and delivered by Senti and constitutes a legal, valid and binding obligation of Senti enforceable against it in accordance with its terms, except as such enforceability may be limited by applicable bankruptcy, insolvency, reorganization, receivership, moratorium and other similar laws affecting the rights of creditors generally and general principles of equity, whether considered at an Action at law or in equity;</w:t>
      </w:r>
    </w:p>
    <w:p>
      <w:pPr>
        <w:pStyle w:val="TextBody"/>
        <w:bidi w:val="0"/>
        <w:spacing w:lineRule="auto" w:line="240" w:before="0" w:after="240"/>
        <w:jc w:val="both"/>
        <w:rPr/>
      </w:pPr>
      <w:r>
        <w:rPr>
          <w:rFonts w:ascii="Times New Roman;sans-serif" w:hAnsi="Times New Roman;sans-serif"/>
          <w:b/>
          <w:color w:val="000000"/>
          <w:sz w:val="22"/>
        </w:rPr>
        <w:t>(c)    </w:t>
      </w:r>
      <w:r>
        <w:rPr>
          <w:rFonts w:ascii="Times New Roman;sans-serif" w:hAnsi="Times New Roman;sans-serif"/>
          <w:b w:val="false"/>
          <w:color w:val="000000"/>
          <w:sz w:val="22"/>
        </w:rPr>
        <w:t xml:space="preserve">any interest obtained by Senti hereunder is and shall be acquired by it for investment and not with a view to resale or distribution,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disposition of its property shall at all times be and remain within its control; and</w:t>
      </w:r>
    </w:p>
    <w:p>
      <w:pPr>
        <w:pStyle w:val="TextBody"/>
        <w:bidi w:val="0"/>
        <w:spacing w:lineRule="auto" w:line="240" w:before="0" w:after="240"/>
        <w:jc w:val="both"/>
        <w:rPr/>
      </w:pPr>
      <w:r>
        <w:rPr>
          <w:rFonts w:ascii="Times New Roman;sans-serif" w:hAnsi="Times New Roman;sans-serif"/>
          <w:b/>
          <w:color w:val="000000"/>
          <w:sz w:val="22"/>
        </w:rPr>
        <w:t>(d)    </w:t>
      </w:r>
      <w:r>
        <w:rPr>
          <w:rFonts w:ascii="Times New Roman;sans-serif" w:hAnsi="Times New Roman;sans-serif"/>
          <w:b w:val="false"/>
          <w:color w:val="000000"/>
          <w:sz w:val="22"/>
        </w:rPr>
        <w:t>neither the execution and delivery by Senti of this Agreement nor the consummation by Senti of any of the transactions contemplated hereby violates any provision of any law, rule, regulation, organizational document or material agreement binding on Senti or creates a relationship which would be in violation thereof or requires registration under securities laws applicable to TopCo, Purchaser and/or Senti.</w:t>
      </w:r>
      <w:r>
        <w:rPr>
          <w:color w:val="000000"/>
        </w:rPr>
        <w:t xml:space="preserve"> </w:t>
      </w:r>
    </w:p>
    <w:p>
      <w:pPr>
        <w:pStyle w:val="TextBody"/>
        <w:bidi w:val="0"/>
        <w:spacing w:lineRule="auto" w:line="240" w:before="0" w:after="240"/>
        <w:jc w:val="both"/>
        <w:rPr/>
      </w:pPr>
      <w:r>
        <w:rPr>
          <w:rFonts w:ascii="Times New Roman;sans-serif" w:hAnsi="Times New Roman;sans-serif"/>
          <w:b/>
          <w:color w:val="000000"/>
          <w:sz w:val="22"/>
        </w:rPr>
        <w:t>6.    Dispute Resolution.</w:t>
      </w:r>
      <w:r>
        <w:rPr>
          <w:color w:val="000000"/>
        </w:rPr>
        <w:t xml:space="preserve"> </w:t>
      </w:r>
      <w:r>
        <w:rPr>
          <w:rFonts w:ascii="Times New Roman;sans-serif" w:hAnsi="Times New Roman;sans-serif"/>
          <w:b w:val="false"/>
          <w:color w:val="000000"/>
          <w:sz w:val="22"/>
        </w:rPr>
        <w:t xml:space="preserve">The Parties agree that any dispute, controversy, difference, or claim arising out of, relating to, or in connection with this Agreement (including, without limitation, any Economic Share Statement provided by TopCo to Senti pursuant to Section 3(c)), including any question regarding its existence, validity, or termination or any dispute regarding non-contractual obligations arising out of or relating to this Agreement, shall be resolved in accordance with Section 10.9 of the Framework Agreement, which is hereby incorporated by reference and shall apply </w:t>
      </w:r>
      <w:r>
        <w:rPr>
          <w:rFonts w:ascii="Times New Roman;sans-serif" w:hAnsi="Times New Roman;sans-serif"/>
          <w:b w:val="false"/>
          <w:i/>
          <w:color w:val="000000"/>
          <w:sz w:val="22"/>
        </w:rPr>
        <w:t xml:space="preserve">mutatis mutandis </w:t>
      </w:r>
      <w:r>
        <w:rPr>
          <w:rFonts w:ascii="Times New Roman;sans-serif" w:hAnsi="Times New Roman;sans-serif"/>
          <w:b w:val="false"/>
          <w:color w:val="000000"/>
          <w:sz w:val="22"/>
        </w:rPr>
        <w:t>as if set forth herein.</w:t>
      </w:r>
    </w:p>
    <w:p>
      <w:pPr>
        <w:pStyle w:val="TextBody"/>
        <w:bidi w:val="0"/>
        <w:spacing w:lineRule="auto" w:line="240" w:before="0" w:after="240"/>
        <w:jc w:val="both"/>
        <w:rPr/>
      </w:pPr>
      <w:r>
        <w:rPr>
          <w:rFonts w:ascii="Times New Roman;sans-serif" w:hAnsi="Times New Roman;sans-serif"/>
          <w:b/>
          <w:color w:val="000000"/>
          <w:sz w:val="22"/>
        </w:rPr>
        <w:t>7.    Covenants.</w:t>
      </w:r>
      <w:r>
        <w:rPr>
          <w:color w:val="000000"/>
        </w:rPr>
        <w:t xml:space="preserve"> </w:t>
      </w:r>
    </w:p>
    <w:p>
      <w:pPr>
        <w:pStyle w:val="TextBody"/>
        <w:bidi w:val="0"/>
        <w:spacing w:lineRule="auto" w:line="240" w:before="0" w:after="240"/>
        <w:jc w:val="both"/>
        <w:rPr/>
      </w:pPr>
      <w:r>
        <w:rPr>
          <w:rFonts w:ascii="Times New Roman;sans-serif" w:hAnsi="Times New Roman;sans-serif"/>
          <w:b/>
          <w:color w:val="000000"/>
          <w:sz w:val="22"/>
        </w:rPr>
        <w:t>(a)    </w:t>
      </w:r>
      <w:r>
        <w:rPr>
          <w:rFonts w:ascii="Times New Roman;sans-serif" w:hAnsi="Times New Roman;sans-serif"/>
          <w:b w:val="false"/>
          <w:color w:val="000000"/>
          <w:sz w:val="22"/>
        </w:rPr>
        <w:t xml:space="preserve">Purchaser and TopCo shall not, and shall cause their respective Representatives and Affiliates not to, directly or indirectly, (i) take any action, shall refrain from taking any action with the primary purpose, in each case, of reducing, preventing or otherwise impairing any amounts to be paid to Senti (or its successors and assignee) pursuant to this Agreement and Section 2.6(d) of the Framework Agreement or (ii) permit the reduction or impairment of the payment of such amounts through the deliberate inaction of Purchaser, TopCo or their Representatives with the primary purpose of reducing or impairing the payment of such amounts. </w:t>
      </w:r>
    </w:p>
    <w:p>
      <w:pPr>
        <w:pStyle w:val="TextBody"/>
        <w:bidi w:val="0"/>
        <w:spacing w:lineRule="auto" w:line="240" w:before="0" w:after="240"/>
        <w:jc w:val="both"/>
        <w:rPr/>
      </w:pPr>
      <w:r>
        <w:rPr>
          <w:rFonts w:ascii="Times New Roman;sans-serif" w:hAnsi="Times New Roman;sans-serif"/>
          <w:b/>
          <w:color w:val="000000"/>
          <w:sz w:val="22"/>
        </w:rPr>
        <w:t>(b)    </w:t>
      </w:r>
      <w:r>
        <w:rPr>
          <w:rFonts w:ascii="Times New Roman;sans-serif" w:hAnsi="Times New Roman;sans-serif"/>
          <w:b w:val="false"/>
          <w:color w:val="000000"/>
          <w:sz w:val="22"/>
        </w:rPr>
        <w:t>Purchaser and TopCo shall not amend, revise or otherwise modify the governing or organizational documents of Purchaser or TopCo with the purpose, in each case, of reducing, preventing or otherwise impairing any amounts to be paid to Senti (or its successors and assignee) pursuant to this Agreement and Section 2.6(d) of the Framework Agreement, or eliminating, reducing, or otherwise impairing the rights and interest of Senti (and its successor and assigns) in the Senti Economic Share.</w:t>
      </w:r>
    </w:p>
    <w:p>
      <w:pPr>
        <w:pStyle w:val="TextBody"/>
        <w:bidi w:val="0"/>
        <w:spacing w:lineRule="auto" w:line="240" w:before="0" w:after="240"/>
        <w:jc w:val="both"/>
        <w:rPr/>
      </w:pPr>
      <w:r>
        <w:rPr>
          <w:rFonts w:ascii="Times New Roman;sans-serif" w:hAnsi="Times New Roman;sans-serif"/>
          <w:b/>
          <w:color w:val="000000"/>
          <w:sz w:val="22"/>
        </w:rPr>
        <w:t>(c)    </w:t>
      </w:r>
      <w:r>
        <w:rPr>
          <w:rFonts w:ascii="Times New Roman;sans-serif" w:hAnsi="Times New Roman;sans-serif"/>
          <w:b w:val="false"/>
          <w:color w:val="000000"/>
          <w:sz w:val="22"/>
        </w:rPr>
        <w:t xml:space="preserve">Purchaser and TopCo shall provide Senti with prior written notice of any consolidation, merger, reorganization or a similar event by Purchaser (or any of its holding companies) and any Affiliate of [***] whereby, immediately after any such consolidation, merger, reorganization or similar event, [***] (and/or its Affiliates collectively) is the single largest equityholder of the surviving entity and such surviving entity shall acknowledge and agree in writing to be bound the terms of this Agreement and provide a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representation that the terms of such consolidation, merger, reorganization or other similar event were made on reasonable and fair commercial terms and in the best interests of the equityholders of Purchaser and TopCo. </w:t>
      </w:r>
    </w:p>
    <w:p>
      <w:pPr>
        <w:pStyle w:val="TextBody"/>
        <w:bidi w:val="0"/>
        <w:spacing w:lineRule="auto" w:line="240" w:before="0" w:after="240"/>
        <w:jc w:val="both"/>
        <w:rPr/>
      </w:pPr>
      <w:r>
        <w:rPr>
          <w:rFonts w:ascii="Times New Roman;sans-serif" w:hAnsi="Times New Roman;sans-serif"/>
          <w:b/>
          <w:color w:val="000000"/>
          <w:sz w:val="22"/>
        </w:rPr>
        <w:t>(d)    </w:t>
      </w:r>
      <w:r>
        <w:rPr>
          <w:rFonts w:ascii="Times New Roman;sans-serif" w:hAnsi="Times New Roman;sans-serif"/>
          <w:b w:val="false"/>
          <w:color w:val="000000"/>
          <w:sz w:val="22"/>
        </w:rPr>
        <w:t xml:space="preserve">[***] </w:t>
      </w:r>
    </w:p>
    <w:p>
      <w:pPr>
        <w:pStyle w:val="TextBody"/>
        <w:bidi w:val="0"/>
        <w:spacing w:lineRule="auto" w:line="240" w:before="0" w:after="240"/>
        <w:jc w:val="both"/>
        <w:rPr/>
      </w:pPr>
      <w:r>
        <w:rPr>
          <w:rFonts w:ascii="Times New Roman;sans-serif" w:hAnsi="Times New Roman;sans-serif"/>
          <w:b/>
          <w:color w:val="000000"/>
          <w:sz w:val="22"/>
        </w:rPr>
        <w:t>(e)    </w:t>
      </w:r>
      <w:r>
        <w:rPr>
          <w:rFonts w:ascii="Times New Roman;sans-serif" w:hAnsi="Times New Roman;sans-serif"/>
          <w:b w:val="false"/>
          <w:color w:val="000000"/>
          <w:sz w:val="22"/>
        </w:rPr>
        <w:t>Purchaser hereby agrees and covenants to refrain from making any distribution of cash, securities or other non-cash distributions to any person other than to its direct equityholders in accordance with their equity holdings in Purchaser or to Senti in accordance with this Agreement.</w:t>
      </w:r>
    </w:p>
    <w:p>
      <w:pPr>
        <w:pStyle w:val="TextBody"/>
        <w:bidi w:val="0"/>
        <w:spacing w:lineRule="auto" w:line="240" w:before="0" w:after="240"/>
        <w:jc w:val="both"/>
        <w:rPr/>
      </w:pPr>
      <w:r>
        <w:rPr>
          <w:rFonts w:ascii="Times New Roman;sans-serif" w:hAnsi="Times New Roman;sans-serif"/>
          <w:b/>
          <w:color w:val="000000"/>
          <w:sz w:val="22"/>
        </w:rPr>
        <w:t>8.    No Partnership.</w:t>
      </w:r>
      <w:r>
        <w:rPr>
          <w:color w:val="000000"/>
        </w:rPr>
        <w:t xml:space="preserve"> </w:t>
      </w:r>
      <w:r>
        <w:rPr>
          <w:rFonts w:ascii="Times New Roman;sans-serif" w:hAnsi="Times New Roman;sans-serif"/>
          <w:b w:val="false"/>
          <w:color w:val="000000"/>
          <w:sz w:val="22"/>
        </w:rPr>
        <w:t>Nothing contained herein is intended or is to be construed so as to constitute TopCo, Purchaser and Senti as partners, agents or joint venturers. The Parties (and any successor, assignee, transferee, or Affiliate of a Party) shall not treat or report the relationship between the Parties arising under this Agreement as a partnership for United States Tax purposes, without the prior written consent of the other Parties unless required by a final “determination” as defined in Section 1313 of the Code.</w:t>
      </w:r>
    </w:p>
    <w:p>
      <w:pPr>
        <w:pStyle w:val="TextBody"/>
        <w:bidi w:val="0"/>
        <w:spacing w:lineRule="auto" w:line="240" w:before="0" w:after="240"/>
        <w:jc w:val="both"/>
        <w:rPr/>
      </w:pPr>
      <w:r>
        <w:rPr>
          <w:rFonts w:ascii="Times New Roman;sans-serif" w:hAnsi="Times New Roman;sans-serif"/>
          <w:b/>
          <w:color w:val="000000"/>
          <w:sz w:val="22"/>
        </w:rPr>
        <w:t xml:space="preserve">9.    Termination. </w:t>
      </w:r>
      <w:r>
        <w:rPr>
          <w:rFonts w:ascii="Times New Roman;sans-serif" w:hAnsi="Times New Roman;sans-serif"/>
          <w:b w:val="false"/>
          <w:color w:val="000000"/>
          <w:sz w:val="22"/>
        </w:rPr>
        <w:t xml:space="preserve">[***] </w:t>
      </w:r>
    </w:p>
    <w:p>
      <w:pPr>
        <w:pStyle w:val="TextBody"/>
        <w:bidi w:val="0"/>
        <w:spacing w:lineRule="auto" w:line="240" w:before="0" w:after="240"/>
        <w:jc w:val="both"/>
        <w:rPr/>
      </w:pPr>
      <w:r>
        <w:rPr>
          <w:rFonts w:ascii="Times New Roman;sans-serif" w:hAnsi="Times New Roman;sans-serif"/>
          <w:b/>
          <w:color w:val="000000"/>
          <w:sz w:val="22"/>
        </w:rPr>
        <w:t>10.    Miscellaneous.</w:t>
      </w:r>
      <w:r>
        <w:rPr>
          <w:color w:val="000000"/>
        </w:rPr>
        <w:t xml:space="preserve"> </w:t>
      </w:r>
    </w:p>
    <w:p>
      <w:pPr>
        <w:pStyle w:val="TextBody"/>
        <w:bidi w:val="0"/>
        <w:spacing w:lineRule="auto" w:line="240" w:before="0" w:after="240"/>
        <w:jc w:val="both"/>
        <w:rPr/>
      </w:pPr>
      <w:r>
        <w:rPr>
          <w:rFonts w:ascii="Times New Roman;sans-serif" w:hAnsi="Times New Roman;sans-serif"/>
          <w:b/>
          <w:color w:val="000000"/>
          <w:sz w:val="22"/>
        </w:rPr>
        <w:t>(a)    </w:t>
      </w:r>
      <w:r>
        <w:rPr>
          <w:rFonts w:ascii="Times New Roman;sans-serif" w:hAnsi="Times New Roman;sans-serif"/>
          <w:b w:val="false"/>
          <w:color w:val="000000"/>
          <w:sz w:val="22"/>
        </w:rPr>
        <w:t xml:space="preserve">This Agreement, including all issues and questions concerning the application, construction, validity, interpretation, and enforceability of this Agreement, shall be governed by and construed in accordance with the internal laws of the State of Delaware, without regard to its conflict of laws provisions. </w:t>
      </w:r>
    </w:p>
    <w:p>
      <w:pPr>
        <w:pStyle w:val="TextBody"/>
        <w:bidi w:val="0"/>
        <w:spacing w:lineRule="auto" w:line="240" w:before="0" w:after="240"/>
        <w:jc w:val="both"/>
        <w:rPr/>
      </w:pPr>
      <w:r>
        <w:rPr>
          <w:rFonts w:ascii="Times New Roman;sans-serif" w:hAnsi="Times New Roman;sans-serif"/>
          <w:b/>
          <w:color w:val="000000"/>
          <w:sz w:val="22"/>
        </w:rPr>
        <w:t>(b)    </w:t>
      </w:r>
      <w:r>
        <w:rPr>
          <w:rFonts w:ascii="Times New Roman;sans-serif" w:hAnsi="Times New Roman;sans-serif"/>
          <w:b w:val="false"/>
          <w:color w:val="000000"/>
          <w:sz w:val="22"/>
        </w:rPr>
        <w:t>If any term or other provision of this Agreement is invalid, illegal, or incapable of being enforced by any rule of law, or public policy, all other conditions and provisions of this Agreement will nevertheless remain in full force and effect so long as the economic or legal substance of the transactions contemplated hereby is not affected in any manner adverse to any party hereto. Upon such determination that any term or other provision is invalid, illegal, or incapable of being enforced, the Parties will negotiate in good faith to modify this Agreement so as to effect the original intent of the parties to the fullest extent possible.</w:t>
      </w:r>
    </w:p>
    <w:p>
      <w:pPr>
        <w:pStyle w:val="TextBody"/>
        <w:bidi w:val="0"/>
        <w:spacing w:lineRule="auto" w:line="240" w:before="0" w:after="240"/>
        <w:jc w:val="both"/>
        <w:rPr/>
      </w:pPr>
      <w:r>
        <w:rPr>
          <w:rFonts w:ascii="Times New Roman;sans-serif" w:hAnsi="Times New Roman;sans-serif"/>
          <w:b/>
          <w:color w:val="000000"/>
          <w:sz w:val="22"/>
        </w:rPr>
        <w:t>(c)    </w:t>
      </w:r>
      <w:r>
        <w:rPr>
          <w:rFonts w:ascii="Times New Roman;sans-serif" w:hAnsi="Times New Roman;sans-serif"/>
          <w:b w:val="false"/>
          <w:color w:val="000000"/>
          <w:sz w:val="22"/>
        </w:rPr>
        <w:t xml:space="preserve">This Agreement is the complete, final, and exclusive embodiment of the entire agreement among the Parties with respect to the subject matter hereof and supersedes all prior or contemporaneous agreements, promises, and representations by anyone, whether oral or written. </w:t>
      </w:r>
    </w:p>
    <w:p>
      <w:pPr>
        <w:pStyle w:val="TextBody"/>
        <w:bidi w:val="0"/>
        <w:spacing w:lineRule="auto" w:line="240" w:before="0" w:after="240"/>
        <w:jc w:val="both"/>
        <w:rPr/>
      </w:pPr>
      <w:r>
        <w:rPr>
          <w:rFonts w:ascii="Times New Roman;sans-serif" w:hAnsi="Times New Roman;sans-serif"/>
          <w:b/>
          <w:color w:val="000000"/>
          <w:sz w:val="22"/>
        </w:rPr>
        <w:t>(d)    </w:t>
      </w:r>
      <w:r>
        <w:rPr>
          <w:rFonts w:ascii="Times New Roman;sans-serif" w:hAnsi="Times New Roman;sans-serif"/>
          <w:b w:val="false"/>
          <w:color w:val="000000"/>
          <w:sz w:val="22"/>
        </w:rPr>
        <w:t xml:space="preserve">This Agreement shall only be amended by a written instrument signed by each of the Parties. </w:t>
      </w:r>
    </w:p>
    <w:p>
      <w:pPr>
        <w:pStyle w:val="TextBody"/>
        <w:bidi w:val="0"/>
        <w:spacing w:lineRule="auto" w:line="240" w:before="0" w:after="240"/>
        <w:jc w:val="both"/>
        <w:rPr/>
      </w:pPr>
      <w:r>
        <w:rPr>
          <w:rFonts w:ascii="Times New Roman;sans-serif" w:hAnsi="Times New Roman;sans-serif"/>
          <w:b/>
          <w:color w:val="000000"/>
          <w:sz w:val="22"/>
        </w:rPr>
        <w:t>(e)    </w:t>
      </w:r>
      <w:r>
        <w:rPr>
          <w:rFonts w:ascii="Times New Roman;sans-serif" w:hAnsi="Times New Roman;sans-serif"/>
          <w:b w:val="false"/>
          <w:color w:val="000000"/>
          <w:sz w:val="22"/>
        </w:rPr>
        <w:t>None of the provisions of this Agreement are intended to provide any rights or remedies, express or implied, to any Person other than the Parties and their respective permitted successors and assigns (if any).</w:t>
      </w:r>
    </w:p>
    <w:p>
      <w:pPr>
        <w:pStyle w:val="TextBody"/>
        <w:bidi w:val="0"/>
        <w:spacing w:lineRule="auto" w:line="240" w:before="0" w:after="240"/>
        <w:jc w:val="both"/>
        <w:rPr/>
      </w:pPr>
      <w:r>
        <w:rPr>
          <w:rFonts w:ascii="Times New Roman;sans-serif" w:hAnsi="Times New Roman;sans-serif"/>
          <w:b/>
          <w:color w:val="000000"/>
          <w:sz w:val="22"/>
        </w:rPr>
        <w:t>(f)    </w:t>
      </w:r>
      <w:r>
        <w:rPr>
          <w:rFonts w:ascii="Times New Roman;sans-serif" w:hAnsi="Times New Roman;sans-serif"/>
          <w:b w:val="false"/>
          <w:color w:val="000000"/>
          <w:sz w:val="22"/>
        </w:rPr>
        <w:t xml:space="preserve">Except as otherwise expressly provided herein, the provisions hereof shall inure to the benefit of, and be binding upon the Parties and their respective successors, assigns, heirs, executors and administrators. All representations and warranties contained herein shall survive the execution and delivery of this Agreement and this Agreement shall be binding upon, shall inure to the benefit of and shall be enforceable by the Parties, and their respective permitted successors and assigns. No Party shall be permitted to assign any of its respective rights or delegate any of its respective obligations under this Agreement without the other Parties’ prior written consent;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Senti shall be able to assign this Agreement to any third party acquiring all or substantial all of its assets or in connection with any merger, consolidation, reorganization, or any similar transactions of Senti (regardless of whether Senti is the surviving entity). </w:t>
      </w:r>
    </w:p>
    <w:p>
      <w:pPr>
        <w:pStyle w:val="TextBody"/>
        <w:bidi w:val="0"/>
        <w:spacing w:lineRule="auto" w:line="240" w:before="0" w:after="240"/>
        <w:jc w:val="both"/>
        <w:rPr/>
      </w:pPr>
      <w:r>
        <w:rPr>
          <w:rFonts w:ascii="Times New Roman;sans-serif" w:hAnsi="Times New Roman;sans-serif"/>
          <w:b/>
          <w:color w:val="000000"/>
          <w:sz w:val="22"/>
        </w:rPr>
        <w:t>(g)    </w:t>
      </w:r>
      <w:r>
        <w:rPr>
          <w:rFonts w:ascii="Times New Roman;sans-serif" w:hAnsi="Times New Roman;sans-serif"/>
          <w:b w:val="false"/>
          <w:color w:val="000000"/>
          <w:sz w:val="22"/>
        </w:rPr>
        <w:t xml:space="preserve">This Agreement may be executed in counterparts, each of which shall be deemed an original and all of which, when taken together, will be deemed to constitute one instrument. Any signature page hereto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delivered by facsimile machine, by e-mail (including in portable document format (pdf), as a joint photographic experts group (jpg) file, or otherwise) or other electronic (including electronic signatures complying with the U.S. federal ESIGN Act of 2000) means shall be binding to the same extent as an original signature page, with regard to any agreement subject to the terms hereof or any amendment thereto and may be used in lieu of the original signatures for all purposes. Any Party hereto that delivers such a signature page agrees to deliver promptly an original counterpart to any other Party hereto that requests it.</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Follows]</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color w:val="000000"/>
        </w:rPr>
        <w:t>    </w:t>
      </w:r>
      <w:r>
        <w:rPr>
          <w:rFonts w:ascii="Times New Roman;sans-serif" w:hAnsi="Times New Roman;sans-serif"/>
          <w:b/>
          <w:color w:val="000000"/>
          <w:sz w:val="22"/>
        </w:rPr>
        <w:t>In Witness Whereof,</w:t>
      </w:r>
      <w:r>
        <w:rPr>
          <w:color w:val="000000"/>
        </w:rPr>
        <w:t xml:space="preserve"> </w:t>
      </w:r>
      <w:r>
        <w:rPr>
          <w:rFonts w:ascii="Times New Roman;sans-serif" w:hAnsi="Times New Roman;sans-serif"/>
          <w:b w:val="false"/>
          <w:color w:val="000000"/>
          <w:sz w:val="22"/>
        </w:rPr>
        <w:t>the undersigned has executed this Agreement as of the date first above written.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tbl>
      <w:tblPr>
        <w:tblW w:w="3828" w:type="dxa"/>
        <w:jc w:val="left"/>
        <w:tblInd w:w="0" w:type="dxa"/>
        <w:tblLayout w:type="fixed"/>
        <w:tblCellMar>
          <w:top w:w="28" w:type="dxa"/>
          <w:left w:w="28" w:type="dxa"/>
          <w:bottom w:w="28" w:type="dxa"/>
          <w:right w:w="28" w:type="dxa"/>
        </w:tblCellMar>
      </w:tblPr>
      <w:tblGrid>
        <w:gridCol w:w="528"/>
        <w:gridCol w:w="465"/>
        <w:gridCol w:w="465"/>
        <w:gridCol w:w="695"/>
        <w:gridCol w:w="695"/>
        <w:gridCol w:w="980"/>
      </w:tblGrid>
      <w:tr>
        <w:trPr/>
        <w:tc>
          <w:tcPr>
            <w:tcW w:w="52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382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Senti:</w:t>
            </w:r>
          </w:p>
        </w:tc>
      </w:tr>
      <w:tr>
        <w:trPr/>
        <w:tc>
          <w:tcPr>
            <w:tcW w:w="38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6"/>
            <w:tcBorders/>
            <w:tcMar>
              <w:top w:w="0" w:type="dxa"/>
              <w:left w:w="0" w:type="dxa"/>
              <w:bottom w:w="0" w:type="dxa"/>
              <w:right w:w="0" w:type="dxa"/>
            </w:tcMar>
            <w:vAlign w:val="center"/>
          </w:tcPr>
          <w:p>
            <w:pPr>
              <w:pStyle w:val="TableContents"/>
              <w:bidi w:val="0"/>
              <w:spacing w:lineRule="auto" w:line="240" w:before="0" w:after="0"/>
              <w:ind w:left="0" w:right="0" w:hanging="4320"/>
              <w:jc w:val="left"/>
              <w:rPr>
                <w:rFonts w:ascii="Times New Roman;sans-serif" w:hAnsi="Times New Roman;sans-serif"/>
                <w:b/>
                <w:color w:val="000000"/>
                <w:sz w:val="22"/>
              </w:rPr>
            </w:pPr>
            <w:r>
              <w:rPr>
                <w:rFonts w:ascii="Times New Roman;sans-serif" w:hAnsi="Times New Roman;sans-serif"/>
                <w:b/>
                <w:color w:val="000000"/>
                <w:sz w:val="22"/>
              </w:rPr>
              <w:t>SENTI BIOSCIENCES, INC.</w:t>
            </w:r>
          </w:p>
        </w:tc>
      </w:tr>
      <w:tr>
        <w:trPr/>
        <w:tc>
          <w:tcPr>
            <w:tcW w:w="3828" w:type="dxa"/>
            <w:gridSpan w:val="6"/>
            <w:tcBorders/>
            <w:tcMar>
              <w:top w:w="0" w:type="dxa"/>
              <w:left w:w="0" w:type="dxa"/>
              <w:bottom w:w="0" w:type="dxa"/>
              <w:right w:w="0" w:type="dxa"/>
            </w:tcMar>
            <w:vAlign w:val="center"/>
          </w:tcPr>
          <w:p>
            <w:pPr>
              <w:pStyle w:val="TableContents"/>
              <w:bidi w:val="0"/>
              <w:spacing w:lineRule="auto" w:line="240" w:before="0" w:after="0"/>
              <w:ind w:left="0" w:right="0" w:hanging="4320"/>
              <w:jc w:val="left"/>
              <w:rPr>
                <w:rFonts w:ascii="Times New Roman;sans-serif" w:hAnsi="Times New Roman;sans-serif"/>
                <w:b w:val="false"/>
                <w:color w:val="000000"/>
                <w:sz w:val="22"/>
              </w:rPr>
            </w:pPr>
            <w:r>
              <w:rPr>
                <w:rFonts w:ascii="Times New Roman;sans-serif" w:hAnsi="Times New Roman;sans-serif"/>
                <w:b w:val="false"/>
                <w:color w:val="000000"/>
                <w:sz w:val="22"/>
              </w:rPr>
              <w:t>a Delaware corporation</w:t>
            </w:r>
          </w:p>
        </w:tc>
      </w:tr>
      <w:tr>
        <w:trPr/>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By: </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 Tim Lu</w:t>
            </w:r>
          </w:p>
        </w:tc>
      </w:tr>
      <w:tr>
        <w:trPr/>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Tim Lu, M.D., Ph.D.</w:t>
            </w:r>
          </w:p>
        </w:tc>
      </w:tr>
      <w:tr>
        <w:trPr/>
        <w:tc>
          <w:tcPr>
            <w:tcW w:w="1458" w:type="dxa"/>
            <w:gridSpan w:val="3"/>
            <w:tcBorders/>
            <w:tcMar>
              <w:top w:w="0" w:type="dxa"/>
              <w:left w:w="0" w:type="dxa"/>
              <w:bottom w:w="0" w:type="dxa"/>
              <w:right w:w="0" w:type="dxa"/>
            </w:tcMar>
            <w:vAlign w:val="center"/>
          </w:tcPr>
          <w:p>
            <w:pPr>
              <w:pStyle w:val="TableContents"/>
              <w:bidi w:val="0"/>
              <w:spacing w:lineRule="auto" w:line="240" w:before="0" w:after="0"/>
              <w:ind w:left="0" w:right="0" w:hanging="432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tc>
      </w:tr>
      <w:tr>
        <w:trPr/>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Signature Page to the Seller Economic Share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Signature Page to the Seller Economic Share Agreement</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undersigned has executed this Agreement as of the date first above written.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tbl>
      <w:tblPr>
        <w:tblW w:w="2694" w:type="dxa"/>
        <w:jc w:val="left"/>
        <w:tblInd w:w="0" w:type="dxa"/>
        <w:tblLayout w:type="fixed"/>
        <w:tblCellMar>
          <w:top w:w="28" w:type="dxa"/>
          <w:left w:w="28" w:type="dxa"/>
          <w:bottom w:w="28" w:type="dxa"/>
          <w:right w:w="28" w:type="dxa"/>
        </w:tblCellMar>
      </w:tblPr>
      <w:tblGrid>
        <w:gridCol w:w="378"/>
        <w:gridCol w:w="333"/>
        <w:gridCol w:w="333"/>
        <w:gridCol w:w="480"/>
        <w:gridCol w:w="480"/>
        <w:gridCol w:w="690"/>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269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TopCo:</w:t>
            </w:r>
          </w:p>
        </w:tc>
      </w:tr>
      <w:tr>
        <w:trPr/>
        <w:tc>
          <w:tcPr>
            <w:tcW w:w="26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color w:val="000000"/>
                <w:sz w:val="22"/>
              </w:rPr>
            </w:pPr>
            <w:r>
              <w:rPr>
                <w:rFonts w:ascii="Times New Roman;sans-serif" w:hAnsi="Times New Roman;sans-serif"/>
                <w:b/>
                <w:color w:val="000000"/>
                <w:sz w:val="22"/>
              </w:rPr>
              <w:t>VALERE BIO, INC.</w:t>
            </w:r>
          </w:p>
        </w:tc>
      </w:tr>
      <w:tr>
        <w:trPr/>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By: </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 Donald Tang</w:t>
            </w:r>
          </w:p>
        </w:tc>
      </w:tr>
      <w:tr>
        <w:trPr/>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Donald Tang</w:t>
            </w:r>
          </w:p>
        </w:tc>
      </w:tr>
      <w:tr>
        <w:trPr/>
        <w:tc>
          <w:tcPr>
            <w:tcW w:w="1044" w:type="dxa"/>
            <w:gridSpan w:val="3"/>
            <w:tcBorders/>
            <w:tcMar>
              <w:top w:w="0" w:type="dxa"/>
              <w:left w:w="0" w:type="dxa"/>
              <w:bottom w:w="0" w:type="dxa"/>
              <w:right w:w="0" w:type="dxa"/>
            </w:tcMar>
            <w:vAlign w:val="center"/>
          </w:tcPr>
          <w:p>
            <w:pPr>
              <w:pStyle w:val="TableContents"/>
              <w:bidi w:val="0"/>
              <w:spacing w:lineRule="auto" w:line="240" w:before="0" w:after="0"/>
              <w:ind w:left="0" w:right="0" w:hanging="432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President</w:t>
            </w:r>
          </w:p>
        </w:tc>
      </w:tr>
      <w:tr>
        <w:trPr/>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2"/>
        </w:rPr>
        <w:t>In Witness Whereof,</w:t>
      </w:r>
      <w:r>
        <w:rPr>
          <w:color w:val="000000"/>
        </w:rPr>
        <w:t xml:space="preserve"> </w:t>
      </w:r>
      <w:r>
        <w:rPr>
          <w:rFonts w:ascii="Times New Roman;sans-serif" w:hAnsi="Times New Roman;sans-serif"/>
          <w:b w:val="false"/>
          <w:color w:val="000000"/>
          <w:sz w:val="22"/>
        </w:rPr>
        <w:t>the undersigned has executed this Agreement as of the date first above written.</w:t>
      </w:r>
    </w:p>
    <w:p>
      <w:pPr>
        <w:pStyle w:val="TextBody"/>
        <w:bidi w:val="0"/>
        <w:spacing w:before="0" w:after="240"/>
        <w:jc w:val="both"/>
        <w:rPr/>
      </w:pPr>
      <w:r>
        <w:rPr/>
      </w:r>
    </w:p>
    <w:p>
      <w:pPr>
        <w:pStyle w:val="TextBody"/>
        <w:bidi w:val="0"/>
        <w:spacing w:before="0" w:after="0"/>
        <w:jc w:val="both"/>
        <w:rPr/>
      </w:pPr>
      <w:r>
        <w:rPr/>
      </w:r>
    </w:p>
    <w:p>
      <w:pPr>
        <w:pStyle w:val="TextBody"/>
        <w:bidi w:val="0"/>
        <w:spacing w:before="0" w:after="0"/>
        <w:jc w:val="left"/>
        <w:rPr/>
      </w:pPr>
      <w:r>
        <w:rPr/>
      </w:r>
    </w:p>
    <w:tbl>
      <w:tblPr>
        <w:tblW w:w="2692" w:type="dxa"/>
        <w:jc w:val="left"/>
        <w:tblInd w:w="0" w:type="dxa"/>
        <w:tblLayout w:type="fixed"/>
        <w:tblCellMar>
          <w:top w:w="28" w:type="dxa"/>
          <w:left w:w="28" w:type="dxa"/>
          <w:bottom w:w="28" w:type="dxa"/>
          <w:right w:w="28" w:type="dxa"/>
        </w:tblCellMar>
      </w:tblPr>
      <w:tblGrid>
        <w:gridCol w:w="380"/>
        <w:gridCol w:w="331"/>
        <w:gridCol w:w="331"/>
        <w:gridCol w:w="476"/>
        <w:gridCol w:w="476"/>
        <w:gridCol w:w="698"/>
      </w:tblGrid>
      <w:tr>
        <w:trPr/>
        <w:tc>
          <w:tcPr>
            <w:tcW w:w="38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269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Purchaser:</w:t>
            </w:r>
          </w:p>
        </w:tc>
      </w:tr>
      <w:tr>
        <w:trPr/>
        <w:tc>
          <w:tcPr>
            <w:tcW w:w="26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2"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color w:val="000000"/>
                <w:sz w:val="22"/>
              </w:rPr>
            </w:pPr>
            <w:r>
              <w:rPr>
                <w:rFonts w:ascii="Times New Roman;sans-serif" w:hAnsi="Times New Roman;sans-serif"/>
                <w:b/>
                <w:color w:val="000000"/>
                <w:sz w:val="22"/>
              </w:rPr>
              <w:t>GENEFAB, LLC</w:t>
            </w:r>
          </w:p>
        </w:tc>
      </w:tr>
      <w:tr>
        <w:trPr/>
        <w:tc>
          <w:tcPr>
            <w:tcW w:w="2692" w:type="dxa"/>
            <w:gridSpan w:val="6"/>
            <w:tcBorders/>
            <w:tcMar>
              <w:top w:w="0" w:type="dxa"/>
              <w:left w:w="0" w:type="dxa"/>
              <w:bottom w:w="0" w:type="dxa"/>
              <w:right w:w="0" w:type="dxa"/>
            </w:tcMar>
            <w:vAlign w:val="center"/>
          </w:tcPr>
          <w:p>
            <w:pPr>
              <w:pStyle w:val="TableContents"/>
              <w:bidi w:val="0"/>
              <w:spacing w:lineRule="auto" w:line="240"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By its sole member:</w:t>
            </w:r>
          </w:p>
        </w:tc>
      </w:tr>
      <w:tr>
        <w:trPr/>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2"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color w:val="000000"/>
                <w:sz w:val="22"/>
              </w:rPr>
            </w:pPr>
            <w:r>
              <w:rPr>
                <w:rFonts w:ascii="Times New Roman;sans-serif" w:hAnsi="Times New Roman;sans-serif"/>
                <w:b/>
                <w:color w:val="000000"/>
                <w:sz w:val="22"/>
              </w:rPr>
              <w:t>VALERE BIO, INC.</w:t>
            </w:r>
          </w:p>
        </w:tc>
      </w:tr>
      <w:tr>
        <w:trPr/>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By: </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 Donald Tang</w:t>
            </w:r>
          </w:p>
        </w:tc>
      </w:tr>
      <w:tr>
        <w:trPr/>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Donald Tang</w:t>
            </w:r>
          </w:p>
        </w:tc>
      </w:tr>
      <w:tr>
        <w:trPr/>
        <w:tc>
          <w:tcPr>
            <w:tcW w:w="1042" w:type="dxa"/>
            <w:gridSpan w:val="3"/>
            <w:tcBorders/>
            <w:tcMar>
              <w:top w:w="0" w:type="dxa"/>
              <w:left w:w="0" w:type="dxa"/>
              <w:bottom w:w="0" w:type="dxa"/>
              <w:right w:w="0" w:type="dxa"/>
            </w:tcMar>
            <w:vAlign w:val="center"/>
          </w:tcPr>
          <w:p>
            <w:pPr>
              <w:pStyle w:val="TableContents"/>
              <w:bidi w:val="0"/>
              <w:spacing w:lineRule="auto" w:line="240" w:before="0" w:after="0"/>
              <w:ind w:left="0" w:right="0" w:hanging="432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President</w:t>
            </w:r>
          </w:p>
        </w:tc>
      </w:tr>
      <w:tr>
        <w:trPr/>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40" w:before="0" w:after="0"/>
        <w:jc w:val="center"/>
        <w:rPr>
          <w:color w:val="000000"/>
        </w:rPr>
      </w:pPr>
      <w:r>
        <w:rPr>
          <w:color w:val="000000"/>
        </w:rPr>
        <w:t>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Schedule 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w:t>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
        <w:jc w:val="right"/>
        <w:rPr/>
      </w:pPr>
      <w:r>
        <w:rPr/>
      </w:r>
    </w:p>
    <w:p>
      <w:pPr>
        <w:pStyle w:val="TextBody"/>
        <w:bidi w:val="0"/>
        <w:spacing w:lineRule="auto" w:line="240"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300" w:before="0" w:after="2"/>
        <w:jc w:val="center"/>
        <w:rPr>
          <w:rFonts w:ascii="Times New Roman;sans-serif" w:hAnsi="Times New Roman;sans-serif"/>
          <w:b/>
          <w:color w:val="000000"/>
          <w:sz w:val="22"/>
        </w:rPr>
      </w:pPr>
      <w:r>
        <w:rPr>
          <w:rFonts w:ascii="Times New Roman;sans-serif" w:hAnsi="Times New Roman;sans-serif"/>
          <w:b/>
          <w:color w:val="000000"/>
          <w:sz w:val="22"/>
        </w:rPr>
        <w:t>DEVELOPMENT AND MANUFACTURING SERVICES AGREEMENT</w:t>
      </w:r>
    </w:p>
    <w:p>
      <w:pPr>
        <w:pStyle w:val="TextBody"/>
        <w:bidi w:val="0"/>
        <w:spacing w:before="0" w:after="2"/>
        <w:jc w:val="center"/>
        <w:rPr/>
      </w:pPr>
      <w:r>
        <w:rPr/>
      </w:r>
    </w:p>
    <w:p>
      <w:pPr>
        <w:pStyle w:val="TextBody"/>
        <w:bidi w:val="0"/>
        <w:spacing w:lineRule="auto" w:line="240" w:before="120" w:after="283"/>
        <w:ind w:left="0" w:right="0" w:firstLine="720"/>
        <w:jc w:val="both"/>
        <w:rPr/>
      </w:pPr>
      <w:r>
        <w:rPr>
          <w:rFonts w:ascii="Times New Roman;sans-serif" w:hAnsi="Times New Roman;sans-serif"/>
          <w:b/>
          <w:color w:val="000000"/>
          <w:sz w:val="22"/>
        </w:rPr>
        <w:t>THIS DEVELOPMENT AND MANUFACTURING SERVICES AGREEMENT</w:t>
      </w:r>
      <w:r>
        <w:rPr>
          <w:color w:val="000000"/>
        </w:rPr>
        <w:t xml:space="preserve"> </w:t>
      </w:r>
      <w:r>
        <w:rPr>
          <w:rFonts w:ascii="Times New Roman;sans-serif" w:hAnsi="Times New Roman;sans-serif"/>
          <w:b w:val="false"/>
          <w:color w:val="000000"/>
          <w:sz w:val="22"/>
        </w:rPr>
        <w:t>(this “Agreement”) is made as of August 7, 2023 (the “</w:t>
      </w:r>
      <w:r>
        <w:rPr>
          <w:rFonts w:ascii="Times New Roman;sans-serif" w:hAnsi="Times New Roman;sans-serif"/>
          <w:b/>
          <w:color w:val="000000"/>
          <w:sz w:val="22"/>
        </w:rPr>
        <w:t>Effective Date</w:t>
      </w:r>
      <w:r>
        <w:rPr>
          <w:color w:val="000000"/>
        </w:rPr>
        <w:t>”</w:t>
      </w:r>
      <w:r>
        <w:rPr>
          <w:rFonts w:ascii="Times New Roman;sans-serif" w:hAnsi="Times New Roman;sans-serif"/>
          <w:b w:val="false"/>
          <w:color w:val="000000"/>
          <w:sz w:val="22"/>
        </w:rPr>
        <w:t>) by and between GeneFab, LLC, a Delaware limited company (“</w:t>
      </w:r>
      <w:r>
        <w:rPr>
          <w:rFonts w:ascii="Times New Roman;sans-serif" w:hAnsi="Times New Roman;sans-serif"/>
          <w:b/>
          <w:color w:val="000000"/>
          <w:sz w:val="22"/>
        </w:rPr>
        <w:t>Provider</w:t>
      </w:r>
      <w:r>
        <w:rPr>
          <w:color w:val="000000"/>
        </w:rPr>
        <w:t>”</w:t>
      </w:r>
      <w:r>
        <w:rPr>
          <w:rFonts w:ascii="Times New Roman;sans-serif" w:hAnsi="Times New Roman;sans-serif"/>
          <w:b w:val="false"/>
          <w:color w:val="000000"/>
          <w:sz w:val="22"/>
        </w:rPr>
        <w:t>), with offices at 1101 Marina Village Parkway, Suite 201, Alameda, CA 94502, and Senti Biosciences, Inc., a Delaware corporation (“</w:t>
      </w:r>
      <w:r>
        <w:rPr>
          <w:rFonts w:ascii="Times New Roman;sans-serif" w:hAnsi="Times New Roman;sans-serif"/>
          <w:b/>
          <w:color w:val="000000"/>
          <w:sz w:val="22"/>
        </w:rPr>
        <w:t>Senti</w:t>
      </w:r>
      <w:r>
        <w:rPr>
          <w:color w:val="000000"/>
        </w:rPr>
        <w:t>”</w:t>
      </w:r>
      <w:r>
        <w:rPr>
          <w:rFonts w:ascii="Times New Roman;sans-serif" w:hAnsi="Times New Roman;sans-serif"/>
          <w:b w:val="false"/>
          <w:color w:val="000000"/>
          <w:sz w:val="22"/>
        </w:rPr>
        <w:t>), with offices at 2 Corporate Drive, First Floor, South San Francisco, CA 94080. Provider and Senti are sometimes referred to herein individually as a “</w:t>
      </w:r>
      <w:r>
        <w:rPr>
          <w:rFonts w:ascii="Times New Roman;sans-serif" w:hAnsi="Times New Roman;sans-serif"/>
          <w:b/>
          <w:color w:val="000000"/>
          <w:sz w:val="22"/>
        </w:rPr>
        <w:t>Party</w:t>
      </w:r>
      <w:r>
        <w:rPr>
          <w:color w:val="000000"/>
        </w:rPr>
        <w:t xml:space="preserve">” </w:t>
      </w:r>
      <w:r>
        <w:rPr>
          <w:rFonts w:ascii="Times New Roman;sans-serif" w:hAnsi="Times New Roman;sans-serif"/>
          <w:b w:val="false"/>
          <w:color w:val="000000"/>
          <w:sz w:val="22"/>
        </w:rPr>
        <w:t>and collectively as the “</w:t>
      </w:r>
      <w:r>
        <w:rPr>
          <w:rFonts w:ascii="Times New Roman;sans-serif" w:hAnsi="Times New Roman;sans-serif"/>
          <w:b/>
          <w:color w:val="000000"/>
          <w:sz w:val="22"/>
        </w:rPr>
        <w:t>Parties</w:t>
      </w:r>
      <w:r>
        <w:rPr>
          <w:rFonts w:ascii="Times New Roman;sans-serif" w:hAnsi="Times New Roman;sans-serif"/>
          <w:b w:val="false"/>
          <w:color w:val="000000"/>
          <w:sz w:val="22"/>
        </w:rPr>
        <w:t xml:space="preserve">.” </w:t>
      </w:r>
    </w:p>
    <w:p>
      <w:pPr>
        <w:pStyle w:val="TextBody"/>
        <w:bidi w:val="0"/>
        <w:spacing w:lineRule="auto" w:line="240" w:before="120" w:after="283"/>
        <w:jc w:val="center"/>
        <w:rPr>
          <w:rFonts w:ascii="Times New Roman;sans-serif" w:hAnsi="Times New Roman;sans-serif"/>
          <w:b/>
          <w:color w:val="000000"/>
          <w:sz w:val="22"/>
        </w:rPr>
      </w:pPr>
      <w:r>
        <w:rPr>
          <w:rFonts w:ascii="Times New Roman;sans-serif" w:hAnsi="Times New Roman;sans-serif"/>
          <w:b/>
          <w:color w:val="000000"/>
          <w:sz w:val="22"/>
        </w:rPr>
        <w:t>RECITALS</w:t>
      </w:r>
    </w:p>
    <w:p>
      <w:pPr>
        <w:pStyle w:val="TextBody"/>
        <w:bidi w:val="0"/>
        <w:spacing w:lineRule="auto" w:line="240" w:before="120" w:after="283"/>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xml:space="preserve">, Senti is a biotechnology company that leverages its proprietary gene circuit technology platform to enable the development of “smart” next-gen cell and gene therapies; </w:t>
      </w:r>
    </w:p>
    <w:p>
      <w:pPr>
        <w:pStyle w:val="TextBody"/>
        <w:bidi w:val="0"/>
        <w:spacing w:lineRule="auto" w:line="240" w:before="120" w:after="283"/>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xml:space="preserve">, Provider provides contract development and manufacturing services to the biopharmaceutical industry; </w:t>
      </w:r>
    </w:p>
    <w:p>
      <w:pPr>
        <w:pStyle w:val="TextBody"/>
        <w:bidi w:val="0"/>
        <w:spacing w:lineRule="auto" w:line="240" w:before="120" w:after="283"/>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on the Effective Date, the Parties are entering into a Framework Agreement (the “</w:t>
      </w:r>
      <w:r>
        <w:rPr>
          <w:rFonts w:ascii="Times New Roman;sans-serif" w:hAnsi="Times New Roman;sans-serif"/>
          <w:b/>
          <w:color w:val="000000"/>
          <w:sz w:val="22"/>
        </w:rPr>
        <w:t>Framework Agreement</w:t>
      </w:r>
      <w:r>
        <w:rPr>
          <w:color w:val="000000"/>
        </w:rPr>
        <w:t>”</w:t>
      </w:r>
      <w:r>
        <w:rPr>
          <w:rFonts w:ascii="Times New Roman;sans-serif" w:hAnsi="Times New Roman;sans-serif"/>
          <w:b w:val="false"/>
          <w:color w:val="000000"/>
          <w:sz w:val="22"/>
        </w:rPr>
        <w:t xml:space="preserve">), pursuant to which Senti agreed to sublease to Provider the entirety of the premises under its lease for the Alameda Facility, and to subsequently assign the lease in accordance with the terms of the Framework Agreement, and the Parties agreed that Provider will provide contract development and manufacturing services to Senti at the Alameda Facility, as a primary preferred service provider to Senti, in accordance with the terms of this Agreement; </w:t>
      </w:r>
    </w:p>
    <w:p>
      <w:pPr>
        <w:pStyle w:val="TextBody"/>
        <w:bidi w:val="0"/>
        <w:spacing w:lineRule="auto" w:line="240" w:before="120" w:after="283"/>
        <w:ind w:left="0" w:right="0" w:firstLine="720"/>
        <w:jc w:val="both"/>
        <w:rPr/>
      </w:pPr>
      <w:r>
        <w:rPr>
          <w:rFonts w:ascii="Times New Roman;sans-serif" w:hAnsi="Times New Roman;sans-serif"/>
          <w:b/>
          <w:color w:val="000000"/>
          <w:sz w:val="22"/>
        </w:rPr>
        <w:t>NOW THEREFORE</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in consideration of the mutual covenants and premises contained herein and other good and valuable consideration, the sufficiency and receipt of which are hereby acknowledged, the Parties agree as follows:</w:t>
      </w:r>
    </w:p>
    <w:p>
      <w:pPr>
        <w:pStyle w:val="TextBody"/>
        <w:bidi w:val="0"/>
        <w:spacing w:before="120" w:after="283"/>
        <w:ind w:left="0" w:right="0" w:firstLine="720"/>
        <w:jc w:val="both"/>
        <w:rPr/>
      </w:pPr>
      <w:r>
        <w:rPr/>
      </w:r>
    </w:p>
    <w:p>
      <w:pPr>
        <w:pStyle w:val="TextBody"/>
        <w:bidi w:val="0"/>
        <w:spacing w:lineRule="auto" w:line="240" w:before="480" w:after="240"/>
        <w:ind w:left="0" w:right="0" w:hanging="360"/>
        <w:jc w:val="both"/>
        <w:rPr/>
      </w:pPr>
      <w:r>
        <w:rPr>
          <w:rFonts w:ascii="Times New Roman;sans-serif" w:hAnsi="Times New Roman;sans-serif"/>
          <w:b/>
          <w:color w:val="000000"/>
          <w:sz w:val="22"/>
        </w:rPr>
        <w:t xml:space="preserve">1.    DEFINITIONS. </w:t>
      </w:r>
      <w:r>
        <w:rPr>
          <w:rFonts w:ascii="Times New Roman;sans-serif" w:hAnsi="Times New Roman;sans-serif"/>
          <w:b w:val="false"/>
          <w:color w:val="000000"/>
          <w:sz w:val="22"/>
        </w:rPr>
        <w:t>Terms defined elsewhere in this Agreement will have the meanings set forth therein for all purposes of this Agreement unless otherwise specified to the contrary. The following terms will have the meaning set forth below in this Section 1 (Definitions), with grammatical variations having corresponding meanings:</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    “</w:t>
      </w:r>
      <w:r>
        <w:rPr>
          <w:rFonts w:ascii="Times New Roman;sans-serif" w:hAnsi="Times New Roman;sans-serif"/>
          <w:b/>
          <w:color w:val="000000"/>
          <w:sz w:val="22"/>
        </w:rPr>
        <w:t>Activity Addition Date</w:t>
      </w:r>
      <w:r>
        <w:rPr>
          <w:color w:val="000000"/>
        </w:rPr>
        <w:t xml:space="preserve">” </w:t>
      </w:r>
      <w:r>
        <w:rPr>
          <w:rFonts w:ascii="Times New Roman;sans-serif" w:hAnsi="Times New Roman;sans-serif"/>
          <w:b w:val="false"/>
          <w:color w:val="000000"/>
          <w:sz w:val="22"/>
        </w:rPr>
        <w:t>is defined in Section 2.4.5.</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1.2.    “</w:t>
      </w:r>
      <w:r>
        <w:rPr>
          <w:rFonts w:ascii="Times New Roman;sans-serif" w:hAnsi="Times New Roman;sans-serif"/>
          <w:b/>
          <w:color w:val="000000"/>
          <w:sz w:val="22"/>
        </w:rPr>
        <w:t>Affiliate</w:t>
      </w:r>
      <w:r>
        <w:rPr>
          <w:color w:val="000000"/>
        </w:rPr>
        <w:t xml:space="preserve">” </w:t>
      </w:r>
      <w:r>
        <w:rPr>
          <w:rFonts w:ascii="Times New Roman;sans-serif" w:hAnsi="Times New Roman;sans-serif"/>
          <w:b w:val="false"/>
          <w:color w:val="000000"/>
          <w:sz w:val="22"/>
        </w:rPr>
        <w:t>means, with respect to a Party, any Person that controls, is controlled by or is under common control with such Party during the period for which the determination of affiliation is being made; where “control” means (a) in the case of corporate entities, direct or indirect ownership of fifty percent (50%) or more of the stock or shares having the right to vote for the election of directors (or such lesser percentage that is the maximum allowed to be owned by a foreign corporation in a particular jurisdiction), and (b) in the case of non-corporate entities, the direct or indirect power to direct, or cause the direction of, the management and policies of the non-corporate entity or the power to elect or appoint at least fifty percent (50%) of the members of the governing body of such non-corporate entity.</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1.3.    “</w:t>
      </w:r>
      <w:r>
        <w:rPr>
          <w:rFonts w:ascii="Times New Roman;sans-serif" w:hAnsi="Times New Roman;sans-serif"/>
          <w:b/>
          <w:color w:val="000000"/>
          <w:sz w:val="22"/>
        </w:rPr>
        <w:t>Alameda Facility</w:t>
      </w:r>
      <w:r>
        <w:rPr>
          <w:color w:val="000000"/>
        </w:rPr>
        <w:t xml:space="preserve">” </w:t>
      </w:r>
      <w:r>
        <w:rPr>
          <w:rFonts w:ascii="Times New Roman;sans-serif" w:hAnsi="Times New Roman;sans-serif"/>
          <w:b w:val="false"/>
          <w:color w:val="000000"/>
          <w:sz w:val="22"/>
        </w:rPr>
        <w:t>means the manufacturing facility that is leased to Senti, or to Provider upon assignment of the lease to Provider, and located at 1430 Harbor Bay Parkway, Alameda, California, as more particularly described in the Framework Agreement.</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1.4.    “</w:t>
      </w:r>
      <w:r>
        <w:rPr>
          <w:rFonts w:ascii="Times New Roman;sans-serif" w:hAnsi="Times New Roman;sans-serif"/>
          <w:b/>
          <w:color w:val="000000"/>
          <w:sz w:val="22"/>
        </w:rPr>
        <w:t>Ancillary Agreements</w:t>
      </w:r>
      <w:r>
        <w:rPr>
          <w:color w:val="000000"/>
        </w:rPr>
        <w:t xml:space="preserve">” </w:t>
      </w:r>
      <w:r>
        <w:rPr>
          <w:rFonts w:ascii="Times New Roman;sans-serif" w:hAnsi="Times New Roman;sans-serif"/>
          <w:b w:val="false"/>
          <w:color w:val="000000"/>
          <w:sz w:val="22"/>
        </w:rPr>
        <w:t>is defined in the Framework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335915"/>
                <wp:effectExtent l="0" t="0" r="0" b="0"/>
                <wp:wrapNone/>
                <wp:docPr id="200" name="Frame20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1.5.    “</w:t>
      </w:r>
      <w:r>
        <w:rPr>
          <w:rFonts w:ascii="Times New Roman;sans-serif" w:hAnsi="Times New Roman;sans-serif"/>
          <w:b/>
          <w:color w:val="000000"/>
          <w:sz w:val="22"/>
        </w:rPr>
        <w:t>Anti-Corruption Laws</w:t>
      </w:r>
      <w:r>
        <w:rPr>
          <w:color w:val="000000"/>
        </w:rPr>
        <w:t xml:space="preserve">” </w:t>
      </w:r>
      <w:r>
        <w:rPr>
          <w:rFonts w:ascii="Times New Roman;sans-serif" w:hAnsi="Times New Roman;sans-serif"/>
          <w:b w:val="false"/>
          <w:color w:val="000000"/>
          <w:sz w:val="22"/>
        </w:rPr>
        <w:t>is defined in Section 11.9 (Anti-Corruption Laws).</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1.6.    “</w:t>
      </w:r>
      <w:r>
        <w:rPr>
          <w:rFonts w:ascii="Times New Roman;sans-serif" w:hAnsi="Times New Roman;sans-serif"/>
          <w:b/>
          <w:color w:val="000000"/>
          <w:sz w:val="22"/>
        </w:rPr>
        <w:t>Asserted Market Rate</w:t>
      </w:r>
      <w:r>
        <w:rPr>
          <w:color w:val="000000"/>
        </w:rPr>
        <w:t xml:space="preserve">” </w:t>
      </w:r>
      <w:r>
        <w:rPr>
          <w:rFonts w:ascii="Times New Roman;sans-serif" w:hAnsi="Times New Roman;sans-serif"/>
          <w:b w:val="false"/>
          <w:color w:val="000000"/>
          <w:sz w:val="22"/>
        </w:rPr>
        <w:t xml:space="preserve">is defined in Section 2.4.4.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1.7.    “</w:t>
      </w:r>
      <w:r>
        <w:rPr>
          <w:rFonts w:ascii="Times New Roman;sans-serif" w:hAnsi="Times New Roman;sans-serif"/>
          <w:b/>
          <w:color w:val="000000"/>
          <w:sz w:val="22"/>
        </w:rPr>
        <w:t>Batch</w:t>
      </w:r>
      <w:r>
        <w:rPr>
          <w:color w:val="000000"/>
        </w:rPr>
        <w:t xml:space="preserve">” </w:t>
      </w:r>
      <w:r>
        <w:rPr>
          <w:rFonts w:ascii="Times New Roman;sans-serif" w:hAnsi="Times New Roman;sans-serif"/>
          <w:b w:val="false"/>
          <w:color w:val="000000"/>
          <w:sz w:val="22"/>
        </w:rPr>
        <w:t>means a quantity of Product that is intended to be of uniform character and quality, within limits specified in the relevant Purchase Order, SoW, Quality Agreement or specifications documents provided by Senti, and is produced in a single cycle of Manufacture in accordance with the applicable Batch Documentation.</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1.8.    “</w:t>
      </w:r>
      <w:r>
        <w:rPr>
          <w:rFonts w:ascii="Times New Roman;sans-serif" w:hAnsi="Times New Roman;sans-serif"/>
          <w:b/>
          <w:color w:val="000000"/>
          <w:sz w:val="22"/>
        </w:rPr>
        <w:t>Batch Documentation</w:t>
      </w:r>
      <w:r>
        <w:rPr>
          <w:color w:val="000000"/>
        </w:rPr>
        <w:t xml:space="preserve">” </w:t>
      </w:r>
      <w:r>
        <w:rPr>
          <w:rFonts w:ascii="Times New Roman;sans-serif" w:hAnsi="Times New Roman;sans-serif"/>
          <w:b w:val="false"/>
          <w:color w:val="000000"/>
          <w:sz w:val="22"/>
        </w:rPr>
        <w:t>means the documentation generated by or on behalf of Provider for each Batch Manufactured by or on behalf of Provider.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1.9.    “</w:t>
      </w:r>
      <w:r>
        <w:rPr>
          <w:rFonts w:ascii="Times New Roman;sans-serif" w:hAnsi="Times New Roman;sans-serif"/>
          <w:b/>
          <w:color w:val="000000"/>
          <w:sz w:val="22"/>
        </w:rPr>
        <w:t>Batch Price</w:t>
      </w:r>
      <w:r>
        <w:rPr>
          <w:color w:val="000000"/>
        </w:rPr>
        <w:t xml:space="preserve">” </w:t>
      </w:r>
      <w:r>
        <w:rPr>
          <w:rFonts w:ascii="Times New Roman;sans-serif" w:hAnsi="Times New Roman;sans-serif"/>
          <w:b w:val="false"/>
          <w:color w:val="000000"/>
          <w:sz w:val="22"/>
        </w:rPr>
        <w:t xml:space="preserve">means the Service Fees associated [***] each Batch of Product, as provided in the applicable Statement of Work and as may be adjusted from time to time in accordance with this Agreement or the applicable Statement of Work.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1.10.    “</w:t>
      </w:r>
      <w:r>
        <w:rPr>
          <w:rFonts w:ascii="Times New Roman;sans-serif" w:hAnsi="Times New Roman;sans-serif"/>
          <w:b/>
          <w:color w:val="000000"/>
          <w:sz w:val="22"/>
        </w:rPr>
        <w:t>Batch Record</w:t>
      </w:r>
      <w:r>
        <w:rPr>
          <w:color w:val="000000"/>
        </w:rPr>
        <w:t xml:space="preserve">” </w:t>
      </w:r>
      <w:r>
        <w:rPr>
          <w:rFonts w:ascii="Times New Roman;sans-serif" w:hAnsi="Times New Roman;sans-serif"/>
          <w:b w:val="false"/>
          <w:color w:val="000000"/>
          <w:sz w:val="22"/>
        </w:rPr>
        <w:t>means the manufacturing record for a Batch generated by or on behalf of Provider or its Affiliates concurrently with the production of a specific Batch such that successive steps in such processes are documented. The Batch Record is an accurate reproduction of the appropriate Master Batch Record and documents each significant step in the manufacturing process.</w:t>
      </w:r>
    </w:p>
    <w:p>
      <w:pPr>
        <w:pStyle w:val="TextBody"/>
        <w:bidi w:val="0"/>
        <w:spacing w:lineRule="auto" w:line="240" w:before="0" w:after="240"/>
        <w:ind w:left="0" w:right="0" w:hanging="144"/>
        <w:jc w:val="both"/>
        <w:rPr>
          <w:rFonts w:ascii="Times New Roman;sans-serif" w:hAnsi="Times New Roman;sans-serif"/>
          <w:b w:val="false"/>
          <w:color w:val="000000"/>
          <w:sz w:val="22"/>
        </w:rPr>
      </w:pPr>
      <w:r>
        <w:rPr>
          <w:rFonts w:ascii="Times New Roman;sans-serif" w:hAnsi="Times New Roman;sans-serif"/>
          <w:b w:val="false"/>
          <w:color w:val="000000"/>
          <w:sz w:val="22"/>
        </w:rPr>
        <w:t>1.11.    [***]</w:t>
      </w:r>
    </w:p>
    <w:p>
      <w:pPr>
        <w:pStyle w:val="TextBody"/>
        <w:bidi w:val="0"/>
        <w:spacing w:lineRule="auto" w:line="240" w:before="0" w:after="240"/>
        <w:ind w:left="0" w:right="0" w:hanging="144"/>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1.12.    [***] is defined in Section 7.2.2 (Prepayment). </w:t>
      </w:r>
    </w:p>
    <w:p>
      <w:pPr>
        <w:pStyle w:val="TextBody"/>
        <w:bidi w:val="0"/>
        <w:spacing w:lineRule="auto" w:line="240" w:before="0" w:after="240"/>
        <w:ind w:left="0" w:right="0" w:hanging="144"/>
        <w:jc w:val="both"/>
        <w:rPr>
          <w:rFonts w:ascii="Times New Roman;sans-serif" w:hAnsi="Times New Roman;sans-serif"/>
          <w:b w:val="false"/>
          <w:color w:val="000000"/>
          <w:sz w:val="22"/>
        </w:rPr>
      </w:pPr>
      <w:r>
        <w:rPr>
          <w:rFonts w:ascii="Times New Roman;sans-serif" w:hAnsi="Times New Roman;sans-serif"/>
          <w:b w:val="false"/>
          <w:color w:val="000000"/>
          <w:sz w:val="22"/>
        </w:rPr>
        <w:t>1.13.    [***] is defined in Section 2.3 (Initial Statements of Work).</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1.14.    “</w:t>
      </w:r>
      <w:r>
        <w:rPr>
          <w:rFonts w:ascii="Times New Roman;sans-serif" w:hAnsi="Times New Roman;sans-serif"/>
          <w:b/>
          <w:color w:val="000000"/>
          <w:sz w:val="22"/>
        </w:rPr>
        <w:t>Business Day</w:t>
      </w:r>
      <w:r>
        <w:rPr>
          <w:color w:val="000000"/>
        </w:rPr>
        <w:t xml:space="preserve">” </w:t>
      </w:r>
      <w:r>
        <w:rPr>
          <w:rFonts w:ascii="Times New Roman;sans-serif" w:hAnsi="Times New Roman;sans-serif"/>
          <w:b w:val="false"/>
          <w:color w:val="000000"/>
          <w:sz w:val="22"/>
        </w:rPr>
        <w:t xml:space="preserve">means any day other than a Saturday, a Sunday or a day on which banks in San Francisco, California and Hong Kong Special Administrative Region are authorized or obligated by Laws to close.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1.15.    “</w:t>
      </w:r>
      <w:r>
        <w:rPr>
          <w:rFonts w:ascii="Times New Roman;sans-serif" w:hAnsi="Times New Roman;sans-serif"/>
          <w:b/>
          <w:color w:val="000000"/>
          <w:sz w:val="22"/>
        </w:rPr>
        <w:t>Cancellation Fees</w:t>
      </w:r>
      <w:r>
        <w:rPr>
          <w:color w:val="000000"/>
        </w:rPr>
        <w:t xml:space="preserve">” </w:t>
      </w:r>
      <w:r>
        <w:rPr>
          <w:rFonts w:ascii="Times New Roman;sans-serif" w:hAnsi="Times New Roman;sans-serif"/>
          <w:b w:val="false"/>
          <w:color w:val="000000"/>
          <w:sz w:val="22"/>
        </w:rPr>
        <w:t>is defined in Section 5.5.1(a) (Cancellation Fees).</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1.16.    “</w:t>
      </w:r>
      <w:r>
        <w:rPr>
          <w:rFonts w:ascii="Times New Roman;sans-serif" w:hAnsi="Times New Roman;sans-serif"/>
          <w:b/>
          <w:color w:val="000000"/>
          <w:sz w:val="22"/>
        </w:rPr>
        <w:t>Cancellation Notice</w:t>
      </w:r>
      <w:r>
        <w:rPr>
          <w:color w:val="000000"/>
        </w:rPr>
        <w:t xml:space="preserve">” </w:t>
      </w:r>
      <w:r>
        <w:rPr>
          <w:rFonts w:ascii="Times New Roman;sans-serif" w:hAnsi="Times New Roman;sans-serif"/>
          <w:b w:val="false"/>
          <w:color w:val="000000"/>
          <w:sz w:val="22"/>
        </w:rPr>
        <w:t>is defined in Section 5.5 (Cancellation of Services).</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1.17.    “</w:t>
      </w:r>
      <w:r>
        <w:rPr>
          <w:rFonts w:ascii="Times New Roman;sans-serif" w:hAnsi="Times New Roman;sans-serif"/>
          <w:b/>
          <w:color w:val="000000"/>
          <w:sz w:val="22"/>
        </w:rPr>
        <w:t>Certificate of Analysis</w:t>
      </w:r>
      <w:r>
        <w:rPr>
          <w:color w:val="000000"/>
        </w:rPr>
        <w:t xml:space="preserve">” </w:t>
      </w:r>
      <w:r>
        <w:rPr>
          <w:rFonts w:ascii="Times New Roman;sans-serif" w:hAnsi="Times New Roman;sans-serif"/>
          <w:b w:val="false"/>
          <w:color w:val="000000"/>
          <w:sz w:val="22"/>
        </w:rPr>
        <w:t xml:space="preserve">means a document describing the specifications for the applicable Product or material, test methods applied and test results that has been quality reviewed, signed and dated by authorized representatives of the relevant quality organization.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1.18.    “</w:t>
      </w:r>
      <w:r>
        <w:rPr>
          <w:rFonts w:ascii="Times New Roman;sans-serif" w:hAnsi="Times New Roman;sans-serif"/>
          <w:b/>
          <w:color w:val="000000"/>
          <w:sz w:val="22"/>
        </w:rPr>
        <w:t>Change of Control</w:t>
      </w:r>
      <w:r>
        <w:rPr>
          <w:color w:val="000000"/>
        </w:rPr>
        <w:t xml:space="preserve">” </w:t>
      </w:r>
      <w:r>
        <w:rPr>
          <w:rFonts w:ascii="Times New Roman;sans-serif" w:hAnsi="Times New Roman;sans-serif"/>
          <w:b w:val="false"/>
          <w:color w:val="000000"/>
          <w:sz w:val="22"/>
        </w:rPr>
        <w:t xml:space="preserve">means, with respect to a Party, (a) a merger, reorganization, or consolidation of such Party with or into any Third Party, or any other corporate reorganization involving a Third Party, that results in those persons or entities that are stockholders of such Party immediately prior such merger, reorganization, or consolidation owning less than fifty percent (50%) of the surviving entity’s voting power immediately after such merger, reorganization, or consolidation, (b) a change in the legal or beneficial ownership of fifty percent (50%) or more of the combined voting power of the outstanding securities of such Party (whether in a single transaction or series of related transactions), where immediately after giving effect to such change, the legal or beneficial owner of more than fifty percent (50%) of the voting securities of such Party is a Third Party or (c) the sale, transfer, lease, license or other disposition to a Third Party of all or substantially all of such Party’s business or assets to which this Agreement relates in one or a series of related transactions. </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346075"/>
                <wp:effectExtent l="0" t="0" r="0" b="0"/>
                <wp:wrapNone/>
                <wp:docPr id="201" name="Frame201"/>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1.19.    “</w:t>
      </w:r>
      <w:r>
        <w:rPr>
          <w:rFonts w:ascii="Times New Roman;sans-serif" w:hAnsi="Times New Roman;sans-serif"/>
          <w:b/>
          <w:color w:val="000000"/>
          <w:sz w:val="22"/>
        </w:rPr>
        <w:t>Change Order</w:t>
      </w:r>
      <w:r>
        <w:rPr>
          <w:color w:val="000000"/>
        </w:rPr>
        <w:t xml:space="preserve">” </w:t>
      </w:r>
      <w:r>
        <w:rPr>
          <w:rFonts w:ascii="Times New Roman;sans-serif" w:hAnsi="Times New Roman;sans-serif"/>
          <w:b w:val="false"/>
          <w:color w:val="000000"/>
          <w:sz w:val="22"/>
        </w:rPr>
        <w:t xml:space="preserve">means a written agreement, duly executed by an authorized representative of each of the Parties, modifying, reducing or expanding the Services previously authorized in a Statement of Work, as further described in Section 5.7 (Changes to Statements of Work).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1.20.    “</w:t>
      </w:r>
      <w:r>
        <w:rPr>
          <w:rFonts w:ascii="Times New Roman;sans-serif" w:hAnsi="Times New Roman;sans-serif"/>
          <w:b/>
          <w:color w:val="000000"/>
          <w:sz w:val="22"/>
        </w:rPr>
        <w:t>CMC</w:t>
      </w:r>
      <w:r>
        <w:rPr>
          <w:color w:val="000000"/>
        </w:rPr>
        <w:t xml:space="preserve">” </w:t>
      </w:r>
      <w:r>
        <w:rPr>
          <w:rFonts w:ascii="Times New Roman;sans-serif" w:hAnsi="Times New Roman;sans-serif"/>
          <w:b w:val="false"/>
          <w:color w:val="000000"/>
          <w:sz w:val="22"/>
        </w:rPr>
        <w:t xml:space="preserve">means chemistry, manufacturing and controls.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1.21.    “</w:t>
      </w:r>
      <w:r>
        <w:rPr>
          <w:rFonts w:ascii="Times New Roman;sans-serif" w:hAnsi="Times New Roman;sans-serif"/>
          <w:b/>
          <w:color w:val="000000"/>
          <w:sz w:val="22"/>
        </w:rPr>
        <w:t>Commencement Date</w:t>
      </w:r>
      <w:r>
        <w:rPr>
          <w:color w:val="000000"/>
        </w:rPr>
        <w:t xml:space="preserve">” </w:t>
      </w:r>
      <w:r>
        <w:rPr>
          <w:rFonts w:ascii="Times New Roman;sans-serif" w:hAnsi="Times New Roman;sans-serif"/>
          <w:b w:val="false"/>
          <w:color w:val="000000"/>
          <w:sz w:val="22"/>
        </w:rPr>
        <w:t xml:space="preserve">means (a) in respect of the Development Services, the date on which work is scheduled to commence under an applicable stage of work set forth in a Statement of Work; or (b) in respect of the Manufacture of Batches, the date on which Manufacturing activities are to be initiated with respect to any Batch or campaign of Batches, as stated in the relevant Statement of Work, agreed by the Parties in writing (which may be by email) or determined pursuant to Section 5. 2 (Booking).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1.22.    “</w:t>
      </w:r>
      <w:r>
        <w:rPr>
          <w:rFonts w:ascii="Times New Roman;sans-serif" w:hAnsi="Times New Roman;sans-serif"/>
          <w:b/>
          <w:color w:val="000000"/>
          <w:sz w:val="22"/>
        </w:rPr>
        <w:t>Commercially Reasonable Efforts</w:t>
      </w:r>
      <w:r>
        <w:rPr>
          <w:color w:val="000000"/>
        </w:rPr>
        <w:t xml:space="preserve">” </w:t>
      </w:r>
      <w:r>
        <w:rPr>
          <w:rFonts w:ascii="Times New Roman;sans-serif" w:hAnsi="Times New Roman;sans-serif"/>
          <w:b w:val="false"/>
          <w:color w:val="000000"/>
          <w:sz w:val="22"/>
        </w:rPr>
        <w:t>means those efforts typically used by a similarly situated company in the exercise of reasonable commercial judgment under the applicable circumstances, taking into account all relevant business, technical, and scientific factors.</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1.23.    “</w:t>
      </w:r>
      <w:r>
        <w:rPr>
          <w:rFonts w:ascii="Times New Roman;sans-serif" w:hAnsi="Times New Roman;sans-serif"/>
          <w:b/>
          <w:color w:val="000000"/>
          <w:sz w:val="22"/>
        </w:rPr>
        <w:t>Common Materials</w:t>
      </w:r>
      <w:r>
        <w:rPr>
          <w:color w:val="000000"/>
        </w:rPr>
        <w:t xml:space="preserve">” </w:t>
      </w:r>
      <w:r>
        <w:rPr>
          <w:rFonts w:ascii="Times New Roman;sans-serif" w:hAnsi="Times New Roman;sans-serif"/>
          <w:b w:val="false"/>
          <w:color w:val="000000"/>
          <w:sz w:val="22"/>
        </w:rPr>
        <w:t xml:space="preserve">is defined in Section 6.3.2 (Common Materials).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1.24.    “</w:t>
      </w:r>
      <w:r>
        <w:rPr>
          <w:rFonts w:ascii="Times New Roman;sans-serif" w:hAnsi="Times New Roman;sans-serif"/>
          <w:b/>
          <w:color w:val="000000"/>
          <w:sz w:val="22"/>
        </w:rPr>
        <w:t>Compliance Audit</w:t>
      </w:r>
      <w:r>
        <w:rPr>
          <w:color w:val="000000"/>
        </w:rPr>
        <w:t xml:space="preserve">” </w:t>
      </w:r>
      <w:r>
        <w:rPr>
          <w:rFonts w:ascii="Times New Roman;sans-serif" w:hAnsi="Times New Roman;sans-serif"/>
          <w:b w:val="false"/>
          <w:color w:val="000000"/>
          <w:sz w:val="22"/>
        </w:rPr>
        <w:t>is defined in Section 11.6 (Compliance Audit).</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1.25.    “</w:t>
      </w:r>
      <w:r>
        <w:rPr>
          <w:rFonts w:ascii="Times New Roman;sans-serif" w:hAnsi="Times New Roman;sans-serif"/>
          <w:b/>
          <w:color w:val="000000"/>
          <w:sz w:val="22"/>
        </w:rPr>
        <w:t>Compliance Auditor</w:t>
      </w:r>
      <w:r>
        <w:rPr>
          <w:color w:val="000000"/>
        </w:rPr>
        <w:t xml:space="preserve">” </w:t>
      </w:r>
      <w:r>
        <w:rPr>
          <w:rFonts w:ascii="Times New Roman;sans-serif" w:hAnsi="Times New Roman;sans-serif"/>
          <w:b w:val="false"/>
          <w:color w:val="000000"/>
          <w:sz w:val="22"/>
        </w:rPr>
        <w:t xml:space="preserve">is defined in Section 11.6 (Compliance Audit).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1.26.    “</w:t>
      </w:r>
      <w:r>
        <w:rPr>
          <w:rFonts w:ascii="Times New Roman;sans-serif" w:hAnsi="Times New Roman;sans-serif"/>
          <w:b/>
          <w:color w:val="000000"/>
          <w:sz w:val="22"/>
        </w:rPr>
        <w:t>Components</w:t>
      </w:r>
      <w:r>
        <w:rPr>
          <w:color w:val="000000"/>
        </w:rPr>
        <w:t xml:space="preserve">” </w:t>
      </w:r>
      <w:r>
        <w:rPr>
          <w:rFonts w:ascii="Times New Roman;sans-serif" w:hAnsi="Times New Roman;sans-serif"/>
          <w:b w:val="false"/>
          <w:color w:val="000000"/>
          <w:sz w:val="22"/>
        </w:rPr>
        <w:t>means any storage containers, mixing vessels, transfer tubing, formulation and packaging materials, filling components such as product containers, vials, syringes, filters, plungers, stoppers, hoses and packaging, as set forth in a Statement of Work or as otherwise approved in advance by Senti for use in the Manufacturing of a Product by or on behalf of Provider under this Agreement.</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1.27.    “</w:t>
      </w:r>
      <w:r>
        <w:rPr>
          <w:rFonts w:ascii="Times New Roman;sans-serif" w:hAnsi="Times New Roman;sans-serif"/>
          <w:b/>
          <w:color w:val="000000"/>
          <w:sz w:val="22"/>
        </w:rPr>
        <w:t>Confidential Information</w:t>
      </w:r>
      <w:r>
        <w:rPr>
          <w:color w:val="000000"/>
        </w:rPr>
        <w:t xml:space="preserve">” </w:t>
      </w:r>
      <w:r>
        <w:rPr>
          <w:rFonts w:ascii="Times New Roman;sans-serif" w:hAnsi="Times New Roman;sans-serif"/>
          <w:b w:val="false"/>
          <w:color w:val="000000"/>
          <w:sz w:val="22"/>
        </w:rPr>
        <w:t xml:space="preserve">is defined in Section 16.1 (Scope of Confidential Information).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1.28.    “</w:t>
      </w:r>
      <w:r>
        <w:rPr>
          <w:rFonts w:ascii="Times New Roman;sans-serif" w:hAnsi="Times New Roman;sans-serif"/>
          <w:b/>
          <w:color w:val="000000"/>
          <w:sz w:val="22"/>
        </w:rPr>
        <w:t>Credit</w:t>
      </w:r>
      <w:r>
        <w:rPr>
          <w:color w:val="000000"/>
        </w:rPr>
        <w:t xml:space="preserve">” </w:t>
      </w:r>
      <w:r>
        <w:rPr>
          <w:rFonts w:ascii="Times New Roman;sans-serif" w:hAnsi="Times New Roman;sans-serif"/>
          <w:b w:val="false"/>
          <w:color w:val="000000"/>
          <w:sz w:val="22"/>
        </w:rPr>
        <w:t xml:space="preserve">is defined in Section 7.1 (Credit). </w:t>
      </w:r>
    </w:p>
    <w:p>
      <w:pPr>
        <w:pStyle w:val="TextBody"/>
        <w:bidi w:val="0"/>
        <w:spacing w:lineRule="auto" w:line="240" w:before="0" w:after="240"/>
        <w:ind w:left="0" w:right="0" w:hanging="144"/>
        <w:jc w:val="both"/>
        <w:rPr>
          <w:rFonts w:ascii="Times New Roman;sans-serif" w:hAnsi="Times New Roman;sans-serif"/>
          <w:b w:val="false"/>
          <w:color w:val="000000"/>
          <w:sz w:val="22"/>
        </w:rPr>
      </w:pPr>
      <w:r>
        <w:rPr>
          <w:rFonts w:ascii="Times New Roman;sans-serif" w:hAnsi="Times New Roman;sans-serif"/>
          <w:b w:val="false"/>
          <w:color w:val="000000"/>
          <w:sz w:val="22"/>
        </w:rPr>
        <w:t>1.29.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1.30.    “</w:t>
      </w:r>
      <w:r>
        <w:rPr>
          <w:rFonts w:ascii="Times New Roman;sans-serif" w:hAnsi="Times New Roman;sans-serif"/>
          <w:b/>
          <w:color w:val="000000"/>
          <w:sz w:val="22"/>
        </w:rPr>
        <w:t>Dedicated Equipment</w:t>
      </w:r>
      <w:r>
        <w:rPr>
          <w:color w:val="000000"/>
        </w:rPr>
        <w:t xml:space="preserve">” </w:t>
      </w:r>
      <w:r>
        <w:rPr>
          <w:rFonts w:ascii="Times New Roman;sans-serif" w:hAnsi="Times New Roman;sans-serif"/>
          <w:b w:val="false"/>
          <w:color w:val="000000"/>
          <w:sz w:val="22"/>
        </w:rPr>
        <w:t xml:space="preserve">means any and all equipment set forth in </w:t>
      </w:r>
      <w:r>
        <w:rPr>
          <w:rFonts w:ascii="Times New Roman;sans-serif" w:hAnsi="Times New Roman;sans-serif"/>
          <w:b w:val="false"/>
          <w:color w:val="000000"/>
          <w:sz w:val="22"/>
          <w:u w:val="single"/>
        </w:rPr>
        <w:t>Exhibit E</w:t>
      </w:r>
      <w:r>
        <w:rPr>
          <w:color w:val="000000"/>
        </w:rPr>
        <w:t xml:space="preserve"> </w:t>
      </w:r>
      <w:r>
        <w:rPr>
          <w:rFonts w:ascii="Times New Roman;sans-serif" w:hAnsi="Times New Roman;sans-serif"/>
          <w:b w:val="false"/>
          <w:color w:val="000000"/>
          <w:sz w:val="22"/>
        </w:rPr>
        <w:t>or deemed included pursuant to Section 6.4.1 (Acquisition).</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1.31.    “</w:t>
      </w:r>
      <w:r>
        <w:rPr>
          <w:rFonts w:ascii="Times New Roman;sans-serif" w:hAnsi="Times New Roman;sans-serif"/>
          <w:b/>
          <w:color w:val="000000"/>
          <w:sz w:val="22"/>
        </w:rPr>
        <w:t>Dedicated Materials</w:t>
      </w:r>
      <w:r>
        <w:rPr>
          <w:color w:val="000000"/>
        </w:rPr>
        <w:t xml:space="preserve">” </w:t>
      </w:r>
      <w:r>
        <w:rPr>
          <w:rFonts w:ascii="Times New Roman;sans-serif" w:hAnsi="Times New Roman;sans-serif"/>
          <w:b w:val="false"/>
          <w:color w:val="000000"/>
          <w:sz w:val="22"/>
        </w:rPr>
        <w:t xml:space="preserve">is defined in Section 6.3.1 (Dedicated Materials).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1.32.    “</w:t>
      </w:r>
      <w:r>
        <w:rPr>
          <w:rFonts w:ascii="Times New Roman;sans-serif" w:hAnsi="Times New Roman;sans-serif"/>
          <w:b/>
          <w:color w:val="000000"/>
          <w:sz w:val="22"/>
        </w:rPr>
        <w:t>Deliverables</w:t>
      </w:r>
      <w:r>
        <w:rPr>
          <w:color w:val="000000"/>
        </w:rPr>
        <w:t xml:space="preserve">” </w:t>
      </w:r>
      <w:r>
        <w:rPr>
          <w:rFonts w:ascii="Times New Roman;sans-serif" w:hAnsi="Times New Roman;sans-serif"/>
          <w:b w:val="false"/>
          <w:color w:val="000000"/>
          <w:sz w:val="22"/>
        </w:rPr>
        <w:t>means any Product (including an Engineering Batch of Product), reports, Batch Documentation, analytical results, samples of Product and any other information, materials or other tangible item developed by or on behalf of Provider under a Statement of Work, as more particularly set out in the applicable Statement of Work.</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1.33.    “</w:t>
      </w:r>
      <w:r>
        <w:rPr>
          <w:rFonts w:ascii="Times New Roman;sans-serif" w:hAnsi="Times New Roman;sans-serif"/>
          <w:b/>
          <w:color w:val="000000"/>
          <w:sz w:val="22"/>
        </w:rPr>
        <w:t>Development Services</w:t>
      </w:r>
      <w:r>
        <w:rPr>
          <w:color w:val="000000"/>
        </w:rPr>
        <w:t xml:space="preserve">” </w:t>
      </w:r>
      <w:r>
        <w:rPr>
          <w:rFonts w:ascii="Times New Roman;sans-serif" w:hAnsi="Times New Roman;sans-serif"/>
          <w:b w:val="false"/>
          <w:color w:val="000000"/>
          <w:sz w:val="22"/>
        </w:rPr>
        <w:t>means any and all activities relating to process and analytical development, analytical testing, preparation and submission of applications (including any CMC-related information) for Regulatory Approval of a Product, together with other services as agreed upon between the Parties that are to be performed by or on behalf of Provider or its Representatives pursuant to a Statement of Work, but excluding [***] For the avoidance of doubt, Development Services do not include any activities within the Manufacturing of a Product.</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346075"/>
                <wp:effectExtent l="0" t="0" r="0" b="0"/>
                <wp:wrapNone/>
                <wp:docPr id="202" name="Frame202"/>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1.34.    “</w:t>
      </w:r>
      <w:r>
        <w:rPr>
          <w:rFonts w:ascii="Times New Roman;sans-serif" w:hAnsi="Times New Roman;sans-serif"/>
          <w:b/>
          <w:color w:val="000000"/>
          <w:sz w:val="22"/>
        </w:rPr>
        <w:t>Disclosing Party</w:t>
      </w:r>
      <w:r>
        <w:rPr>
          <w:color w:val="000000"/>
        </w:rPr>
        <w:t xml:space="preserve">” </w:t>
      </w:r>
      <w:r>
        <w:rPr>
          <w:rFonts w:ascii="Times New Roman;sans-serif" w:hAnsi="Times New Roman;sans-serif"/>
          <w:b w:val="false"/>
          <w:color w:val="000000"/>
          <w:sz w:val="22"/>
        </w:rPr>
        <w:t>is defined in Section 16.1 (Scope of Confidential Information).</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1.35.    “</w:t>
      </w:r>
      <w:r>
        <w:rPr>
          <w:rFonts w:ascii="Times New Roman;sans-serif" w:hAnsi="Times New Roman;sans-serif"/>
          <w:b/>
          <w:color w:val="000000"/>
          <w:sz w:val="22"/>
        </w:rPr>
        <w:t>Dispute</w:t>
      </w:r>
      <w:r>
        <w:rPr>
          <w:color w:val="000000"/>
        </w:rPr>
        <w:t xml:space="preserve">” </w:t>
      </w:r>
      <w:r>
        <w:rPr>
          <w:rFonts w:ascii="Times New Roman;sans-serif" w:hAnsi="Times New Roman;sans-serif"/>
          <w:b w:val="false"/>
          <w:color w:val="000000"/>
          <w:sz w:val="22"/>
        </w:rPr>
        <w:t>is defined in Section 17.7.2 (Dispute Resolution).</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1.36.    “</w:t>
      </w:r>
      <w:r>
        <w:rPr>
          <w:rFonts w:ascii="Times New Roman;sans-serif" w:hAnsi="Times New Roman;sans-serif"/>
          <w:b/>
          <w:color w:val="000000"/>
          <w:sz w:val="22"/>
        </w:rPr>
        <w:t>EMA</w:t>
      </w:r>
      <w:r>
        <w:rPr>
          <w:color w:val="000000"/>
        </w:rPr>
        <w:t xml:space="preserve">” </w:t>
      </w:r>
      <w:r>
        <w:rPr>
          <w:rFonts w:ascii="Times New Roman;sans-serif" w:hAnsi="Times New Roman;sans-serif"/>
          <w:b w:val="false"/>
          <w:color w:val="000000"/>
          <w:sz w:val="22"/>
        </w:rPr>
        <w:t>means the European Medicines Agency, and any successor agency entity thereof having or performing substantially the same function.</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1.37.    “</w:t>
      </w:r>
      <w:r>
        <w:rPr>
          <w:rFonts w:ascii="Times New Roman;sans-serif" w:hAnsi="Times New Roman;sans-serif"/>
          <w:b/>
          <w:color w:val="000000"/>
          <w:sz w:val="22"/>
        </w:rPr>
        <w:t>Engineering</w:t>
      </w:r>
      <w:r>
        <w:rPr>
          <w:color w:val="000000"/>
        </w:rPr>
        <w:t xml:space="preserve"> </w:t>
      </w:r>
      <w:r>
        <w:rPr>
          <w:rFonts w:ascii="Times New Roman;sans-serif" w:hAnsi="Times New Roman;sans-serif"/>
          <w:b/>
          <w:color w:val="000000"/>
          <w:sz w:val="22"/>
        </w:rPr>
        <w:t>Batch</w:t>
      </w:r>
      <w:r>
        <w:rPr>
          <w:color w:val="000000"/>
        </w:rPr>
        <w:t xml:space="preserve">” </w:t>
      </w:r>
      <w:r>
        <w:rPr>
          <w:rFonts w:ascii="Times New Roman;sans-serif" w:hAnsi="Times New Roman;sans-serif"/>
          <w:b w:val="false"/>
          <w:color w:val="000000"/>
          <w:sz w:val="22"/>
        </w:rPr>
        <w:t xml:space="preserve">is defined in Section 9.3 (Engineering Batches).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1.38.    “</w:t>
      </w:r>
      <w:r>
        <w:rPr>
          <w:rFonts w:ascii="Times New Roman;sans-serif" w:hAnsi="Times New Roman;sans-serif"/>
          <w:b/>
          <w:color w:val="000000"/>
          <w:sz w:val="22"/>
        </w:rPr>
        <w:t>Exception Notice</w:t>
      </w:r>
      <w:r>
        <w:rPr>
          <w:color w:val="000000"/>
        </w:rPr>
        <w:t xml:space="preserve">” </w:t>
      </w:r>
      <w:r>
        <w:rPr>
          <w:rFonts w:ascii="Times New Roman;sans-serif" w:hAnsi="Times New Roman;sans-serif"/>
          <w:b w:val="false"/>
          <w:color w:val="000000"/>
          <w:sz w:val="22"/>
        </w:rPr>
        <w:t>is defined in Section 10.5 (Product Conformity).</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1.39.    “</w:t>
      </w:r>
      <w:r>
        <w:rPr>
          <w:rFonts w:ascii="Times New Roman;sans-serif" w:hAnsi="Times New Roman;sans-serif"/>
          <w:b/>
          <w:color w:val="000000"/>
          <w:sz w:val="22"/>
        </w:rPr>
        <w:t>Executive Officers</w:t>
      </w:r>
      <w:r>
        <w:rPr>
          <w:color w:val="000000"/>
        </w:rPr>
        <w:t xml:space="preserve">” </w:t>
      </w:r>
      <w:r>
        <w:rPr>
          <w:rFonts w:ascii="Times New Roman;sans-serif" w:hAnsi="Times New Roman;sans-serif"/>
          <w:b w:val="false"/>
          <w:color w:val="000000"/>
          <w:sz w:val="22"/>
        </w:rPr>
        <w:t>means the Chief Executive Officer of Senti, or his or her designee, and the Chief Executive Officer of Provider, or his or her designee.</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1.40.    “</w:t>
      </w:r>
      <w:r>
        <w:rPr>
          <w:rFonts w:ascii="Times New Roman;sans-serif" w:hAnsi="Times New Roman;sans-serif"/>
          <w:b/>
          <w:color w:val="000000"/>
          <w:sz w:val="22"/>
        </w:rPr>
        <w:t>Facility</w:t>
      </w:r>
      <w:r>
        <w:rPr>
          <w:color w:val="000000"/>
        </w:rPr>
        <w:t xml:space="preserve">” </w:t>
      </w:r>
      <w:r>
        <w:rPr>
          <w:rFonts w:ascii="Times New Roman;sans-serif" w:hAnsi="Times New Roman;sans-serif"/>
          <w:b w:val="false"/>
          <w:color w:val="000000"/>
          <w:sz w:val="22"/>
        </w:rPr>
        <w:t xml:space="preserve">means (a) the Alameda Facility or (b) any other facility of Provider or its Affiliates specifically identified in the applicable Statement of Work.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1.41.    “</w:t>
      </w:r>
      <w:r>
        <w:rPr>
          <w:rFonts w:ascii="Times New Roman;sans-serif" w:hAnsi="Times New Roman;sans-serif"/>
          <w:b/>
          <w:color w:val="000000"/>
          <w:sz w:val="22"/>
        </w:rPr>
        <w:t>Failed Batch</w:t>
      </w:r>
      <w:r>
        <w:rPr>
          <w:color w:val="000000"/>
        </w:rPr>
        <w:t xml:space="preserve">” </w:t>
      </w:r>
      <w:r>
        <w:rPr>
          <w:rFonts w:ascii="Times New Roman;sans-serif" w:hAnsi="Times New Roman;sans-serif"/>
          <w:b w:val="false"/>
          <w:color w:val="000000"/>
          <w:sz w:val="22"/>
        </w:rPr>
        <w:t>is defined in Section 10.4 (Batch Failure).</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1.42.    “</w:t>
      </w:r>
      <w:r>
        <w:rPr>
          <w:rFonts w:ascii="Times New Roman;sans-serif" w:hAnsi="Times New Roman;sans-serif"/>
          <w:b/>
          <w:color w:val="000000"/>
          <w:sz w:val="22"/>
        </w:rPr>
        <w:t>FDA</w:t>
      </w:r>
      <w:r>
        <w:rPr>
          <w:color w:val="000000"/>
        </w:rPr>
        <w:t xml:space="preserve">” </w:t>
      </w:r>
      <w:r>
        <w:rPr>
          <w:rFonts w:ascii="Times New Roman;sans-serif" w:hAnsi="Times New Roman;sans-serif"/>
          <w:b w:val="false"/>
          <w:color w:val="000000"/>
          <w:sz w:val="22"/>
        </w:rPr>
        <w:t xml:space="preserve">means the United States Food and Drug Administration, or any successor entity thereof having or performing substantially the same function.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1.43.    “</w:t>
      </w:r>
      <w:r>
        <w:rPr>
          <w:rFonts w:ascii="Times New Roman;sans-serif" w:hAnsi="Times New Roman;sans-serif"/>
          <w:b/>
          <w:color w:val="000000"/>
          <w:sz w:val="22"/>
        </w:rPr>
        <w:t>Force Majeure</w:t>
      </w:r>
      <w:r>
        <w:rPr>
          <w:color w:val="000000"/>
        </w:rPr>
        <w:t xml:space="preserve">” </w:t>
      </w:r>
      <w:r>
        <w:rPr>
          <w:rFonts w:ascii="Times New Roman;sans-serif" w:hAnsi="Times New Roman;sans-serif"/>
          <w:b w:val="false"/>
          <w:color w:val="000000"/>
          <w:sz w:val="22"/>
        </w:rPr>
        <w:t xml:space="preserve">is defined in Section 17.5 (Force Majeure).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1.44.    “</w:t>
      </w:r>
      <w:r>
        <w:rPr>
          <w:rFonts w:ascii="Times New Roman;sans-serif" w:hAnsi="Times New Roman;sans-serif"/>
          <w:b/>
          <w:color w:val="000000"/>
          <w:sz w:val="22"/>
        </w:rPr>
        <w:t>GMP</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color w:val="000000"/>
          <w:sz w:val="22"/>
        </w:rPr>
        <w:t>cGMP</w:t>
      </w:r>
      <w:r>
        <w:rPr>
          <w:color w:val="000000"/>
        </w:rPr>
        <w:t xml:space="preserve">” </w:t>
      </w:r>
      <w:r>
        <w:rPr>
          <w:rFonts w:ascii="Times New Roman;sans-serif" w:hAnsi="Times New Roman;sans-serif"/>
          <w:b w:val="false"/>
          <w:color w:val="000000"/>
          <w:sz w:val="22"/>
        </w:rPr>
        <w:t>will have the meanings assigned in the Quality Agreement.</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1.45.    “</w:t>
      </w:r>
      <w:r>
        <w:rPr>
          <w:rFonts w:ascii="Times New Roman;sans-serif" w:hAnsi="Times New Roman;sans-serif"/>
          <w:b/>
          <w:color w:val="000000"/>
          <w:sz w:val="22"/>
        </w:rPr>
        <w:t>GMP Changes</w:t>
      </w:r>
      <w:r>
        <w:rPr>
          <w:color w:val="000000"/>
        </w:rPr>
        <w:t xml:space="preserve">” </w:t>
      </w:r>
      <w:r>
        <w:rPr>
          <w:rFonts w:ascii="Times New Roman;sans-serif" w:hAnsi="Times New Roman;sans-serif"/>
          <w:b w:val="false"/>
          <w:color w:val="000000"/>
          <w:sz w:val="22"/>
        </w:rPr>
        <w:t>is defined in Section 5.6.1 (Scope; Changes).</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1.46.    “</w:t>
      </w:r>
      <w:r>
        <w:rPr>
          <w:rFonts w:ascii="Times New Roman;sans-serif" w:hAnsi="Times New Roman;sans-serif"/>
          <w:b/>
          <w:color w:val="000000"/>
          <w:sz w:val="22"/>
        </w:rPr>
        <w:t>Governmental Entity</w:t>
      </w:r>
      <w:r>
        <w:rPr>
          <w:color w:val="000000"/>
        </w:rPr>
        <w:t xml:space="preserve">” </w:t>
      </w:r>
      <w:r>
        <w:rPr>
          <w:rFonts w:ascii="Times New Roman;sans-serif" w:hAnsi="Times New Roman;sans-serif"/>
          <w:b w:val="false"/>
          <w:color w:val="000000"/>
          <w:sz w:val="22"/>
        </w:rPr>
        <w:t xml:space="preserve">means any United States federal, state or local government; any foreign government; or any court, administrative or other governmental or government-authorized authority, commission, department, board, tribunal, or agency, domestic, foreign or supranational, including any Regulatory Authority.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1.47.    “</w:t>
      </w:r>
      <w:r>
        <w:rPr>
          <w:rFonts w:ascii="Times New Roman;sans-serif" w:hAnsi="Times New Roman;sans-serif"/>
          <w:b/>
          <w:color w:val="000000"/>
          <w:sz w:val="22"/>
        </w:rPr>
        <w:t>GxP</w:t>
      </w:r>
      <w:r>
        <w:rPr>
          <w:color w:val="000000"/>
        </w:rPr>
        <w:t xml:space="preserve">” </w:t>
      </w:r>
      <w:r>
        <w:rPr>
          <w:rFonts w:ascii="Times New Roman;sans-serif" w:hAnsi="Times New Roman;sans-serif"/>
          <w:b w:val="false"/>
          <w:color w:val="000000"/>
          <w:sz w:val="22"/>
        </w:rPr>
        <w:t>will have the meaning assigned in the Quality Agreement.</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1.48.    "</w:t>
      </w:r>
      <w:r>
        <w:rPr>
          <w:rFonts w:ascii="Times New Roman;sans-serif" w:hAnsi="Times New Roman;sans-serif"/>
          <w:b/>
          <w:color w:val="000000"/>
          <w:sz w:val="22"/>
        </w:rPr>
        <w:t>Impacted Product</w:t>
      </w:r>
      <w:r>
        <w:rPr>
          <w:color w:val="000000"/>
        </w:rPr>
        <w:t xml:space="preserve">” </w:t>
      </w:r>
      <w:r>
        <w:rPr>
          <w:rFonts w:ascii="Times New Roman;sans-serif" w:hAnsi="Times New Roman;sans-serif"/>
          <w:b w:val="false"/>
          <w:color w:val="000000"/>
          <w:sz w:val="22"/>
        </w:rPr>
        <w:t>is defined in Section 5.4.2.</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1.49.    “</w:t>
      </w:r>
      <w:r>
        <w:rPr>
          <w:rFonts w:ascii="Times New Roman;sans-serif" w:hAnsi="Times New Roman;sans-serif"/>
          <w:b/>
          <w:color w:val="000000"/>
          <w:sz w:val="22"/>
        </w:rPr>
        <w:t>In-Scope Activities</w:t>
      </w:r>
      <w:r>
        <w:rPr>
          <w:color w:val="000000"/>
        </w:rPr>
        <w:t xml:space="preserve">” </w:t>
      </w:r>
      <w:r>
        <w:rPr>
          <w:rFonts w:ascii="Times New Roman;sans-serif" w:hAnsi="Times New Roman;sans-serif"/>
          <w:b w:val="false"/>
          <w:color w:val="000000"/>
          <w:sz w:val="22"/>
        </w:rPr>
        <w:t xml:space="preserve">means the activities described in </w:t>
      </w:r>
      <w:r>
        <w:rPr>
          <w:rFonts w:ascii="Times New Roman;sans-serif" w:hAnsi="Times New Roman;sans-serif"/>
          <w:b w:val="false"/>
          <w:color w:val="000000"/>
          <w:sz w:val="22"/>
          <w:u w:val="single"/>
        </w:rPr>
        <w:t>Exhibit A</w:t>
      </w:r>
      <w:r>
        <w:rPr>
          <w:rFonts w:ascii="Times New Roman;sans-serif" w:hAnsi="Times New Roman;sans-serif"/>
          <w:b w:val="false"/>
          <w:color w:val="000000"/>
          <w:sz w:val="22"/>
        </w:rPr>
        <w:t>, as may be amended from time to time pursuant to Section 2.4.5 (In-Scope Activities).</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1.50.    “</w:t>
      </w:r>
      <w:r>
        <w:rPr>
          <w:rFonts w:ascii="Times New Roman;sans-serif" w:hAnsi="Times New Roman;sans-serif"/>
          <w:b/>
          <w:color w:val="000000"/>
          <w:sz w:val="22"/>
        </w:rPr>
        <w:t>Inspection Period</w:t>
      </w:r>
      <w:r>
        <w:rPr>
          <w:color w:val="000000"/>
        </w:rPr>
        <w:t xml:space="preserve">” </w:t>
      </w:r>
      <w:r>
        <w:rPr>
          <w:rFonts w:ascii="Times New Roman;sans-serif" w:hAnsi="Times New Roman;sans-serif"/>
          <w:b w:val="false"/>
          <w:color w:val="000000"/>
          <w:sz w:val="22"/>
        </w:rPr>
        <w:t>is defined in Section 10.5 (Product Conformity).</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1.51.    “</w:t>
      </w:r>
      <w:r>
        <w:rPr>
          <w:rFonts w:ascii="Times New Roman;sans-serif" w:hAnsi="Times New Roman;sans-serif"/>
          <w:b/>
          <w:color w:val="000000"/>
          <w:sz w:val="22"/>
        </w:rPr>
        <w:t>Intellectual Property</w:t>
      </w:r>
      <w:r>
        <w:rPr>
          <w:color w:val="000000"/>
        </w:rPr>
        <w:t xml:space="preserve">” </w:t>
      </w:r>
      <w:r>
        <w:rPr>
          <w:rFonts w:ascii="Times New Roman;sans-serif" w:hAnsi="Times New Roman;sans-serif"/>
          <w:b w:val="false"/>
          <w:color w:val="000000"/>
          <w:sz w:val="22"/>
        </w:rPr>
        <w:t>means all intellectual property and proprietary rights, however denominated, throughout the world, including rights in copyrights, copyright registrations and copyright applications; trademarks, service marks, trade dress, trade names, trademark registrations and trademark applications; rights in inventions and discoveries (whether patentable or not), patents and patent applications; trade secret rights; rights in know-how; and all other rights and interests existing, created or protectable under any intellectual property law of any jurisdiction. With respect to Intellectual Property, “control” means that a Party has rights to use such Intellectual Property and has the ability to grant to the other Party rights to use such Intellectual Property on the terms and conditions set forth herein without violating the terms of any agreement or other arrangement with any Third Party.</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346075"/>
                <wp:effectExtent l="0" t="0" r="0" b="0"/>
                <wp:wrapNone/>
                <wp:docPr id="203" name="Frame203"/>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1.52.    “</w:t>
      </w:r>
      <w:r>
        <w:rPr>
          <w:rFonts w:ascii="Times New Roman;sans-serif" w:hAnsi="Times New Roman;sans-serif"/>
          <w:b/>
          <w:color w:val="000000"/>
          <w:sz w:val="22"/>
        </w:rPr>
        <w:t>Inventions</w:t>
      </w:r>
      <w:r>
        <w:rPr>
          <w:color w:val="000000"/>
        </w:rPr>
        <w:t xml:space="preserve">” </w:t>
      </w:r>
      <w:r>
        <w:rPr>
          <w:rFonts w:ascii="Times New Roman;sans-serif" w:hAnsi="Times New Roman;sans-serif"/>
          <w:b w:val="false"/>
          <w:color w:val="000000"/>
          <w:sz w:val="22"/>
        </w:rPr>
        <w:t>means any inventions, innovations, improvements, developments, discoveries, methods, know-how, processes, techniques, scientific, technical and other information, data, compositions of matter and works of authorship, whether or not written or otherwise fixed in any form or medium and whether or not patentable or copyrightable.</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1.53.    “</w:t>
      </w:r>
      <w:r>
        <w:rPr>
          <w:rFonts w:ascii="Times New Roman;sans-serif" w:hAnsi="Times New Roman;sans-serif"/>
          <w:b/>
          <w:color w:val="000000"/>
          <w:sz w:val="22"/>
        </w:rPr>
        <w:t>Joint Project Team</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JPT</w:t>
      </w:r>
      <w:r>
        <w:rPr>
          <w:color w:val="000000"/>
        </w:rPr>
        <w:t xml:space="preserve">” </w:t>
      </w:r>
      <w:r>
        <w:rPr>
          <w:rFonts w:ascii="Times New Roman;sans-serif" w:hAnsi="Times New Roman;sans-serif"/>
          <w:b w:val="false"/>
          <w:color w:val="000000"/>
          <w:sz w:val="22"/>
        </w:rPr>
        <w:t>is defined in Section 4.5.1 (JPT Establishment; Composition).</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1.54.    “</w:t>
      </w:r>
      <w:r>
        <w:rPr>
          <w:rFonts w:ascii="Times New Roman;sans-serif" w:hAnsi="Times New Roman;sans-serif"/>
          <w:b/>
          <w:color w:val="000000"/>
          <w:sz w:val="22"/>
        </w:rPr>
        <w:t>Joint Steering Committee</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JSC</w:t>
      </w:r>
      <w:r>
        <w:rPr>
          <w:color w:val="000000"/>
        </w:rPr>
        <w:t xml:space="preserve">” </w:t>
      </w:r>
      <w:r>
        <w:rPr>
          <w:rFonts w:ascii="Times New Roman;sans-serif" w:hAnsi="Times New Roman;sans-serif"/>
          <w:b w:val="false"/>
          <w:color w:val="000000"/>
          <w:sz w:val="22"/>
        </w:rPr>
        <w:t>is defined in Section 4.1.1 (JSC Establishment; Composition).</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1.55.    “</w:t>
      </w:r>
      <w:r>
        <w:rPr>
          <w:rFonts w:ascii="Times New Roman;sans-serif" w:hAnsi="Times New Roman;sans-serif"/>
          <w:b/>
          <w:color w:val="000000"/>
          <w:sz w:val="22"/>
        </w:rPr>
        <w:t>Latent Defect</w:t>
      </w:r>
      <w:r>
        <w:rPr>
          <w:color w:val="000000"/>
        </w:rPr>
        <w:t xml:space="preserve">” </w:t>
      </w:r>
      <w:r>
        <w:rPr>
          <w:rFonts w:ascii="Times New Roman;sans-serif" w:hAnsi="Times New Roman;sans-serif"/>
          <w:b w:val="false"/>
          <w:color w:val="000000"/>
          <w:sz w:val="22"/>
        </w:rPr>
        <w:t xml:space="preserve">means a defect that causes a Product not to conform to the Product specification and/or Product Requirements, which defect is not discoverable upon reasonable physical inspection or testing performed in accordance with the terms of this Agreement and the applicable Statement of Work.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1.56.    “</w:t>
      </w:r>
      <w:r>
        <w:rPr>
          <w:rFonts w:ascii="Times New Roman;sans-serif" w:hAnsi="Times New Roman;sans-serif"/>
          <w:b/>
          <w:color w:val="000000"/>
          <w:sz w:val="22"/>
        </w:rPr>
        <w:t>Laws</w:t>
      </w:r>
      <w:r>
        <w:rPr>
          <w:color w:val="000000"/>
        </w:rPr>
        <w:t xml:space="preserve">” </w:t>
      </w:r>
      <w:r>
        <w:rPr>
          <w:rFonts w:ascii="Times New Roman;sans-serif" w:hAnsi="Times New Roman;sans-serif"/>
          <w:b w:val="false"/>
          <w:color w:val="000000"/>
          <w:sz w:val="22"/>
        </w:rPr>
        <w:t>means all applicable ordinances, rules, regulations, statutes, laws, judgments, decrees, orders and other requirements, as amended from time to time, of any Governmental Entity: (a) in the United States of America, (b) with respect to Provider, in any jurisdiction other than the United States of America in which any Facility is located or as agreed to by the Parties in writing on a Statement of Work-by-Statement of Work basis; and (c) with respect to Senti, in any jurisdiction other than the United States of America in which (i) Senti operates or performs activities in respect of this Agreement or (ii) Senti Supplies or Senti Product are produced or used by or for Senti. The term “Laws” includes GxP unless otherwise specified in a Statement of Work, the Parties agree in writing to the contrary on a case-by-case basis, or it is not applicable in context.</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1.57.    “</w:t>
      </w:r>
      <w:r>
        <w:rPr>
          <w:rFonts w:ascii="Times New Roman;sans-serif" w:hAnsi="Times New Roman;sans-serif"/>
          <w:b/>
          <w:color w:val="000000"/>
          <w:sz w:val="22"/>
        </w:rPr>
        <w:t>License Agreement</w:t>
      </w:r>
      <w:r>
        <w:rPr>
          <w:color w:val="000000"/>
        </w:rPr>
        <w:t xml:space="preserve">” </w:t>
      </w:r>
      <w:r>
        <w:rPr>
          <w:rFonts w:ascii="Times New Roman;sans-serif" w:hAnsi="Times New Roman;sans-serif"/>
          <w:b w:val="false"/>
          <w:color w:val="000000"/>
          <w:sz w:val="22"/>
        </w:rPr>
        <w:t>means the License Agreement to be entered into between the Parties in accordance with the Framework Agreement.</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1.58.    “</w:t>
      </w:r>
      <w:r>
        <w:rPr>
          <w:rFonts w:ascii="Times New Roman;sans-serif" w:hAnsi="Times New Roman;sans-serif"/>
          <w:b/>
          <w:color w:val="000000"/>
          <w:sz w:val="22"/>
        </w:rPr>
        <w:t>Licensee</w:t>
      </w:r>
      <w:r>
        <w:rPr>
          <w:color w:val="000000"/>
        </w:rPr>
        <w:t xml:space="preserve">” </w:t>
      </w:r>
      <w:r>
        <w:rPr>
          <w:rFonts w:ascii="Times New Roman;sans-serif" w:hAnsi="Times New Roman;sans-serif"/>
          <w:b w:val="false"/>
          <w:color w:val="000000"/>
          <w:sz w:val="22"/>
        </w:rPr>
        <w:t>is defined in Section 2.4 [***]</w:t>
      </w:r>
    </w:p>
    <w:p>
      <w:pPr>
        <w:pStyle w:val="TextBody"/>
        <w:bidi w:val="0"/>
        <w:spacing w:lineRule="auto" w:line="240" w:before="0" w:after="240"/>
        <w:ind w:left="0" w:right="0" w:hanging="144"/>
        <w:jc w:val="both"/>
        <w:rPr>
          <w:rFonts w:ascii="Times New Roman;sans-serif" w:hAnsi="Times New Roman;sans-serif"/>
          <w:b w:val="false"/>
          <w:color w:val="000000"/>
          <w:sz w:val="22"/>
        </w:rPr>
      </w:pPr>
      <w:r>
        <w:rPr>
          <w:rFonts w:ascii="Times New Roman;sans-serif" w:hAnsi="Times New Roman;sans-serif"/>
          <w:b w:val="false"/>
          <w:color w:val="000000"/>
          <w:sz w:val="22"/>
        </w:rPr>
        <w:t>1.59.    [***] is defined in Section 2.5.5(b)(iv).</w:t>
      </w:r>
    </w:p>
    <w:p>
      <w:pPr>
        <w:pStyle w:val="TextBody"/>
        <w:bidi w:val="0"/>
        <w:spacing w:lineRule="auto" w:line="240" w:before="0" w:after="240"/>
        <w:ind w:left="0" w:right="0" w:hanging="144"/>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1.60.    [***] is defined in Section 2.5.5(b)(iii). </w:t>
      </w:r>
    </w:p>
    <w:p>
      <w:pPr>
        <w:pStyle w:val="TextBody"/>
        <w:bidi w:val="0"/>
        <w:spacing w:lineRule="auto" w:line="240" w:before="0" w:after="240"/>
        <w:ind w:left="0" w:right="0" w:hanging="144"/>
        <w:jc w:val="both"/>
        <w:rPr>
          <w:rFonts w:ascii="Times New Roman;sans-serif" w:hAnsi="Times New Roman;sans-serif"/>
          <w:b w:val="false"/>
          <w:color w:val="000000"/>
          <w:sz w:val="22"/>
        </w:rPr>
      </w:pPr>
      <w:r>
        <w:rPr>
          <w:rFonts w:ascii="Times New Roman;sans-serif" w:hAnsi="Times New Roman;sans-serif"/>
          <w:b w:val="false"/>
          <w:color w:val="000000"/>
          <w:sz w:val="22"/>
        </w:rPr>
        <w:t>1.61.    [***] is defined in Section 2.5.5(b)(i).</w:t>
      </w:r>
    </w:p>
    <w:p>
      <w:pPr>
        <w:pStyle w:val="TextBody"/>
        <w:bidi w:val="0"/>
        <w:spacing w:lineRule="auto" w:line="240" w:before="0" w:after="240"/>
        <w:ind w:left="0" w:right="0" w:hanging="144"/>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1.62.    [***] is defined in Section 2.5.5(b)(ii).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1.63.    “</w:t>
      </w:r>
      <w:r>
        <w:rPr>
          <w:rFonts w:ascii="Times New Roman;sans-serif" w:hAnsi="Times New Roman;sans-serif"/>
          <w:b/>
          <w:color w:val="000000"/>
          <w:sz w:val="22"/>
        </w:rPr>
        <w:t>Losses</w:t>
      </w:r>
      <w:r>
        <w:rPr>
          <w:color w:val="000000"/>
        </w:rPr>
        <w:t xml:space="preserve">” </w:t>
      </w:r>
      <w:r>
        <w:rPr>
          <w:rFonts w:ascii="Times New Roman;sans-serif" w:hAnsi="Times New Roman;sans-serif"/>
          <w:b w:val="false"/>
          <w:color w:val="000000"/>
          <w:sz w:val="22"/>
        </w:rPr>
        <w:t>is defined in Section 14.2.1 (Provider Indemnification).</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1.64.    “</w:t>
      </w:r>
      <w:r>
        <w:rPr>
          <w:rFonts w:ascii="Times New Roman;sans-serif" w:hAnsi="Times New Roman;sans-serif"/>
          <w:b/>
          <w:color w:val="000000"/>
          <w:sz w:val="22"/>
        </w:rPr>
        <w:t>Manufacture</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Manufacturing</w:t>
      </w:r>
      <w:r>
        <w:rPr>
          <w:color w:val="000000"/>
        </w:rPr>
        <w:t xml:space="preserve">” </w:t>
      </w:r>
      <w:r>
        <w:rPr>
          <w:rFonts w:ascii="Times New Roman;sans-serif" w:hAnsi="Times New Roman;sans-serif"/>
          <w:b w:val="false"/>
          <w:color w:val="000000"/>
          <w:sz w:val="22"/>
        </w:rPr>
        <w:t>means the steps and activities to produce a Product, including the manufacturing, processing, filling, packaging, labeling, analytical and quality control testing, stability testing, and/or release of Product, which are performed (or to be performed, as the context requires) by or on behalf of Provider as more particularly set forth in the applicable Statement of Work.</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1.65.    “</w:t>
      </w:r>
      <w:r>
        <w:rPr>
          <w:rFonts w:ascii="Times New Roman;sans-serif" w:hAnsi="Times New Roman;sans-serif"/>
          <w:b/>
          <w:color w:val="000000"/>
          <w:sz w:val="22"/>
        </w:rPr>
        <w:t>Manufacturing Process</w:t>
      </w:r>
      <w:r>
        <w:rPr>
          <w:color w:val="000000"/>
        </w:rPr>
        <w:t xml:space="preserve">” </w:t>
      </w:r>
      <w:r>
        <w:rPr>
          <w:rFonts w:ascii="Times New Roman;sans-serif" w:hAnsi="Times New Roman;sans-serif"/>
          <w:b w:val="false"/>
          <w:color w:val="000000"/>
          <w:sz w:val="22"/>
        </w:rPr>
        <w:t>means (a) the specific production process provided by or on behalf of Senti</w:t>
      </w:r>
      <w:r>
        <w:rPr>
          <w:color w:val="000000"/>
        </w:rPr>
        <w:t xml:space="preserve"> </w:t>
      </w:r>
      <w:r>
        <w:rPr>
          <w:rFonts w:ascii="Times New Roman;sans-serif" w:hAnsi="Times New Roman;sans-serif"/>
          <w:b w:val="false"/>
          <w:color w:val="000000"/>
          <w:sz w:val="22"/>
        </w:rPr>
        <w:t>to Provider for the Manufacture of a Product or (b) any other production process for the Manufacture of a Product used or developed under a Statement of Work, in each case ((a) and (b)), as such process may be provided, improved or modified from time to time during the Term pursuant to any Statement of Work and as such process is reflected in the then-current Master Batch Record for such Product.</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346075"/>
                <wp:effectExtent l="0" t="0" r="0" b="0"/>
                <wp:wrapNone/>
                <wp:docPr id="204" name="Frame204"/>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1.66.    “</w:t>
      </w:r>
      <w:r>
        <w:rPr>
          <w:rFonts w:ascii="Times New Roman;sans-serif" w:hAnsi="Times New Roman;sans-serif"/>
          <w:b/>
          <w:color w:val="000000"/>
          <w:sz w:val="22"/>
        </w:rPr>
        <w:t>Master Batch Record</w:t>
      </w:r>
      <w:r>
        <w:rPr>
          <w:color w:val="000000"/>
        </w:rPr>
        <w:t xml:space="preserve">” </w:t>
      </w:r>
      <w:r>
        <w:rPr>
          <w:rFonts w:ascii="Times New Roman;sans-serif" w:hAnsi="Times New Roman;sans-serif"/>
          <w:b w:val="false"/>
          <w:color w:val="000000"/>
          <w:sz w:val="22"/>
        </w:rPr>
        <w:t xml:space="preserve">means the complete instructions for the Manufacturing and control of a Product.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1.67.    “</w:t>
      </w:r>
      <w:r>
        <w:rPr>
          <w:rFonts w:ascii="Times New Roman;sans-serif" w:hAnsi="Times New Roman;sans-serif"/>
          <w:b/>
          <w:color w:val="000000"/>
          <w:sz w:val="22"/>
        </w:rPr>
        <w:t>Money Laundering Laws</w:t>
      </w:r>
      <w:r>
        <w:rPr>
          <w:color w:val="000000"/>
        </w:rPr>
        <w:t xml:space="preserve">” </w:t>
      </w:r>
      <w:r>
        <w:rPr>
          <w:rFonts w:ascii="Times New Roman;sans-serif" w:hAnsi="Times New Roman;sans-serif"/>
          <w:b w:val="false"/>
          <w:color w:val="000000"/>
          <w:sz w:val="22"/>
        </w:rPr>
        <w:t xml:space="preserve">is defined in Section 13.2.5 (Provider Representations, Warranties and Covenants).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1.68.    “</w:t>
      </w:r>
      <w:r>
        <w:rPr>
          <w:rFonts w:ascii="Times New Roman;sans-serif" w:hAnsi="Times New Roman;sans-serif"/>
          <w:b/>
          <w:color w:val="000000"/>
          <w:sz w:val="22"/>
        </w:rPr>
        <w:t>Nonconforming Product</w:t>
      </w:r>
      <w:r>
        <w:rPr>
          <w:color w:val="000000"/>
        </w:rPr>
        <w:t xml:space="preserve">” </w:t>
      </w:r>
      <w:r>
        <w:rPr>
          <w:rFonts w:ascii="Times New Roman;sans-serif" w:hAnsi="Times New Roman;sans-serif"/>
          <w:b w:val="false"/>
          <w:color w:val="000000"/>
          <w:sz w:val="22"/>
        </w:rPr>
        <w:t>is defined in Section 10.5 (Product Conformity).</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1.69.    “</w:t>
      </w:r>
      <w:r>
        <w:rPr>
          <w:rFonts w:ascii="Times New Roman;sans-serif" w:hAnsi="Times New Roman;sans-serif"/>
          <w:b/>
          <w:color w:val="000000"/>
          <w:sz w:val="22"/>
        </w:rPr>
        <w:t>Observation</w:t>
      </w:r>
      <w:r>
        <w:rPr>
          <w:color w:val="000000"/>
        </w:rPr>
        <w:t xml:space="preserve">” </w:t>
      </w:r>
      <w:r>
        <w:rPr>
          <w:rFonts w:ascii="Times New Roman;sans-serif" w:hAnsi="Times New Roman;sans-serif"/>
          <w:b w:val="false"/>
          <w:color w:val="000000"/>
          <w:sz w:val="22"/>
        </w:rPr>
        <w:t>is defined in Section 11.5.1 (Observation).</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1.70.    </w:t>
      </w:r>
      <w:r>
        <w:rPr>
          <w:rFonts w:ascii="Times New Roman;sans-serif" w:hAnsi="Times New Roman;sans-serif"/>
          <w:b/>
          <w:color w:val="000000"/>
          <w:sz w:val="22"/>
        </w:rPr>
        <w:t>[***]</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1.71.    “</w:t>
      </w:r>
      <w:r>
        <w:rPr>
          <w:rFonts w:ascii="Times New Roman;sans-serif" w:hAnsi="Times New Roman;sans-serif"/>
          <w:b/>
          <w:color w:val="000000"/>
          <w:sz w:val="22"/>
        </w:rPr>
        <w:t>Out-License</w:t>
      </w:r>
      <w:r>
        <w:rPr>
          <w:color w:val="000000"/>
        </w:rPr>
        <w:t xml:space="preserve"> </w:t>
      </w:r>
      <w:r>
        <w:rPr>
          <w:rFonts w:ascii="Times New Roman;sans-serif" w:hAnsi="Times New Roman;sans-serif"/>
          <w:b/>
          <w:color w:val="000000"/>
          <w:sz w:val="22"/>
        </w:rPr>
        <w:t>Procedure</w:t>
      </w:r>
      <w:r>
        <w:rPr>
          <w:color w:val="000000"/>
        </w:rPr>
        <w:t xml:space="preserve">” </w:t>
      </w:r>
      <w:r>
        <w:rPr>
          <w:rFonts w:ascii="Times New Roman;sans-serif" w:hAnsi="Times New Roman;sans-serif"/>
          <w:b w:val="false"/>
          <w:color w:val="000000"/>
          <w:sz w:val="22"/>
        </w:rPr>
        <w:t>means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1.72.    “</w:t>
      </w:r>
      <w:r>
        <w:rPr>
          <w:rFonts w:ascii="Times New Roman;sans-serif" w:hAnsi="Times New Roman;sans-serif"/>
          <w:b/>
          <w:color w:val="000000"/>
          <w:sz w:val="22"/>
        </w:rPr>
        <w:t>Out-of-Pocket Costs</w:t>
      </w:r>
      <w:r>
        <w:rPr>
          <w:color w:val="000000"/>
        </w:rPr>
        <w:t xml:space="preserve">” </w:t>
      </w:r>
      <w:r>
        <w:rPr>
          <w:rFonts w:ascii="Times New Roman;sans-serif" w:hAnsi="Times New Roman;sans-serif"/>
          <w:b w:val="false"/>
          <w:color w:val="000000"/>
          <w:sz w:val="22"/>
        </w:rPr>
        <w:t>means all documented out-of-pocket costs payable to Third Parties that are incurred or paid by or on behalf of Provider, in good faith, in connection with the performance of Services, including fees associated with outsourced testing, Third-Party services, shipping, Components, materials and supplies, plus a [***] mark up applied thereon, or such other mark up [***] as may be specified in the applicable SoW.</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1.73.    “</w:t>
      </w:r>
      <w:r>
        <w:rPr>
          <w:rFonts w:ascii="Times New Roman;sans-serif" w:hAnsi="Times New Roman;sans-serif"/>
          <w:b/>
          <w:color w:val="000000"/>
          <w:sz w:val="22"/>
        </w:rPr>
        <w:t>Payment Period</w:t>
      </w:r>
      <w:r>
        <w:rPr>
          <w:color w:val="000000"/>
        </w:rPr>
        <w:t xml:space="preserve">” </w:t>
      </w:r>
      <w:r>
        <w:rPr>
          <w:rFonts w:ascii="Times New Roman;sans-serif" w:hAnsi="Times New Roman;sans-serif"/>
          <w:b w:val="false"/>
          <w:color w:val="000000"/>
          <w:sz w:val="22"/>
        </w:rPr>
        <w:t>is defined in Section 7.6 (Payments and Payment Terms).</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1.74.    “</w:t>
      </w:r>
      <w:r>
        <w:rPr>
          <w:rFonts w:ascii="Times New Roman;sans-serif" w:hAnsi="Times New Roman;sans-serif"/>
          <w:b/>
          <w:color w:val="000000"/>
          <w:sz w:val="22"/>
        </w:rPr>
        <w:t>Person</w:t>
      </w:r>
      <w:r>
        <w:rPr>
          <w:color w:val="000000"/>
        </w:rPr>
        <w:t xml:space="preserve">” </w:t>
      </w:r>
      <w:r>
        <w:rPr>
          <w:rFonts w:ascii="Times New Roman;sans-serif" w:hAnsi="Times New Roman;sans-serif"/>
          <w:b w:val="false"/>
          <w:color w:val="000000"/>
          <w:sz w:val="22"/>
        </w:rPr>
        <w:t xml:space="preserve">means any individual, corporation, partnership (general or limited), limited liability company, limited liability partnership, trust, joint venture, joint-stock company, syndicate, association, entity, unincorporated organization, union or Governmental Entity, including any political subdivision, agency or instrumentality thereof.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1.75.    “</w:t>
      </w:r>
      <w:r>
        <w:rPr>
          <w:rFonts w:ascii="Times New Roman;sans-serif" w:hAnsi="Times New Roman;sans-serif"/>
          <w:b/>
          <w:color w:val="000000"/>
          <w:sz w:val="22"/>
        </w:rPr>
        <w:t>PIP</w:t>
      </w:r>
      <w:r>
        <w:rPr>
          <w:color w:val="000000"/>
        </w:rPr>
        <w:t xml:space="preserve">” </w:t>
      </w:r>
      <w:r>
        <w:rPr>
          <w:rFonts w:ascii="Times New Roman;sans-serif" w:hAnsi="Times New Roman;sans-serif"/>
          <w:b w:val="false"/>
          <w:color w:val="000000"/>
          <w:sz w:val="22"/>
        </w:rPr>
        <w:t xml:space="preserve">means a person-in-plant. </w:t>
      </w:r>
    </w:p>
    <w:p>
      <w:pPr>
        <w:pStyle w:val="TextBody"/>
        <w:bidi w:val="0"/>
        <w:spacing w:lineRule="auto" w:line="240" w:before="0" w:after="240"/>
        <w:ind w:left="0" w:right="0" w:hanging="144"/>
        <w:jc w:val="both"/>
        <w:rPr>
          <w:rFonts w:ascii="Times New Roman;sans-serif" w:hAnsi="Times New Roman;sans-serif"/>
          <w:b w:val="false"/>
          <w:color w:val="000000"/>
          <w:sz w:val="22"/>
        </w:rPr>
      </w:pPr>
      <w:r>
        <w:rPr>
          <w:rFonts w:ascii="Times New Roman;sans-serif" w:hAnsi="Times New Roman;sans-serif"/>
          <w:b w:val="false"/>
          <w:color w:val="000000"/>
          <w:sz w:val="22"/>
        </w:rPr>
        <w:t>1.76.    [***] is defined in Section 2.4.1.</w:t>
      </w:r>
    </w:p>
    <w:p>
      <w:pPr>
        <w:pStyle w:val="TextBody"/>
        <w:bidi w:val="0"/>
        <w:spacing w:lineRule="auto" w:line="240" w:before="0" w:after="240"/>
        <w:ind w:left="0" w:right="0" w:hanging="144"/>
        <w:jc w:val="both"/>
        <w:rPr>
          <w:rFonts w:ascii="Times New Roman;sans-serif" w:hAnsi="Times New Roman;sans-serif"/>
          <w:b w:val="false"/>
          <w:color w:val="000000"/>
          <w:sz w:val="22"/>
        </w:rPr>
      </w:pPr>
      <w:r>
        <w:rPr>
          <w:rFonts w:ascii="Times New Roman;sans-serif" w:hAnsi="Times New Roman;sans-serif"/>
          <w:b w:val="false"/>
          <w:color w:val="000000"/>
          <w:sz w:val="22"/>
        </w:rPr>
        <w:t>1.77.    [***] means the arrangements set out in Section 2.4.</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1.78.    “</w:t>
      </w:r>
      <w:r>
        <w:rPr>
          <w:rFonts w:ascii="Times New Roman;sans-serif" w:hAnsi="Times New Roman;sans-serif"/>
          <w:b/>
          <w:color w:val="000000"/>
          <w:sz w:val="22"/>
        </w:rPr>
        <w:t>Prepayment</w:t>
      </w:r>
      <w:r>
        <w:rPr>
          <w:color w:val="000000"/>
        </w:rPr>
        <w:t xml:space="preserve">” </w:t>
      </w:r>
      <w:r>
        <w:rPr>
          <w:rFonts w:ascii="Times New Roman;sans-serif" w:hAnsi="Times New Roman;sans-serif"/>
          <w:b w:val="false"/>
          <w:color w:val="000000"/>
          <w:sz w:val="22"/>
        </w:rPr>
        <w:t xml:space="preserve">is defined in Section 7.2.1 (Prepayment).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1.79.    “</w:t>
      </w:r>
      <w:r>
        <w:rPr>
          <w:rFonts w:ascii="Times New Roman;sans-serif" w:hAnsi="Times New Roman;sans-serif"/>
          <w:b/>
          <w:color w:val="000000"/>
          <w:sz w:val="22"/>
        </w:rPr>
        <w:t>Product</w:t>
      </w:r>
      <w:r>
        <w:rPr>
          <w:color w:val="000000"/>
        </w:rPr>
        <w:t xml:space="preserve">” </w:t>
      </w:r>
      <w:r>
        <w:rPr>
          <w:rFonts w:ascii="Times New Roman;sans-serif" w:hAnsi="Times New Roman;sans-serif"/>
          <w:b w:val="false"/>
          <w:color w:val="000000"/>
          <w:sz w:val="22"/>
        </w:rPr>
        <w:t xml:space="preserve">means the product that is the subject of the Services as described in more detail in the applicable Statement of Work. For clarity, [***]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1.80.    “</w:t>
      </w:r>
      <w:r>
        <w:rPr>
          <w:rFonts w:ascii="Times New Roman;sans-serif" w:hAnsi="Times New Roman;sans-serif"/>
          <w:b/>
          <w:color w:val="000000"/>
          <w:sz w:val="22"/>
        </w:rPr>
        <w:t>Product Requirements</w:t>
      </w:r>
      <w:r>
        <w:rPr>
          <w:color w:val="000000"/>
        </w:rPr>
        <w:t xml:space="preserve">” </w:t>
      </w:r>
      <w:r>
        <w:rPr>
          <w:rFonts w:ascii="Times New Roman;sans-serif" w:hAnsi="Times New Roman;sans-serif"/>
          <w:b w:val="false"/>
          <w:color w:val="000000"/>
          <w:sz w:val="22"/>
        </w:rPr>
        <w:t>means the warranties with respect to a Product set forth in Section 13.2.2 (Provider Representations, Warranties and Covenants).</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1.81.    “</w:t>
      </w:r>
      <w:r>
        <w:rPr>
          <w:rFonts w:ascii="Times New Roman;sans-serif" w:hAnsi="Times New Roman;sans-serif"/>
          <w:b/>
          <w:color w:val="000000"/>
          <w:sz w:val="22"/>
        </w:rPr>
        <w:t>Project</w:t>
      </w:r>
      <w:r>
        <w:rPr>
          <w:color w:val="000000"/>
        </w:rPr>
        <w:t xml:space="preserve">” </w:t>
      </w:r>
      <w:r>
        <w:rPr>
          <w:rFonts w:ascii="Times New Roman;sans-serif" w:hAnsi="Times New Roman;sans-serif"/>
          <w:b w:val="false"/>
          <w:color w:val="000000"/>
          <w:sz w:val="22"/>
        </w:rPr>
        <w:t>means the scope of services as set out in the applicable Statement of Work.</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1.82.    “</w:t>
      </w:r>
      <w:r>
        <w:rPr>
          <w:rFonts w:ascii="Times New Roman;sans-serif" w:hAnsi="Times New Roman;sans-serif"/>
          <w:b/>
          <w:color w:val="000000"/>
          <w:sz w:val="22"/>
        </w:rPr>
        <w:t>Project Manager</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PM</w:t>
      </w:r>
      <w:r>
        <w:rPr>
          <w:color w:val="000000"/>
        </w:rPr>
        <w:t xml:space="preserve">” </w:t>
      </w:r>
      <w:r>
        <w:rPr>
          <w:rFonts w:ascii="Times New Roman;sans-serif" w:hAnsi="Times New Roman;sans-serif"/>
          <w:b w:val="false"/>
          <w:color w:val="000000"/>
          <w:sz w:val="22"/>
        </w:rPr>
        <w:t xml:space="preserve">is defined in Section 4.2 (PM Identification; Change).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1.83.    “</w:t>
      </w:r>
      <w:r>
        <w:rPr>
          <w:rFonts w:ascii="Times New Roman;sans-serif" w:hAnsi="Times New Roman;sans-serif"/>
          <w:b/>
          <w:color w:val="000000"/>
          <w:sz w:val="22"/>
        </w:rPr>
        <w:t>Project Schedule</w:t>
      </w:r>
      <w:r>
        <w:rPr>
          <w:color w:val="000000"/>
        </w:rPr>
        <w:t xml:space="preserve">” </w:t>
      </w:r>
      <w:r>
        <w:rPr>
          <w:rFonts w:ascii="Times New Roman;sans-serif" w:hAnsi="Times New Roman;sans-serif"/>
          <w:b w:val="false"/>
          <w:color w:val="000000"/>
          <w:sz w:val="22"/>
        </w:rPr>
        <w:t>means the schedule for the activities of the Parties under the applicable Statement of Work, including the estimated timelines for performance, milestones, costs and fees, and payment schedule.</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1.84.     “</w:t>
      </w:r>
      <w:r>
        <w:rPr>
          <w:rFonts w:ascii="Times New Roman;sans-serif" w:hAnsi="Times New Roman;sans-serif"/>
          <w:b/>
          <w:color w:val="000000"/>
          <w:sz w:val="22"/>
        </w:rPr>
        <w:t>Proposed Transaction</w:t>
      </w:r>
      <w:r>
        <w:rPr>
          <w:color w:val="000000"/>
        </w:rPr>
        <w:t xml:space="preserve">” </w:t>
      </w:r>
      <w:r>
        <w:rPr>
          <w:rFonts w:ascii="Times New Roman;sans-serif" w:hAnsi="Times New Roman;sans-serif"/>
          <w:b w:val="false"/>
          <w:color w:val="000000"/>
          <w:sz w:val="22"/>
        </w:rPr>
        <w:t>is defined in Section 2.5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1.85.    “</w:t>
      </w:r>
      <w:r>
        <w:rPr>
          <w:rFonts w:ascii="Times New Roman;sans-serif" w:hAnsi="Times New Roman;sans-serif"/>
          <w:b/>
          <w:color w:val="000000"/>
          <w:sz w:val="22"/>
        </w:rPr>
        <w:t>Provider Indemnitees</w:t>
      </w:r>
      <w:r>
        <w:rPr>
          <w:color w:val="000000"/>
        </w:rPr>
        <w:t xml:space="preserve">” </w:t>
      </w:r>
      <w:r>
        <w:rPr>
          <w:rFonts w:ascii="Times New Roman;sans-serif" w:hAnsi="Times New Roman;sans-serif"/>
          <w:b w:val="false"/>
          <w:color w:val="000000"/>
          <w:sz w:val="22"/>
        </w:rPr>
        <w:t>is defined in Section 14.1.2 (Senti Indemnification).</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346075"/>
                <wp:effectExtent l="0" t="0" r="0" b="0"/>
                <wp:wrapNone/>
                <wp:docPr id="205" name="Frame205"/>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1.86.    “</w:t>
      </w:r>
      <w:r>
        <w:rPr>
          <w:rFonts w:ascii="Times New Roman;sans-serif" w:hAnsi="Times New Roman;sans-serif"/>
          <w:b/>
          <w:color w:val="000000"/>
          <w:sz w:val="22"/>
        </w:rPr>
        <w:t>Provider Inventions</w:t>
      </w:r>
      <w:r>
        <w:rPr>
          <w:color w:val="000000"/>
        </w:rPr>
        <w:t xml:space="preserve">” </w:t>
      </w:r>
      <w:r>
        <w:rPr>
          <w:rFonts w:ascii="Times New Roman;sans-serif" w:hAnsi="Times New Roman;sans-serif"/>
          <w:b w:val="false"/>
          <w:color w:val="000000"/>
          <w:sz w:val="22"/>
        </w:rPr>
        <w:t>is defined in Section 12.2.2 (Provider Inventions).</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1.87.    “</w:t>
      </w:r>
      <w:r>
        <w:rPr>
          <w:rFonts w:ascii="Times New Roman;sans-serif" w:hAnsi="Times New Roman;sans-serif"/>
          <w:b/>
          <w:color w:val="000000"/>
          <w:sz w:val="22"/>
        </w:rPr>
        <w:t>Provider IP</w:t>
      </w:r>
      <w:r>
        <w:rPr>
          <w:color w:val="000000"/>
        </w:rPr>
        <w:t xml:space="preserve">” </w:t>
      </w:r>
      <w:r>
        <w:rPr>
          <w:rFonts w:ascii="Times New Roman;sans-serif" w:hAnsi="Times New Roman;sans-serif"/>
          <w:b w:val="false"/>
          <w:color w:val="000000"/>
          <w:sz w:val="22"/>
        </w:rPr>
        <w:t>is defined in Section 12.2.1 (Provider IP).</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1.88.    “</w:t>
      </w:r>
      <w:r>
        <w:rPr>
          <w:rFonts w:ascii="Times New Roman;sans-serif" w:hAnsi="Times New Roman;sans-serif"/>
          <w:b/>
          <w:color w:val="000000"/>
          <w:sz w:val="22"/>
        </w:rPr>
        <w:t>Provider</w:t>
      </w:r>
      <w:r>
        <w:rPr>
          <w:color w:val="000000"/>
        </w:rPr>
        <w:t xml:space="preserve"> </w:t>
      </w:r>
      <w:r>
        <w:rPr>
          <w:rFonts w:ascii="Times New Roman;sans-serif" w:hAnsi="Times New Roman;sans-serif"/>
          <w:b/>
          <w:color w:val="000000"/>
          <w:sz w:val="22"/>
        </w:rPr>
        <w:t>Operating Document</w:t>
      </w:r>
      <w:r>
        <w:rPr>
          <w:color w:val="000000"/>
        </w:rPr>
        <w:t xml:space="preserve">” </w:t>
      </w:r>
      <w:r>
        <w:rPr>
          <w:rFonts w:ascii="Times New Roman;sans-serif" w:hAnsi="Times New Roman;sans-serif"/>
          <w:b w:val="false"/>
          <w:color w:val="000000"/>
          <w:sz w:val="22"/>
        </w:rPr>
        <w:t>means any Provider documentation relating generally to the operation, monitoring or maintenance of one or more of the Facilities or Provider’s equipment, including: (a) protocols, methods, controls, standard operating procedures and specifications generally used by Provider (or useful) for the Services but not specific to a Product; and (b) corporate standards, software (e.g., building and process automation, process and utility controls), lists of qualified vendors and service providers, facility qualification and validation documentation, and supporting documentation used by Provider, such as, without limitation, environmental monitoring.</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1.89.    “</w:t>
      </w:r>
      <w:r>
        <w:rPr>
          <w:rFonts w:ascii="Times New Roman;sans-serif" w:hAnsi="Times New Roman;sans-serif"/>
          <w:b/>
          <w:color w:val="000000"/>
          <w:sz w:val="22"/>
        </w:rPr>
        <w:t>Provider Processing Default</w:t>
      </w:r>
      <w:r>
        <w:rPr>
          <w:color w:val="000000"/>
        </w:rPr>
        <w:t xml:space="preserve">” </w:t>
      </w:r>
      <w:r>
        <w:rPr>
          <w:rFonts w:ascii="Times New Roman;sans-serif" w:hAnsi="Times New Roman;sans-serif"/>
          <w:b w:val="false"/>
          <w:color w:val="000000"/>
          <w:sz w:val="22"/>
        </w:rPr>
        <w:t>is defined in Section 10.4 (Batch Failure).</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1.90.    “</w:t>
      </w:r>
      <w:r>
        <w:rPr>
          <w:rFonts w:ascii="Times New Roman;sans-serif" w:hAnsi="Times New Roman;sans-serif"/>
          <w:b/>
          <w:color w:val="000000"/>
          <w:sz w:val="22"/>
        </w:rPr>
        <w:t>Product Specifications”</w:t>
      </w:r>
      <w:r>
        <w:rPr>
          <w:color w:val="000000"/>
        </w:rPr>
        <w:t xml:space="preserve"> </w:t>
      </w:r>
      <w:r>
        <w:rPr>
          <w:rFonts w:ascii="Times New Roman;sans-serif" w:hAnsi="Times New Roman;sans-serif"/>
          <w:b w:val="false"/>
          <w:color w:val="000000"/>
          <w:sz w:val="22"/>
        </w:rPr>
        <w:t>means, with respect to a Product, the applicable specifications identified in, or determined in accordance with, the relevant SoW.</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1.91.    “</w:t>
      </w:r>
      <w:r>
        <w:rPr>
          <w:rFonts w:ascii="Times New Roman;sans-serif" w:hAnsi="Times New Roman;sans-serif"/>
          <w:b/>
          <w:color w:val="000000"/>
          <w:sz w:val="22"/>
        </w:rPr>
        <w:t>Provider-Supplied Materials</w:t>
      </w:r>
      <w:r>
        <w:rPr>
          <w:color w:val="000000"/>
        </w:rPr>
        <w:t xml:space="preserve">” </w:t>
      </w:r>
      <w:r>
        <w:rPr>
          <w:rFonts w:ascii="Times New Roman;sans-serif" w:hAnsi="Times New Roman;sans-serif"/>
          <w:b w:val="false"/>
          <w:color w:val="000000"/>
          <w:sz w:val="22"/>
        </w:rPr>
        <w:t>is defined in Section 6.3 (Provider-Supplied Materials).</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1.92.    “</w:t>
      </w:r>
      <w:r>
        <w:rPr>
          <w:rFonts w:ascii="Times New Roman;sans-serif" w:hAnsi="Times New Roman;sans-serif"/>
          <w:b/>
          <w:color w:val="000000"/>
          <w:sz w:val="22"/>
        </w:rPr>
        <w:t>Purchase Order</w:t>
      </w:r>
      <w:r>
        <w:rPr>
          <w:color w:val="000000"/>
        </w:rPr>
        <w:t xml:space="preserve">” </w:t>
      </w:r>
      <w:r>
        <w:rPr>
          <w:rFonts w:ascii="Times New Roman;sans-serif" w:hAnsi="Times New Roman;sans-serif"/>
          <w:b w:val="false"/>
          <w:color w:val="000000"/>
          <w:sz w:val="22"/>
        </w:rPr>
        <w:t>is defined in Section 10.2 (Purchase Ordering).</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1.93.    “</w:t>
      </w:r>
      <w:r>
        <w:rPr>
          <w:rFonts w:ascii="Times New Roman;sans-serif" w:hAnsi="Times New Roman;sans-serif"/>
          <w:b/>
          <w:color w:val="000000"/>
          <w:sz w:val="22"/>
        </w:rPr>
        <w:t>Quality Agreement</w:t>
      </w:r>
      <w:r>
        <w:rPr>
          <w:color w:val="000000"/>
        </w:rPr>
        <w:t xml:space="preserve">” </w:t>
      </w:r>
      <w:r>
        <w:rPr>
          <w:rFonts w:ascii="Times New Roman;sans-serif" w:hAnsi="Times New Roman;sans-serif"/>
          <w:b w:val="false"/>
          <w:color w:val="000000"/>
          <w:sz w:val="22"/>
        </w:rPr>
        <w:t xml:space="preserve">means a written mutually agreed upon quality agreement referencing this Agreement, duly executed by both Parties, defining and assigning quality roles and responsibilities, to comply with GxP in the performance of the Services and the Manufacture of each Product under this Agreement.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1.94.    “</w:t>
      </w:r>
      <w:r>
        <w:rPr>
          <w:rFonts w:ascii="Times New Roman;sans-serif" w:hAnsi="Times New Roman;sans-serif"/>
          <w:b/>
          <w:color w:val="000000"/>
          <w:sz w:val="22"/>
        </w:rPr>
        <w:t>Receiving Party</w:t>
      </w:r>
      <w:r>
        <w:rPr>
          <w:color w:val="000000"/>
        </w:rPr>
        <w:t xml:space="preserve">” </w:t>
      </w:r>
      <w:r>
        <w:rPr>
          <w:rFonts w:ascii="Times New Roman;sans-serif" w:hAnsi="Times New Roman;sans-serif"/>
          <w:b w:val="false"/>
          <w:color w:val="000000"/>
          <w:sz w:val="22"/>
        </w:rPr>
        <w:t xml:space="preserve">is defined in Section 16.1 (Scope of Confidential Information).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1.95.    “</w:t>
      </w:r>
      <w:r>
        <w:rPr>
          <w:rFonts w:ascii="Times New Roman;sans-serif" w:hAnsi="Times New Roman;sans-serif"/>
          <w:b/>
          <w:color w:val="000000"/>
          <w:sz w:val="22"/>
        </w:rPr>
        <w:t>Regulatory Approval</w:t>
      </w:r>
      <w:r>
        <w:rPr>
          <w:color w:val="000000"/>
        </w:rPr>
        <w:t xml:space="preserve">” </w:t>
      </w:r>
      <w:r>
        <w:rPr>
          <w:rFonts w:ascii="Times New Roman;sans-serif" w:hAnsi="Times New Roman;sans-serif"/>
          <w:b w:val="false"/>
          <w:color w:val="000000"/>
          <w:sz w:val="22"/>
        </w:rPr>
        <w:t>means all necessary Regulatory Authority approvals for the Manufacture or use of a Product or Senti Product in clinical trials or commercial distribution, selling and marketing of a Product or Senti Product, including an investigational new drug application (IND), biologics license application (BLA), or equivalent application outside of the United States, and satisfaction of any applicable Regulatory Authority registration and notification requirements for use of the Product or Senti Product in the applicable Territory, but excluding permits and licenses with respect to general Facility operations.</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1.96.    “</w:t>
      </w:r>
      <w:r>
        <w:rPr>
          <w:rFonts w:ascii="Times New Roman;sans-serif" w:hAnsi="Times New Roman;sans-serif"/>
          <w:b/>
          <w:color w:val="000000"/>
          <w:sz w:val="22"/>
        </w:rPr>
        <w:t>Regulatory Authority</w:t>
      </w:r>
      <w:r>
        <w:rPr>
          <w:color w:val="000000"/>
        </w:rPr>
        <w:t xml:space="preserve">” </w:t>
      </w:r>
      <w:r>
        <w:rPr>
          <w:rFonts w:ascii="Times New Roman;sans-serif" w:hAnsi="Times New Roman;sans-serif"/>
          <w:b w:val="false"/>
          <w:color w:val="000000"/>
          <w:sz w:val="22"/>
        </w:rPr>
        <w:t>means, in a particular country or regulatory jurisdiction, the applicable governmental authority or agency involved in granting any approvals necessary for the manufacture, use, clinical investigation, marketing, importation and sale of a pharmaceutical product (such as a Product) and, to the extent required in such country or regulatory jurisdiction, pricing or reimbursement approval of such pharmaceutical product in such country or regulatory jurisdiction. For illustrative purposes and without limiting the generality of the foregoing, “Regulatory Authority” includes the FDA and the EMA.</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1.97.    “</w:t>
      </w:r>
      <w:r>
        <w:rPr>
          <w:rFonts w:ascii="Times New Roman;sans-serif" w:hAnsi="Times New Roman;sans-serif"/>
          <w:b/>
          <w:color w:val="000000"/>
          <w:sz w:val="22"/>
        </w:rPr>
        <w:t>Reduction Notice</w:t>
      </w:r>
      <w:r>
        <w:rPr>
          <w:color w:val="000000"/>
        </w:rPr>
        <w:t xml:space="preserve">” </w:t>
      </w:r>
      <w:r>
        <w:rPr>
          <w:rFonts w:ascii="Times New Roman;sans-serif" w:hAnsi="Times New Roman;sans-serif"/>
          <w:b w:val="false"/>
          <w:color w:val="000000"/>
          <w:sz w:val="22"/>
        </w:rPr>
        <w:t>is defined in Section 5.6 (Rescheduling or Reduction of Services).</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1.98.    “</w:t>
      </w:r>
      <w:r>
        <w:rPr>
          <w:rFonts w:ascii="Times New Roman;sans-serif" w:hAnsi="Times New Roman;sans-serif"/>
          <w:b/>
          <w:color w:val="000000"/>
          <w:sz w:val="22"/>
        </w:rPr>
        <w:t>Relevant Senti Intellectual Property</w:t>
      </w:r>
      <w:r>
        <w:rPr>
          <w:color w:val="000000"/>
        </w:rPr>
        <w:t xml:space="preserve">” </w:t>
      </w:r>
      <w:r>
        <w:rPr>
          <w:rFonts w:ascii="Times New Roman;sans-serif" w:hAnsi="Times New Roman;sans-serif"/>
          <w:b w:val="false"/>
          <w:color w:val="000000"/>
          <w:sz w:val="22"/>
        </w:rPr>
        <w:t>means: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 [***] together with</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346075"/>
                <wp:effectExtent l="0" t="0" r="0" b="0"/>
                <wp:wrapNone/>
                <wp:docPr id="206" name="Frame206"/>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1.99.    “</w:t>
      </w:r>
      <w:r>
        <w:rPr>
          <w:rFonts w:ascii="Times New Roman;sans-serif" w:hAnsi="Times New Roman;sans-serif"/>
          <w:b/>
          <w:color w:val="000000"/>
          <w:sz w:val="22"/>
        </w:rPr>
        <w:t>Representatives</w:t>
      </w:r>
      <w:r>
        <w:rPr>
          <w:color w:val="000000"/>
        </w:rPr>
        <w:t xml:space="preserve">” </w:t>
      </w:r>
      <w:r>
        <w:rPr>
          <w:rFonts w:ascii="Times New Roman;sans-serif" w:hAnsi="Times New Roman;sans-serif"/>
          <w:b w:val="false"/>
          <w:color w:val="000000"/>
          <w:sz w:val="22"/>
        </w:rPr>
        <w:t>means a Party’s Affiliates and its and their respective directors, officers, employees, contractors, consultants, and subcontractors.</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1.100.    "</w:t>
      </w:r>
      <w:r>
        <w:rPr>
          <w:rFonts w:ascii="Times New Roman;sans-serif" w:hAnsi="Times New Roman;sans-serif"/>
          <w:b/>
          <w:color w:val="000000"/>
          <w:sz w:val="22"/>
        </w:rPr>
        <w:t>Reschedule Notice</w:t>
      </w:r>
      <w:r>
        <w:rPr>
          <w:color w:val="000000"/>
        </w:rPr>
        <w:t xml:space="preserve">” </w:t>
      </w:r>
      <w:r>
        <w:rPr>
          <w:rFonts w:ascii="Times New Roman;sans-serif" w:hAnsi="Times New Roman;sans-serif"/>
          <w:b w:val="false"/>
          <w:color w:val="000000"/>
          <w:sz w:val="22"/>
        </w:rPr>
        <w:t>is defined in Section 5.6 (Rescheduling or Reduction of Services).</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1.101.    “</w:t>
      </w:r>
      <w:r>
        <w:rPr>
          <w:rFonts w:ascii="Times New Roman;sans-serif" w:hAnsi="Times New Roman;sans-serif"/>
          <w:b/>
          <w:color w:val="000000"/>
          <w:sz w:val="22"/>
        </w:rPr>
        <w:t>Rescheduling or Reduction Fee</w:t>
      </w:r>
      <w:r>
        <w:rPr>
          <w:color w:val="000000"/>
        </w:rPr>
        <w:t xml:space="preserve">” </w:t>
      </w:r>
      <w:r>
        <w:rPr>
          <w:rFonts w:ascii="Times New Roman;sans-serif" w:hAnsi="Times New Roman;sans-serif"/>
          <w:b w:val="false"/>
          <w:color w:val="000000"/>
          <w:sz w:val="22"/>
        </w:rPr>
        <w:t>is defined in Section 5.6.1 (Rescheduling or Reduction Fee).</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1.102.    “</w:t>
      </w:r>
      <w:r>
        <w:rPr>
          <w:rFonts w:ascii="Times New Roman;sans-serif" w:hAnsi="Times New Roman;sans-serif"/>
          <w:b/>
          <w:color w:val="000000"/>
          <w:sz w:val="22"/>
        </w:rPr>
        <w:t>Reservation Fee</w:t>
      </w:r>
      <w:r>
        <w:rPr>
          <w:color w:val="000000"/>
        </w:rPr>
        <w:t xml:space="preserve">” </w:t>
      </w:r>
      <w:r>
        <w:rPr>
          <w:rFonts w:ascii="Times New Roman;sans-serif" w:hAnsi="Times New Roman;sans-serif"/>
          <w:b w:val="false"/>
          <w:color w:val="000000"/>
          <w:sz w:val="22"/>
        </w:rPr>
        <w:t>is defined in Section 7.5 (Invoices).</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1.103.    “</w:t>
      </w:r>
      <w:r>
        <w:rPr>
          <w:rFonts w:ascii="Times New Roman;sans-serif" w:hAnsi="Times New Roman;sans-serif"/>
          <w:b/>
          <w:color w:val="000000"/>
          <w:sz w:val="22"/>
        </w:rPr>
        <w:t>Root Cause</w:t>
      </w:r>
      <w:r>
        <w:rPr>
          <w:color w:val="000000"/>
        </w:rPr>
        <w:t xml:space="preserve">” </w:t>
      </w:r>
      <w:r>
        <w:rPr>
          <w:rFonts w:ascii="Times New Roman;sans-serif" w:hAnsi="Times New Roman;sans-serif"/>
          <w:b w:val="false"/>
          <w:color w:val="000000"/>
          <w:sz w:val="22"/>
        </w:rPr>
        <w:t xml:space="preserve">is defined in Section 5.4.5(a).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1.104.    “</w:t>
      </w:r>
      <w:r>
        <w:rPr>
          <w:rFonts w:ascii="Times New Roman;sans-serif" w:hAnsi="Times New Roman;sans-serif"/>
          <w:b/>
          <w:color w:val="000000"/>
          <w:sz w:val="22"/>
        </w:rPr>
        <w:t>Senti Indemnitees</w:t>
      </w:r>
      <w:r>
        <w:rPr>
          <w:color w:val="000000"/>
        </w:rPr>
        <w:t xml:space="preserve">” </w:t>
      </w:r>
      <w:r>
        <w:rPr>
          <w:rFonts w:ascii="Times New Roman;sans-serif" w:hAnsi="Times New Roman;sans-serif"/>
          <w:b w:val="false"/>
          <w:color w:val="000000"/>
          <w:sz w:val="22"/>
        </w:rPr>
        <w:t>is defined in Section 14.1.1 (Provider Indemnification).</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1.105.    “</w:t>
      </w:r>
      <w:r>
        <w:rPr>
          <w:rFonts w:ascii="Times New Roman;sans-serif" w:hAnsi="Times New Roman;sans-serif"/>
          <w:b/>
          <w:color w:val="000000"/>
          <w:sz w:val="22"/>
        </w:rPr>
        <w:t>Senti Inventions</w:t>
      </w:r>
      <w:r>
        <w:rPr>
          <w:color w:val="000000"/>
        </w:rPr>
        <w:t xml:space="preserve">” </w:t>
      </w:r>
      <w:r>
        <w:rPr>
          <w:rFonts w:ascii="Times New Roman;sans-serif" w:hAnsi="Times New Roman;sans-serif"/>
          <w:b w:val="false"/>
          <w:color w:val="000000"/>
          <w:sz w:val="22"/>
        </w:rPr>
        <w:t>is defined in Section 12.1.2 (Senti Inventions).</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1.106.    “</w:t>
      </w:r>
      <w:r>
        <w:rPr>
          <w:rFonts w:ascii="Times New Roman;sans-serif" w:hAnsi="Times New Roman;sans-serif"/>
          <w:b/>
          <w:color w:val="000000"/>
          <w:sz w:val="22"/>
        </w:rPr>
        <w:t>Senti IP</w:t>
      </w:r>
      <w:r>
        <w:rPr>
          <w:color w:val="000000"/>
        </w:rPr>
        <w:t xml:space="preserve">” </w:t>
      </w:r>
      <w:r>
        <w:rPr>
          <w:rFonts w:ascii="Times New Roman;sans-serif" w:hAnsi="Times New Roman;sans-serif"/>
          <w:b w:val="false"/>
          <w:color w:val="000000"/>
          <w:sz w:val="22"/>
        </w:rPr>
        <w:t>is defined in Section 12.1.1 (Senti IP).</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1.107.    “</w:t>
      </w:r>
      <w:r>
        <w:rPr>
          <w:rFonts w:ascii="Times New Roman;sans-serif" w:hAnsi="Times New Roman;sans-serif"/>
          <w:b/>
          <w:color w:val="000000"/>
          <w:sz w:val="22"/>
        </w:rPr>
        <w:t>Senti [***]</w:t>
      </w:r>
      <w:r>
        <w:rPr>
          <w:color w:val="000000"/>
        </w:rPr>
        <w:t xml:space="preserve">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1.108.    “</w:t>
      </w:r>
      <w:r>
        <w:rPr>
          <w:rFonts w:ascii="Times New Roman;sans-serif" w:hAnsi="Times New Roman;sans-serif"/>
          <w:b/>
          <w:color w:val="000000"/>
          <w:sz w:val="22"/>
        </w:rPr>
        <w:t>Senti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1.109.    “</w:t>
      </w:r>
      <w:r>
        <w:rPr>
          <w:rFonts w:ascii="Times New Roman;sans-serif" w:hAnsi="Times New Roman;sans-serif"/>
          <w:b/>
          <w:color w:val="000000"/>
          <w:sz w:val="22"/>
        </w:rPr>
        <w:t>Senti [***] Product</w:t>
      </w:r>
      <w:r>
        <w:rPr>
          <w:color w:val="000000"/>
        </w:rPr>
        <w:t xml:space="preserve">” </w:t>
      </w:r>
      <w:r>
        <w:rPr>
          <w:rFonts w:ascii="Times New Roman;sans-serif" w:hAnsi="Times New Roman;sans-serif"/>
          <w:b w:val="false"/>
          <w:color w:val="000000"/>
          <w:sz w:val="22"/>
        </w:rPr>
        <w:t>means a pharmaceutical product that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1.110.    “</w:t>
      </w:r>
      <w:r>
        <w:rPr>
          <w:rFonts w:ascii="Times New Roman;sans-serif" w:hAnsi="Times New Roman;sans-serif"/>
          <w:b/>
          <w:color w:val="000000"/>
          <w:sz w:val="22"/>
        </w:rPr>
        <w:t>Senti Product</w:t>
      </w:r>
      <w:r>
        <w:rPr>
          <w:color w:val="000000"/>
        </w:rPr>
        <w:t xml:space="preserve">” </w:t>
      </w:r>
      <w:r>
        <w:rPr>
          <w:rFonts w:ascii="Times New Roman;sans-serif" w:hAnsi="Times New Roman;sans-serif"/>
          <w:b w:val="false"/>
          <w:color w:val="000000"/>
          <w:sz w:val="22"/>
        </w:rPr>
        <w:t>means any product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1.111.    “</w:t>
      </w:r>
      <w:r>
        <w:rPr>
          <w:rFonts w:ascii="Times New Roman;sans-serif" w:hAnsi="Times New Roman;sans-serif"/>
          <w:b/>
          <w:color w:val="000000"/>
          <w:sz w:val="22"/>
        </w:rPr>
        <w:t>Senti Supplies</w:t>
      </w:r>
      <w:r>
        <w:rPr>
          <w:color w:val="000000"/>
        </w:rPr>
        <w:t xml:space="preserve">” </w:t>
      </w:r>
      <w:r>
        <w:rPr>
          <w:rFonts w:ascii="Times New Roman;sans-serif" w:hAnsi="Times New Roman;sans-serif"/>
          <w:b w:val="false"/>
          <w:color w:val="000000"/>
          <w:sz w:val="22"/>
        </w:rPr>
        <w:t>means [***] materials supplied (or specified in the applicable SoW as to be supplied) or otherwise made available by Senti or any of its Affiliates or agents to Provider for use in the Services.</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1.112.    “</w:t>
      </w:r>
      <w:r>
        <w:rPr>
          <w:rFonts w:ascii="Times New Roman;sans-serif" w:hAnsi="Times New Roman;sans-serif"/>
          <w:b/>
          <w:color w:val="000000"/>
          <w:sz w:val="22"/>
        </w:rPr>
        <w:t>Service Fees</w:t>
      </w:r>
      <w:r>
        <w:rPr>
          <w:color w:val="000000"/>
        </w:rPr>
        <w:t xml:space="preserve">” </w:t>
      </w:r>
      <w:r>
        <w:rPr>
          <w:rFonts w:ascii="Times New Roman;sans-serif" w:hAnsi="Times New Roman;sans-serif"/>
          <w:b w:val="false"/>
          <w:color w:val="000000"/>
          <w:sz w:val="22"/>
        </w:rPr>
        <w:t>means the fees payable to Provider in consideration for Provider’s performance of Services and other obligations as described in the applicable Statement of Work, but excluding Out-of-Pocket Costs.</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1.113.    “</w:t>
      </w:r>
      <w:r>
        <w:rPr>
          <w:rFonts w:ascii="Times New Roman;sans-serif" w:hAnsi="Times New Roman;sans-serif"/>
          <w:b/>
          <w:color w:val="000000"/>
          <w:sz w:val="22"/>
        </w:rPr>
        <w:t>Services</w:t>
      </w:r>
      <w:r>
        <w:rPr>
          <w:color w:val="000000"/>
        </w:rPr>
        <w:t xml:space="preserve">” </w:t>
      </w:r>
      <w:r>
        <w:rPr>
          <w:rFonts w:ascii="Times New Roman;sans-serif" w:hAnsi="Times New Roman;sans-serif"/>
          <w:b w:val="false"/>
          <w:color w:val="000000"/>
          <w:sz w:val="22"/>
        </w:rPr>
        <w:t>means all or any part of the services to be performed by or on behalf of Provider under this Agreement, which may include Development Services, Manufacturing and [***] as set forth in any Statement of Work.</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1.114.    “</w:t>
      </w:r>
      <w:r>
        <w:rPr>
          <w:rFonts w:ascii="Times New Roman;sans-serif" w:hAnsi="Times New Roman;sans-serif"/>
          <w:b/>
          <w:color w:val="000000"/>
          <w:sz w:val="22"/>
        </w:rPr>
        <w:t>Shipping Guidelines</w:t>
      </w:r>
      <w:r>
        <w:rPr>
          <w:color w:val="000000"/>
        </w:rPr>
        <w:t xml:space="preserve">” </w:t>
      </w:r>
      <w:r>
        <w:rPr>
          <w:rFonts w:ascii="Times New Roman;sans-serif" w:hAnsi="Times New Roman;sans-serif"/>
          <w:b w:val="false"/>
          <w:color w:val="000000"/>
          <w:sz w:val="22"/>
        </w:rPr>
        <w:t>means, with respect to a Product, the written guidelines for shipping and transporting such Product (including temperature), as agreed in writing by the Parties.</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1.115.    “</w:t>
      </w:r>
      <w:r>
        <w:rPr>
          <w:rFonts w:ascii="Times New Roman;sans-serif" w:hAnsi="Times New Roman;sans-serif"/>
          <w:b/>
          <w:color w:val="000000"/>
          <w:sz w:val="22"/>
        </w:rPr>
        <w:t>Statement of Work</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SoW</w:t>
      </w:r>
      <w:r>
        <w:rPr>
          <w:color w:val="000000"/>
        </w:rPr>
        <w:t xml:space="preserve">” </w:t>
      </w:r>
      <w:r>
        <w:rPr>
          <w:rFonts w:ascii="Times New Roman;sans-serif" w:hAnsi="Times New Roman;sans-serif"/>
          <w:b w:val="false"/>
          <w:color w:val="000000"/>
          <w:sz w:val="22"/>
        </w:rPr>
        <w:t xml:space="preserve">means a written statement of work, duly executed by an authorized representative of each of the Parties, [***].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1.116.    “</w:t>
      </w:r>
      <w:r>
        <w:rPr>
          <w:rFonts w:ascii="Times New Roman;sans-serif" w:hAnsi="Times New Roman;sans-serif"/>
          <w:b/>
          <w:color w:val="000000"/>
          <w:sz w:val="22"/>
        </w:rPr>
        <w:t>Suite Forecast</w:t>
      </w:r>
      <w:r>
        <w:rPr>
          <w:color w:val="000000"/>
        </w:rPr>
        <w:t xml:space="preserve">” </w:t>
      </w:r>
      <w:r>
        <w:rPr>
          <w:rFonts w:ascii="Times New Roman;sans-serif" w:hAnsi="Times New Roman;sans-serif"/>
          <w:b w:val="false"/>
          <w:color w:val="000000"/>
          <w:sz w:val="22"/>
        </w:rPr>
        <w:t>is defined in Section 5.1 (Forecast).</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1.117.    “</w:t>
      </w:r>
      <w:r>
        <w:rPr>
          <w:rFonts w:ascii="Times New Roman;sans-serif" w:hAnsi="Times New Roman;sans-serif"/>
          <w:b/>
          <w:color w:val="000000"/>
          <w:sz w:val="22"/>
        </w:rPr>
        <w:t>Supply Failure</w:t>
      </w:r>
      <w:r>
        <w:rPr>
          <w:color w:val="000000"/>
        </w:rPr>
        <w:t xml:space="preserve">” </w:t>
      </w:r>
      <w:r>
        <w:rPr>
          <w:rFonts w:ascii="Times New Roman;sans-serif" w:hAnsi="Times New Roman;sans-serif"/>
          <w:b w:val="false"/>
          <w:color w:val="000000"/>
          <w:sz w:val="22"/>
        </w:rPr>
        <w:t>is defined in Section 5.4.5.</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1.118.    “</w:t>
      </w:r>
      <w:r>
        <w:rPr>
          <w:rFonts w:ascii="Times New Roman;sans-serif" w:hAnsi="Times New Roman;sans-serif"/>
          <w:b/>
          <w:color w:val="000000"/>
          <w:sz w:val="22"/>
        </w:rPr>
        <w:t>Target Supply Date</w:t>
      </w:r>
      <w:r>
        <w:rPr>
          <w:color w:val="000000"/>
        </w:rPr>
        <w:t xml:space="preserve">” </w:t>
      </w:r>
      <w:r>
        <w:rPr>
          <w:rFonts w:ascii="Times New Roman;sans-serif" w:hAnsi="Times New Roman;sans-serif"/>
          <w:b w:val="false"/>
          <w:color w:val="000000"/>
          <w:sz w:val="22"/>
        </w:rPr>
        <w:t xml:space="preserve">means the date by which Provider will fill the relevant Product into its final container, place it into appropriate storage conditions, and complete </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346075"/>
                <wp:effectExtent l="0" t="0" r="0" b="0"/>
                <wp:wrapNone/>
                <wp:docPr id="207" name="Frame207"/>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all of Provider’s internal quality control testing of the relevant Product, as stated in the relevant Statement of Work or agreed by the Parties in writing.</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1.119.    “</w:t>
      </w:r>
      <w:r>
        <w:rPr>
          <w:rFonts w:ascii="Times New Roman;sans-serif" w:hAnsi="Times New Roman;sans-serif"/>
          <w:b/>
          <w:color w:val="000000"/>
          <w:sz w:val="22"/>
        </w:rPr>
        <w:t>Term</w:t>
      </w:r>
      <w:r>
        <w:rPr>
          <w:color w:val="000000"/>
        </w:rPr>
        <w:t xml:space="preserve">” </w:t>
      </w:r>
      <w:r>
        <w:rPr>
          <w:rFonts w:ascii="Times New Roman;sans-serif" w:hAnsi="Times New Roman;sans-serif"/>
          <w:b w:val="false"/>
          <w:color w:val="000000"/>
          <w:sz w:val="22"/>
        </w:rPr>
        <w:t>is defined in Section 15.1 (Term).</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1.120.    “</w:t>
      </w:r>
      <w:r>
        <w:rPr>
          <w:rFonts w:ascii="Times New Roman;sans-serif" w:hAnsi="Times New Roman;sans-serif"/>
          <w:b/>
          <w:color w:val="000000"/>
          <w:sz w:val="22"/>
        </w:rPr>
        <w:t>Territory</w:t>
      </w:r>
      <w:r>
        <w:rPr>
          <w:color w:val="000000"/>
        </w:rPr>
        <w:t xml:space="preserve">” </w:t>
      </w:r>
      <w:r>
        <w:rPr>
          <w:rFonts w:ascii="Times New Roman;sans-serif" w:hAnsi="Times New Roman;sans-serif"/>
          <w:b w:val="false"/>
          <w:color w:val="000000"/>
          <w:sz w:val="22"/>
        </w:rPr>
        <w:t xml:space="preserve">means, with respect to a Product to be Manufactured and supplied under any Statement of Work hereunder, any country in which Senti or its Affiliate or, if applicable, its licensee is authorized, or may be authorized, to conduct clinical trials of such Product or the corresponding Senti Product and that is specifically identified in the applicable Statement of Work (or a Change Order). Notwithstanding the foregoing, unless otherwise expressly set forth in a Statement of Work (or Change Order), the countries and jurisdictions listed in </w:t>
      </w:r>
      <w:r>
        <w:rPr>
          <w:rFonts w:ascii="Times New Roman;sans-serif" w:hAnsi="Times New Roman;sans-serif"/>
          <w:b w:val="false"/>
          <w:color w:val="000000"/>
          <w:sz w:val="22"/>
          <w:u w:val="single"/>
        </w:rPr>
        <w:t>Exhibit D</w:t>
      </w:r>
      <w:r>
        <w:rPr>
          <w:color w:val="000000"/>
        </w:rPr>
        <w:t xml:space="preserve"> </w:t>
      </w:r>
      <w:r>
        <w:rPr>
          <w:rFonts w:ascii="Times New Roman;sans-serif" w:hAnsi="Times New Roman;sans-serif"/>
          <w:b w:val="false"/>
          <w:color w:val="000000"/>
          <w:sz w:val="22"/>
        </w:rPr>
        <w:t xml:space="preserve">hereto shall be deemed included in the “Territory” for all Products under all Statements of Work.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1.122.    “</w:t>
      </w:r>
      <w:r>
        <w:rPr>
          <w:rFonts w:ascii="Times New Roman;sans-serif" w:hAnsi="Times New Roman;sans-serif"/>
          <w:b/>
          <w:color w:val="000000"/>
          <w:sz w:val="22"/>
        </w:rPr>
        <w:t>Third Party</w:t>
      </w:r>
      <w:r>
        <w:rPr>
          <w:color w:val="000000"/>
        </w:rPr>
        <w:t xml:space="preserve">” </w:t>
      </w:r>
      <w:r>
        <w:rPr>
          <w:rFonts w:ascii="Times New Roman;sans-serif" w:hAnsi="Times New Roman;sans-serif"/>
          <w:b w:val="false"/>
          <w:color w:val="000000"/>
          <w:sz w:val="22"/>
        </w:rPr>
        <w:t>means any party other than Provider, Senti and their respective Affiliates.</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1.122.    “</w:t>
      </w:r>
      <w:r>
        <w:rPr>
          <w:rFonts w:ascii="Times New Roman;sans-serif" w:hAnsi="Times New Roman;sans-serif"/>
          <w:b/>
          <w:color w:val="000000"/>
          <w:sz w:val="22"/>
        </w:rPr>
        <w:t>Third Party Claim</w:t>
      </w:r>
      <w:r>
        <w:rPr>
          <w:color w:val="000000"/>
        </w:rPr>
        <w:t xml:space="preserve">” </w:t>
      </w:r>
      <w:r>
        <w:rPr>
          <w:rFonts w:ascii="Times New Roman;sans-serif" w:hAnsi="Times New Roman;sans-serif"/>
          <w:b w:val="false"/>
          <w:color w:val="000000"/>
          <w:sz w:val="22"/>
        </w:rPr>
        <w:t>is defined in Section 14.1.1 (Provider Indemnification).</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1.123.    </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is defined in Section 2.4.4.</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1.124.    “</w:t>
      </w:r>
      <w:r>
        <w:rPr>
          <w:rFonts w:ascii="Times New Roman;sans-serif" w:hAnsi="Times New Roman;sans-serif"/>
          <w:b/>
          <w:color w:val="000000"/>
          <w:sz w:val="22"/>
        </w:rPr>
        <w:t>Third Party Starting Materials</w:t>
      </w:r>
      <w:r>
        <w:rPr>
          <w:color w:val="000000"/>
        </w:rPr>
        <w:t xml:space="preserve">” </w:t>
      </w:r>
      <w:r>
        <w:rPr>
          <w:rFonts w:ascii="Times New Roman;sans-serif" w:hAnsi="Times New Roman;sans-serif"/>
          <w:b w:val="false"/>
          <w:color w:val="000000"/>
          <w:sz w:val="22"/>
        </w:rPr>
        <w:t>means [***] procured by or on behalf of Provider from a Third Party for use in the performance of Services.</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1.125.    “</w:t>
      </w:r>
      <w:r>
        <w:rPr>
          <w:rFonts w:ascii="Times New Roman;sans-serif" w:hAnsi="Times New Roman;sans-serif"/>
          <w:b/>
          <w:color w:val="000000"/>
          <w:sz w:val="22"/>
        </w:rPr>
        <w:t>U.S. Economic Sanctions</w:t>
      </w:r>
      <w:r>
        <w:rPr>
          <w:color w:val="000000"/>
        </w:rPr>
        <w:t xml:space="preserve">” </w:t>
      </w:r>
      <w:r>
        <w:rPr>
          <w:rFonts w:ascii="Times New Roman;sans-serif" w:hAnsi="Times New Roman;sans-serif"/>
          <w:b w:val="false"/>
          <w:color w:val="000000"/>
          <w:sz w:val="22"/>
        </w:rPr>
        <w:t xml:space="preserve">is defined in Section 13.2.6 (Provider Representations, Warranties and Covenants).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1.126.    “</w:t>
      </w:r>
      <w:r>
        <w:rPr>
          <w:rFonts w:ascii="Times New Roman;sans-serif" w:hAnsi="Times New Roman;sans-serif"/>
          <w:b/>
          <w:color w:val="000000"/>
          <w:sz w:val="22"/>
        </w:rPr>
        <w:t>Unforeseen Technical Factor</w:t>
      </w:r>
      <w:r>
        <w:rPr>
          <w:color w:val="000000"/>
        </w:rPr>
        <w:t xml:space="preserve">” </w:t>
      </w:r>
      <w:r>
        <w:rPr>
          <w:rFonts w:ascii="Times New Roman;sans-serif" w:hAnsi="Times New Roman;sans-serif"/>
          <w:b w:val="false"/>
          <w:color w:val="000000"/>
          <w:sz w:val="22"/>
        </w:rPr>
        <w:t>is defined in Section 15.2.3 (Termination; For Technical Issues).</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1.127.    “</w:t>
      </w:r>
      <w:r>
        <w:rPr>
          <w:rFonts w:ascii="Times New Roman;sans-serif" w:hAnsi="Times New Roman;sans-serif"/>
          <w:b/>
          <w:color w:val="000000"/>
          <w:sz w:val="22"/>
        </w:rPr>
        <w:t>Unsatisfactory Engineering Batch</w:t>
      </w:r>
      <w:r>
        <w:rPr>
          <w:color w:val="000000"/>
        </w:rPr>
        <w:t xml:space="preserve">” </w:t>
      </w:r>
      <w:r>
        <w:rPr>
          <w:rFonts w:ascii="Times New Roman;sans-serif" w:hAnsi="Times New Roman;sans-serif"/>
          <w:b w:val="false"/>
          <w:color w:val="000000"/>
          <w:sz w:val="22"/>
        </w:rPr>
        <w:t>is defined in Section 9.2 (Engineering Batches).</w:t>
      </w:r>
    </w:p>
    <w:p>
      <w:pPr>
        <w:pStyle w:val="TextBody"/>
        <w:bidi w:val="0"/>
        <w:spacing w:lineRule="auto" w:line="240" w:before="480" w:after="240"/>
        <w:ind w:left="0" w:right="0" w:hanging="360"/>
        <w:jc w:val="both"/>
        <w:rPr/>
      </w:pPr>
      <w:r>
        <w:rPr>
          <w:rFonts w:ascii="Times New Roman;sans-serif" w:hAnsi="Times New Roman;sans-serif"/>
          <w:b/>
          <w:color w:val="000000"/>
          <w:sz w:val="22"/>
        </w:rPr>
        <w:t>2.    </w:t>
      </w:r>
      <w:r>
        <w:rPr>
          <w:rFonts w:ascii="Times New Roman;sans-serif" w:hAnsi="Times New Roman;sans-serif"/>
          <w:b w:val="false"/>
          <w:color w:val="000000"/>
          <w:sz w:val="22"/>
        </w:rPr>
        <w:t>ENGAGEMENT OF PROVIDER; SOWS; IN-SCOPE ACTIVITIES; GUARANTY.</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2.1.    </w:t>
      </w:r>
      <w:r>
        <w:rPr>
          <w:rFonts w:ascii="Times New Roman;sans-serif" w:hAnsi="Times New Roman;sans-serif"/>
          <w:b/>
          <w:color w:val="000000"/>
          <w:sz w:val="22"/>
        </w:rPr>
        <w:t>Master Agreement</w:t>
      </w:r>
      <w:r>
        <w:rPr>
          <w:rFonts w:ascii="Times New Roman;sans-serif" w:hAnsi="Times New Roman;sans-serif"/>
          <w:b w:val="false"/>
          <w:color w:val="000000"/>
          <w:sz w:val="22"/>
        </w:rPr>
        <w:t xml:space="preserve">. This Agreement establishes the general terms and conditions under which Provider may perform Services for Senti. This Agreement is intended to allow the Parties to contract for Services by entering into specific Statements of Work without having to renegotiate the general terms and conditions that apply.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2.2.    </w:t>
      </w:r>
      <w:r>
        <w:rPr>
          <w:rFonts w:ascii="Times New Roman;sans-serif" w:hAnsi="Times New Roman;sans-serif"/>
          <w:b/>
          <w:color w:val="000000"/>
          <w:sz w:val="22"/>
        </w:rPr>
        <w:t>Statements of Work</w:t>
      </w:r>
      <w:r>
        <w:rPr>
          <w:rFonts w:ascii="Times New Roman;sans-serif" w:hAnsi="Times New Roman;sans-serif"/>
          <w:b w:val="false"/>
          <w:color w:val="000000"/>
          <w:sz w:val="22"/>
        </w:rPr>
        <w:t xml:space="preserve">. From time to time during the Term, Senti may wish to engage Provider to perform Services under this Agreement. The specific Services to be performed by or on behalf of Provider will be set forth and described in a uniquely numbered Statement of Work. No Statement of Work will be effective unless and until it has been agreed to and fully executed and delivered by duly authorized representatives of both Parties. Each Statement of Work will constitute a separate agreement of the Parties but will form a part of and will be governed by the terms of this Agreement, whether or not physically annexed to this Agreement. Statements of Work may be modified or expanded in accordance with Section 5.7 (Changes to Statements of Work).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2.3.    </w:t>
      </w:r>
      <w:r>
        <w:rPr>
          <w:rFonts w:ascii="Times New Roman;sans-serif" w:hAnsi="Times New Roman;sans-serif"/>
          <w:b/>
          <w:color w:val="000000"/>
          <w:sz w:val="22"/>
        </w:rPr>
        <w:t>Initial Statements of Work</w:t>
      </w:r>
      <w:r>
        <w:rPr>
          <w:rFonts w:ascii="Times New Roman;sans-serif" w:hAnsi="Times New Roman;sans-serif"/>
          <w:b w:val="false"/>
          <w:color w:val="000000"/>
          <w:sz w:val="22"/>
        </w:rPr>
        <w:t xml:space="preserve">. The Parties hereby agree that the Statements of Work attached hereto as </w:t>
      </w:r>
      <w:r>
        <w:rPr>
          <w:rFonts w:ascii="Times New Roman;sans-serif" w:hAnsi="Times New Roman;sans-serif"/>
          <w:b w:val="false"/>
          <w:color w:val="000000"/>
          <w:sz w:val="22"/>
          <w:u w:val="single"/>
        </w:rPr>
        <w:t>Exhibit B.1</w:t>
      </w:r>
      <w:r>
        <w:rPr>
          <w:color w:val="000000"/>
        </w:rPr>
        <w:t xml:space="preserve"> </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Exhibit B.2</w:t>
      </w:r>
      <w:r>
        <w:rPr>
          <w:color w:val="000000"/>
        </w:rPr>
        <w:t xml:space="preserve"> </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Exhibit B.3</w:t>
      </w:r>
      <w:r>
        <w:rPr>
          <w:color w:val="000000"/>
        </w:rPr>
        <w:t xml:space="preserve"> </w:t>
      </w:r>
      <w:r>
        <w:rPr>
          <w:rFonts w:ascii="Times New Roman;sans-serif" w:hAnsi="Times New Roman;sans-serif"/>
          <w:b w:val="false"/>
          <w:color w:val="000000"/>
          <w:sz w:val="22"/>
        </w:rPr>
        <w:t xml:space="preserve">[***] (collectively, </w:t>
      </w:r>
      <w:r>
        <w:rPr>
          <w:rFonts w:ascii="Times New Roman;sans-serif" w:hAnsi="Times New Roman;sans-serif"/>
          <w:b w:val="false"/>
          <w:color w:val="000000"/>
          <w:sz w:val="22"/>
          <w:u w:val="single"/>
        </w:rPr>
        <w:t>Exhibit B</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Exhibit C</w:t>
      </w:r>
      <w:r>
        <w:rPr>
          <w:color w:val="000000"/>
        </w:rPr>
        <w:t xml:space="preserve"> </w:t>
      </w:r>
      <w:r>
        <w:rPr>
          <w:rFonts w:ascii="Times New Roman;sans-serif" w:hAnsi="Times New Roman;sans-serif"/>
          <w:b w:val="false"/>
          <w:color w:val="000000"/>
          <w:sz w:val="22"/>
        </w:rPr>
        <w:t xml:space="preserve">[***] shall be effective as of the Effective Date. The SoWs set forth in </w:t>
      </w:r>
      <w:r>
        <w:rPr>
          <w:rFonts w:ascii="Times New Roman;sans-serif" w:hAnsi="Times New Roman;sans-serif"/>
          <w:b w:val="false"/>
          <w:color w:val="000000"/>
          <w:sz w:val="22"/>
          <w:u w:val="single"/>
        </w:rPr>
        <w:t>Exhibit B</w:t>
      </w:r>
      <w:r>
        <w:rPr>
          <w:color w:val="000000"/>
        </w:rPr>
        <w:t xml:space="preserve"> </w:t>
      </w:r>
      <w:r>
        <w:rPr>
          <w:rFonts w:ascii="Times New Roman;sans-serif" w:hAnsi="Times New Roman;sans-serif"/>
          <w:b w:val="false"/>
          <w:color w:val="000000"/>
          <w:sz w:val="22"/>
        </w:rPr>
        <w:t xml:space="preserve">will cover Services to be conducted during the estimated time period as </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346075"/>
                <wp:effectExtent l="0" t="0" r="0" b="0"/>
                <wp:wrapNone/>
                <wp:docPr id="208" name="Frame208"/>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set forth in such SoWs and as agreed to by the Parties through the forecasting mechanism set forth in Section 5.1 (the “</w:t>
      </w:r>
      <w:r>
        <w:rPr>
          <w:rFonts w:ascii="Times New Roman;sans-serif" w:hAnsi="Times New Roman;sans-serif"/>
          <w:b/>
          <w:color w:val="000000"/>
          <w:sz w:val="22"/>
        </w:rPr>
        <w:t>Phase 1 SoWs</w:t>
      </w:r>
      <w:r>
        <w:rPr>
          <w:color w:val="000000"/>
        </w:rPr>
        <w:t>”</w:t>
      </w:r>
      <w:r>
        <w:rPr>
          <w:rFonts w:ascii="Times New Roman;sans-serif" w:hAnsi="Times New Roman;sans-serif"/>
          <w:b w:val="false"/>
          <w:color w:val="000000"/>
          <w:sz w:val="22"/>
        </w:rPr>
        <w:t xml:space="preserve">). Under the SoW set forth in </w:t>
      </w:r>
      <w:r>
        <w:rPr>
          <w:rFonts w:ascii="Times New Roman;sans-serif" w:hAnsi="Times New Roman;sans-serif"/>
          <w:b w:val="false"/>
          <w:color w:val="000000"/>
          <w:sz w:val="22"/>
          <w:u w:val="single"/>
        </w:rPr>
        <w:t>Exhibit C</w:t>
      </w:r>
      <w:r>
        <w:rPr>
          <w:color w:val="000000"/>
        </w:rPr>
        <w:t xml:space="preserve"> </w:t>
      </w:r>
      <w:r>
        <w:rPr>
          <w:rFonts w:ascii="Times New Roman;sans-serif" w:hAnsi="Times New Roman;sans-serif"/>
          <w:b w:val="false"/>
          <w:color w:val="000000"/>
          <w:sz w:val="22"/>
        </w:rPr>
        <w:t>(the [***] Senti is [***] to Provider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2.4.    </w:t>
      </w:r>
      <w:r>
        <w:rPr>
          <w:rFonts w:ascii="Times New Roman;sans-serif" w:hAnsi="Times New Roman;sans-serif"/>
          <w:b/>
          <w:color w:val="000000"/>
          <w:sz w:val="22"/>
        </w:rPr>
        <w:t>[***]</w:t>
      </w:r>
      <w:r>
        <w:rPr>
          <w:rFonts w:ascii="Times New Roman;sans-serif" w:hAnsi="Times New Roman;sans-serif"/>
          <w:b w:val="false"/>
          <w:color w:val="000000"/>
          <w:sz w:val="22"/>
        </w:rPr>
        <w:t>. Subject to and in accordance with the process set forth in this Section 2.4 [***], Senti shall engage Provider for, and Provider shall be obligated to conduct, any In-Scope Activities involving the use of Relevant Senti Intellectual Property that Senti requires for or in connection with Senti’s [***] (such required In-Scope Activities, the “</w:t>
      </w:r>
      <w:r>
        <w:rPr>
          <w:rFonts w:ascii="Times New Roman;sans-serif" w:hAnsi="Times New Roman;sans-serif"/>
          <w:b/>
          <w:color w:val="000000"/>
          <w:sz w:val="22"/>
        </w:rPr>
        <w:t>Senti Desired Activities</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2.4.1.    Subject to Section 5.4 (Supply Failure), upon Senti’s determination to conduct or have conducted any particular instance of Senti Desired Activities, then, [***] Senti shall notify Provider, and the JSC shall promptly meet to discuss, based on evidence provided by Provider in advance of such discussion, whether: [***] then, in addition to the criteria provided in clauses (a), (b) and (c) above, the JSC shall also have regard to whether (d) [***] If the JSC is unable to agree whether [***] the dispute shall be resolved in accordance with Section 2.4.6.</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2.4.2.    If the JSC or Executive Officers agree, or the expert determines (pursuant to Section 2.4.6), that [***] then Senti shall have no obligation [***] to conduct such Senti Desired Activities, and shall be free to [***] to conduct such Senti Desired Activities. If Provider subsequently believes that [***], it may notify Senti, and if Senti thereafter [***] then Section 2.4.1 will apply to such Senti Desired Activities; provided that Senti shall notify Provider in accordance with Section 2.4.1, (i)[***]</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2.4.3.    If the JSC or Executive Officers agree, or the expert determines (pursuant to section 2.4.6), that [***].</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2.4.4.    At any time prior to the Parties’ entry into such Statement of Work negotiated pursuant to Section 2.4.3(i), Senti may [***], then Senti may notify Provider. In order to be valid, each such notice shall set out [***] and except as provided below, shall include [***] provided that, if Senti is unable to provide [***] the Parties will engage an independent technical expert to [***] and assess whether [***] and, if not, to assess [***]. The expert shall provide the Parties with a report setting out its conclusion, details of [***], and the methodology used in making the assessment, and shall state whether [***] Senti shall use Commercially Reasonable Efforts to [***] or for the independent technical expert to [***] Unless within [***] after receipt of notice from Senti or receipt of the report from the independent expert, Provider either (i) [***] (ii) [***], Senti shall [***], and shall [***]If Provider timely disputes Senti’s assertion, the dispute will be resolved under Section 2.4.6, and if such resolution is that [***] If the resolution of such dispute under Section 2.4.6 is that [***], then unless Provider agrees [***], Senti shall [***], and shall [***].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 xml:space="preserve">2.4.5.    If at any time Provider has the capability to conduct particular activities in addition to those listed on </w:t>
      </w:r>
      <w:r>
        <w:rPr>
          <w:rFonts w:ascii="Times New Roman;sans-serif" w:hAnsi="Times New Roman;sans-serif"/>
          <w:b w:val="false"/>
          <w:color w:val="000000"/>
          <w:sz w:val="22"/>
          <w:u w:val="single"/>
        </w:rPr>
        <w:t>Exhibit A</w:t>
      </w:r>
      <w:r>
        <w:rPr>
          <w:rFonts w:ascii="Times New Roman;sans-serif" w:hAnsi="Times New Roman;sans-serif"/>
          <w:b w:val="false"/>
          <w:color w:val="000000"/>
          <w:sz w:val="22"/>
        </w:rPr>
        <w:t xml:space="preserve">, Provider shall notify Senti and provide all information and documentation reasonably requested by Senti to evidence such capability. If Senti does not agree that Provider has the capability to conduct the proposed activities within [***] after Provider notifies Senti and provides the requested evidence, then the dispute will be resolved pursuant to Section 2.4.6. If Senti agrees (or the Executive Officers agree or the expert determines pursuant to Section 2.4.6) that Provider has the capability to conduct the proposed activities, then the Parties shall amend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 xml:space="preserve">accordingly and [***] shall apply with respect to those added activities. If, as of the date the activities are added to </w:t>
      </w:r>
      <w:r>
        <w:rPr>
          <w:rFonts w:ascii="Times New Roman;sans-serif" w:hAnsi="Times New Roman;sans-serif"/>
          <w:b w:val="false"/>
          <w:color w:val="000000"/>
          <w:sz w:val="22"/>
          <w:u w:val="single"/>
        </w:rPr>
        <w:t xml:space="preserve">Exhibit A </w:t>
      </w:r>
      <w:r>
        <w:rPr>
          <w:rFonts w:ascii="Times New Roman;sans-serif" w:hAnsi="Times New Roman;sans-serif"/>
          <w:b w:val="false"/>
          <w:color w:val="000000"/>
          <w:sz w:val="22"/>
        </w:rPr>
        <w:t>(“</w:t>
      </w:r>
      <w:r>
        <w:rPr>
          <w:rFonts w:ascii="Times New Roman;sans-serif" w:hAnsi="Times New Roman;sans-serif"/>
          <w:b/>
          <w:color w:val="000000"/>
          <w:sz w:val="22"/>
        </w:rPr>
        <w:t>Activity</w:t>
      </w:r>
      <w:r>
        <w:rPr>
          <w:color w:val="000000"/>
        </w:rPr>
        <w:t xml:space="preserve"> </w:t>
      </w:r>
      <w:r>
        <w:rPr>
          <w:rFonts w:ascii="Times New Roman;sans-serif" w:hAnsi="Times New Roman;sans-serif"/>
          <w:b/>
          <w:color w:val="000000"/>
          <w:sz w:val="22"/>
        </w:rPr>
        <w:t>Addition Date</w:t>
      </w:r>
      <w:r>
        <w:rPr>
          <w:color w:val="000000"/>
        </w:rPr>
        <w:t>”</w:t>
      </w:r>
      <w:r>
        <w:rPr>
          <w:rFonts w:ascii="Times New Roman;sans-serif" w:hAnsi="Times New Roman;sans-serif"/>
          <w:b w:val="false"/>
          <w:color w:val="000000"/>
          <w:sz w:val="22"/>
        </w:rPr>
        <w:t xml:space="preserve">), Senti has, pursuant to a then-effective agreement, [***], Senti may [***]. </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346075"/>
                <wp:effectExtent l="0" t="0" r="0" b="0"/>
                <wp:wrapNone/>
                <wp:docPr id="209" name="Frame209"/>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2.4.6.    Disputes specified under this Agreement to be resolved under this Section 2.4.6 shall be referred to the Executive Officers for resolution. If the Executive Officers fail to resolve such dispute(s) within [***] after such referral, then the Parties shall engage an independent technical expert that is agreed by the Parties (such agreement not to be unreasonably withheld) to resolve the dispute(s). If the dispute relates to [***], then [***] shall apply. In all other circumstances, each Party shall provide to the other Party and such expert its evidence and arguments with respect to such dispute(s). The decision of the expert will be final and binding upon the Parties in the absence of manifest error or bad faith on the part of the expert. The Parties will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2.5.    </w:t>
      </w:r>
      <w:r>
        <w:rPr>
          <w:rFonts w:ascii="Times New Roman;sans-serif" w:hAnsi="Times New Roman;sans-serif"/>
          <w:b/>
          <w:color w:val="000000"/>
          <w:sz w:val="22"/>
        </w:rPr>
        <w:t>[***]</w:t>
      </w:r>
      <w:r>
        <w:rPr>
          <w:rFonts w:ascii="Times New Roman;sans-serif" w:hAnsi="Times New Roman;sans-serif"/>
          <w:b w:val="false"/>
          <w:color w:val="000000"/>
          <w:sz w:val="22"/>
        </w:rPr>
        <w:t>. This Section 2.5 ([***]) will only apply if Senti intends to license, grant an option to obtain a license, or otherwise transfer to a Third Party (a “</w:t>
      </w:r>
      <w:r>
        <w:rPr>
          <w:rFonts w:ascii="Times New Roman;sans-serif" w:hAnsi="Times New Roman;sans-serif"/>
          <w:b/>
          <w:color w:val="000000"/>
          <w:sz w:val="22"/>
        </w:rPr>
        <w:t>Licensee</w:t>
      </w:r>
      <w:r>
        <w:rPr>
          <w:color w:val="000000"/>
        </w:rPr>
        <w:t>”</w:t>
      </w:r>
      <w:r>
        <w:rPr>
          <w:rFonts w:ascii="Times New Roman;sans-serif" w:hAnsi="Times New Roman;sans-serif"/>
          <w:b w:val="false"/>
          <w:color w:val="000000"/>
          <w:sz w:val="22"/>
        </w:rPr>
        <w:t>) [***] (a “</w:t>
      </w:r>
      <w:r>
        <w:rPr>
          <w:rFonts w:ascii="Times New Roman;sans-serif" w:hAnsi="Times New Roman;sans-serif"/>
          <w:b/>
          <w:color w:val="000000"/>
          <w:sz w:val="22"/>
        </w:rPr>
        <w:t>Proposed Transaction</w:t>
      </w:r>
      <w:r>
        <w:rPr>
          <w:color w:val="000000"/>
        </w:rPr>
        <w:t>”</w:t>
      </w:r>
      <w:r>
        <w:rPr>
          <w:rFonts w:ascii="Times New Roman;sans-serif" w:hAnsi="Times New Roman;sans-serif"/>
          <w:b w:val="false"/>
          <w:color w:val="000000"/>
          <w:sz w:val="22"/>
        </w:rPr>
        <w:t>), and will not apply to any product that [***], are not Proposed Transactions and shall not be subject to this Section 2.5 [***]).</w:t>
      </w:r>
    </w:p>
    <w:p>
      <w:pPr>
        <w:pStyle w:val="TextBody"/>
        <w:bidi w:val="0"/>
        <w:spacing w:lineRule="auto" w:line="240" w:before="120" w:after="283"/>
        <w:ind w:left="0" w:right="0" w:hanging="864"/>
        <w:jc w:val="both"/>
        <w:rPr/>
      </w:pPr>
      <w:r>
        <w:rPr>
          <w:rFonts w:ascii="Times New Roman;sans-serif" w:hAnsi="Times New Roman;sans-serif"/>
          <w:b w:val="false"/>
          <w:color w:val="000000"/>
          <w:sz w:val="22"/>
        </w:rPr>
        <w:t>2.5.1.    </w:t>
      </w:r>
      <w:r>
        <w:rPr>
          <w:rFonts w:ascii="Times New Roman;sans-serif" w:hAnsi="Times New Roman;sans-serif"/>
          <w:b/>
          <w:color w:val="000000"/>
          <w:sz w:val="22"/>
        </w:rPr>
        <w:t>Senti [***] Products.</w:t>
      </w:r>
    </w:p>
    <w:p>
      <w:pPr>
        <w:pStyle w:val="TextBody"/>
        <w:bidi w:val="0"/>
        <w:spacing w:lineRule="auto" w:line="240" w:before="120" w:after="283"/>
        <w:ind w:left="0" w:right="0" w:hanging="1224"/>
        <w:jc w:val="both"/>
        <w:rPr/>
      </w:pPr>
      <w:r>
        <w:rPr>
          <w:rFonts w:ascii="Times New Roman;sans-serif" w:hAnsi="Times New Roman;sans-serif"/>
          <w:b w:val="false"/>
          <w:color w:val="000000"/>
          <w:sz w:val="22"/>
        </w:rPr>
        <w:t>2.5.1(a)    If Senti intends to carry out a Proposed Transaction in connection with a Senti [***] Product, and Senti has not commenced any activities for [***] (“</w:t>
      </w:r>
      <w:r>
        <w:rPr>
          <w:rFonts w:ascii="Times New Roman;sans-serif" w:hAnsi="Times New Roman;sans-serif"/>
          <w:b/>
          <w:color w:val="000000"/>
          <w:sz w:val="22"/>
        </w:rPr>
        <w:t>[***] Activities</w:t>
      </w:r>
      <w:r>
        <w:rPr>
          <w:color w:val="000000"/>
        </w:rPr>
        <w:t>”</w:t>
      </w:r>
      <w:r>
        <w:rPr>
          <w:rFonts w:ascii="Times New Roman;sans-serif" w:hAnsi="Times New Roman;sans-serif"/>
          <w:b w:val="false"/>
          <w:color w:val="000000"/>
          <w:sz w:val="22"/>
        </w:rPr>
        <w:t>), then:</w:t>
      </w:r>
    </w:p>
    <w:p>
      <w:pPr>
        <w:pStyle w:val="TextBody"/>
        <w:bidi w:val="0"/>
        <w:spacing w:lineRule="auto" w:line="240" w:before="240" w:after="24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(i)    If any SoWs are in effect between Senti and Provider relating to the relevant Senti [***] Product at the time of discussions with a prospective Licensee regarding the Proposed Transaction, the Out-License Procedures shall apply to those SoWs, the Quality Agreement, and the [***] for such Senti [***] Product;</w:t>
      </w:r>
    </w:p>
    <w:p>
      <w:pPr>
        <w:pStyle w:val="TextBody"/>
        <w:bidi w:val="0"/>
        <w:spacing w:lineRule="auto" w:line="240" w:before="240" w:after="24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(ii)    If the Proposed Transaction is [***}, upon [***], if any SoWs are in effect between Senti and Provider relating to the relevant Senti [***] Product and/or Senti [***] Product on the date of [***], the Out-License Procedures shall apply to such SoWs, the Quality Agreement, and the [***] for such Senti [***] Product and/or Senti [***] Product. Senti shall ensure it has the right to effect the Out-License Procedures in connection with [***] and [***] may be negotiated and agreed before or after [***], however in no event shall [***];</w:t>
      </w:r>
    </w:p>
    <w:p>
      <w:pPr>
        <w:pStyle w:val="TextBody"/>
        <w:bidi w:val="0"/>
        <w:spacing w:lineRule="auto" w:line="240" w:before="240" w:after="24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(iii)    if no SoWs are in effect between Senti and Provider when [***], or when the Licensee [***], Senti shall have no obligation to undertake the Out-License Procedures, however Senti shall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2.5.2.    </w:t>
      </w:r>
      <w:r>
        <w:rPr>
          <w:rFonts w:ascii="Times New Roman;sans-serif" w:hAnsi="Times New Roman;sans-serif"/>
          <w:b/>
          <w:color w:val="000000"/>
          <w:sz w:val="22"/>
        </w:rPr>
        <w:t xml:space="preserve">Senti [***] Products with [***] Activities. </w:t>
      </w:r>
    </w:p>
    <w:p>
      <w:pPr>
        <w:pStyle w:val="TextBody"/>
        <w:bidi w:val="0"/>
        <w:spacing w:lineRule="auto" w:line="240" w:before="0" w:after="240"/>
        <w:ind w:left="0" w:right="0" w:hanging="1224"/>
        <w:jc w:val="both"/>
        <w:rPr>
          <w:rFonts w:ascii="Times New Roman;sans-serif" w:hAnsi="Times New Roman;sans-serif"/>
          <w:b w:val="false"/>
          <w:color w:val="000000"/>
          <w:sz w:val="22"/>
        </w:rPr>
      </w:pPr>
      <w:r>
        <w:rPr>
          <w:rFonts w:ascii="Times New Roman;sans-serif" w:hAnsi="Times New Roman;sans-serif"/>
          <w:b w:val="false"/>
          <w:color w:val="000000"/>
          <w:sz w:val="22"/>
        </w:rPr>
        <w:t>2.5.2(a)    If Senti intends to carry out a Proposed Transaction in connection with a Senti [***] Product, and Senti has commenced [***] Activities for such Senti [***] Product, then Section 2.5.3 (Senti [***] Products) shall apply.</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2.5.3.    </w:t>
      </w:r>
      <w:r>
        <w:rPr>
          <w:rFonts w:ascii="Times New Roman;sans-serif" w:hAnsi="Times New Roman;sans-serif"/>
          <w:b/>
          <w:color w:val="000000"/>
          <w:sz w:val="22"/>
        </w:rPr>
        <w:t>Senti [***] Products.</w:t>
      </w:r>
    </w:p>
    <w:p>
      <w:pPr>
        <w:pStyle w:val="TextBody"/>
        <w:bidi w:val="0"/>
        <w:spacing w:lineRule="auto" w:line="240" w:before="0" w:after="240"/>
        <w:ind w:left="0" w:right="0" w:hanging="1224"/>
        <w:jc w:val="both"/>
        <w:rPr>
          <w:rFonts w:ascii="Times New Roman;sans-serif" w:hAnsi="Times New Roman;sans-serif"/>
          <w:b w:val="false"/>
          <w:color w:val="000000"/>
          <w:sz w:val="22"/>
        </w:rPr>
      </w:pPr>
      <w:r>
        <w:rPr>
          <w:rFonts w:ascii="Times New Roman;sans-serif" w:hAnsi="Times New Roman;sans-serif"/>
          <w:b w:val="false"/>
          <w:color w:val="000000"/>
          <w:sz w:val="22"/>
        </w:rPr>
        <w:t>2.5.3(a)    If Senti intends to carry out a Proposed Transaction in connection with a Senti [***] Product, the Out-License Procedures shall apply to any SoWs in effect between Senti and Provider relating to the relevant Senti [***] Product, the Quality Agreement, and [***] for such Senti [***] Product.</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2.5.4.    </w:t>
      </w:r>
      <w:r>
        <w:rPr>
          <w:rFonts w:ascii="Times New Roman;sans-serif" w:hAnsi="Times New Roman;sans-serif"/>
          <w:b/>
          <w:color w:val="000000"/>
          <w:sz w:val="22"/>
        </w:rPr>
        <w:t>Exclusion for [***]</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346075"/>
                <wp:effectExtent l="0" t="0" r="0" b="0"/>
                <wp:wrapNone/>
                <wp:docPr id="210" name="Frame210"/>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1224"/>
        <w:jc w:val="both"/>
        <w:rPr>
          <w:rFonts w:ascii="Times New Roman;sans-serif" w:hAnsi="Times New Roman;sans-serif"/>
          <w:b w:val="false"/>
          <w:color w:val="000000"/>
          <w:sz w:val="22"/>
        </w:rPr>
      </w:pPr>
      <w:r>
        <w:rPr>
          <w:rFonts w:ascii="Times New Roman;sans-serif" w:hAnsi="Times New Roman;sans-serif"/>
          <w:b w:val="false"/>
          <w:color w:val="000000"/>
          <w:sz w:val="22"/>
        </w:rPr>
        <w:t>2.5.4(a)    The Out-License Procedures shall not apply in the situation where Senti proposes [***]. For clarity, (i) for so long as [***], and (ii) for so long as [***], then Senti itself will [***]. Senti shall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2.5.5.    </w:t>
      </w:r>
      <w:r>
        <w:rPr>
          <w:rFonts w:ascii="Times New Roman;sans-serif" w:hAnsi="Times New Roman;sans-serif"/>
          <w:b/>
          <w:color w:val="000000"/>
          <w:sz w:val="22"/>
        </w:rPr>
        <w:t>Out-License Procedures</w:t>
      </w:r>
      <w:r>
        <w:rPr>
          <w:rFonts w:ascii="Times New Roman;sans-serif" w:hAnsi="Times New Roman;sans-serif"/>
          <w:b w:val="false"/>
          <w:color w:val="000000"/>
          <w:sz w:val="22"/>
        </w:rPr>
        <w:t>.</w:t>
      </w:r>
    </w:p>
    <w:p>
      <w:pPr>
        <w:pStyle w:val="TextBody"/>
        <w:bidi w:val="0"/>
        <w:spacing w:lineRule="auto" w:line="240" w:before="0" w:after="240"/>
        <w:ind w:left="0" w:right="0" w:hanging="1224"/>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2.5.5(a)    Senti shall notify Provider of any Proposed Transaction and provide reasonable details of such Proposed Transaction. </w:t>
      </w:r>
    </w:p>
    <w:p>
      <w:pPr>
        <w:pStyle w:val="TextBody"/>
        <w:bidi w:val="0"/>
        <w:spacing w:lineRule="auto" w:line="240" w:before="0" w:after="240"/>
        <w:ind w:left="0" w:right="0" w:hanging="1224"/>
        <w:jc w:val="both"/>
        <w:rPr>
          <w:rFonts w:ascii="Times New Roman;sans-serif" w:hAnsi="Times New Roman;sans-serif"/>
          <w:b w:val="false"/>
          <w:color w:val="000000"/>
          <w:sz w:val="22"/>
        </w:rPr>
      </w:pPr>
      <w:r>
        <w:rPr>
          <w:rFonts w:ascii="Times New Roman;sans-serif" w:hAnsi="Times New Roman;sans-serif"/>
          <w:b w:val="false"/>
          <w:color w:val="000000"/>
          <w:sz w:val="22"/>
        </w:rPr>
        <w:t>2.5.5(b)    For Proposed Transactions where the Out-License Procedures apply to any SoWs, the Quality Agreement, and [***]:</w:t>
      </w:r>
    </w:p>
    <w:p>
      <w:pPr>
        <w:pStyle w:val="TextBody"/>
        <w:bidi w:val="0"/>
        <w:spacing w:lineRule="auto" w:line="240" w:before="0" w:after="240"/>
        <w:ind w:left="0" w:right="0" w:hanging="360"/>
        <w:jc w:val="both"/>
        <w:rPr/>
      </w:pPr>
      <w:r>
        <w:rPr>
          <w:rFonts w:ascii="Times New Roman;sans-serif" w:hAnsi="Times New Roman;sans-serif"/>
          <w:b w:val="false"/>
          <w:color w:val="000000"/>
          <w:sz w:val="22"/>
        </w:rPr>
        <w:t>(i)    </w:t>
      </w:r>
      <w:r>
        <w:rPr>
          <w:rFonts w:ascii="Times New Roman;sans-serif" w:hAnsi="Times New Roman;sans-serif"/>
          <w:b/>
          <w:color w:val="000000"/>
          <w:sz w:val="22"/>
        </w:rPr>
        <w:t>Service Agreement</w:t>
      </w:r>
      <w:r>
        <w:rPr>
          <w:rFonts w:ascii="Times New Roman;sans-serif" w:hAnsi="Times New Roman;sans-serif"/>
          <w:b w:val="false"/>
          <w:color w:val="000000"/>
          <w:sz w:val="22"/>
        </w:rPr>
        <w:t>. Senti shall require Licensee to [***] under which Licensee shall [***].</w:t>
      </w:r>
    </w:p>
    <w:p>
      <w:pPr>
        <w:pStyle w:val="TextBody"/>
        <w:bidi w:val="0"/>
        <w:spacing w:lineRule="auto" w:line="240" w:before="0" w:after="240"/>
        <w:ind w:left="0" w:right="0" w:hanging="360"/>
        <w:jc w:val="both"/>
        <w:rPr/>
      </w:pPr>
      <w:r>
        <w:rPr>
          <w:rFonts w:ascii="Times New Roman;sans-serif" w:hAnsi="Times New Roman;sans-serif"/>
          <w:b w:val="false"/>
          <w:color w:val="000000"/>
          <w:sz w:val="22"/>
        </w:rPr>
        <w:t>(ii)    </w:t>
      </w:r>
      <w:r>
        <w:rPr>
          <w:rFonts w:ascii="Times New Roman;sans-serif" w:hAnsi="Times New Roman;sans-serif"/>
          <w:b/>
          <w:color w:val="000000"/>
          <w:sz w:val="22"/>
        </w:rPr>
        <w:t>SoWs</w:t>
      </w:r>
      <w:r>
        <w:rPr>
          <w:rFonts w:ascii="Times New Roman;sans-serif" w:hAnsi="Times New Roman;sans-serif"/>
          <w:b w:val="false"/>
          <w:color w:val="000000"/>
          <w:sz w:val="22"/>
        </w:rPr>
        <w:t>. Senti shall [***] If any portion [***], such portion [***] Any [***] shall be governed by [***].</w:t>
      </w:r>
    </w:p>
    <w:p>
      <w:pPr>
        <w:pStyle w:val="TextBody"/>
        <w:bidi w:val="0"/>
        <w:spacing w:lineRule="auto" w:line="240" w:before="0" w:after="240"/>
        <w:ind w:left="0" w:right="0" w:hanging="360"/>
        <w:jc w:val="both"/>
        <w:rPr/>
      </w:pPr>
      <w:r>
        <w:rPr>
          <w:rFonts w:ascii="Times New Roman;sans-serif" w:hAnsi="Times New Roman;sans-serif"/>
          <w:b w:val="false"/>
          <w:color w:val="000000"/>
          <w:sz w:val="22"/>
        </w:rPr>
        <w:t>(iii)    </w:t>
      </w:r>
      <w:r>
        <w:rPr>
          <w:rFonts w:ascii="Times New Roman;sans-serif" w:hAnsi="Times New Roman;sans-serif"/>
          <w:b/>
          <w:color w:val="000000"/>
          <w:sz w:val="22"/>
        </w:rPr>
        <w:t>Quality Agreement.</w:t>
      </w:r>
      <w:r>
        <w:rPr>
          <w:color w:val="000000"/>
        </w:rPr>
        <w:t xml:space="preserve"> </w:t>
      </w:r>
      <w:r>
        <w:rPr>
          <w:rFonts w:ascii="Times New Roman;sans-serif" w:hAnsi="Times New Roman;sans-serif"/>
          <w:b w:val="false"/>
          <w:color w:val="000000"/>
          <w:sz w:val="22"/>
        </w:rPr>
        <w:t>Senti shall require Licensee to [***]</w:t>
      </w:r>
    </w:p>
    <w:p>
      <w:pPr>
        <w:pStyle w:val="TextBody"/>
        <w:bidi w:val="0"/>
        <w:spacing w:lineRule="auto" w:line="240" w:before="0" w:after="240"/>
        <w:ind w:left="0" w:right="0" w:hanging="360"/>
        <w:jc w:val="both"/>
        <w:rPr/>
      </w:pPr>
      <w:r>
        <w:rPr>
          <w:rFonts w:ascii="Times New Roman;sans-serif" w:hAnsi="Times New Roman;sans-serif"/>
          <w:b w:val="false"/>
          <w:color w:val="000000"/>
          <w:sz w:val="22"/>
        </w:rPr>
        <w:t>(iv)    </w:t>
      </w:r>
      <w:r>
        <w:rPr>
          <w:rFonts w:ascii="Times New Roman;sans-serif" w:hAnsi="Times New Roman;sans-serif"/>
          <w:b/>
          <w:color w:val="000000"/>
          <w:sz w:val="22"/>
        </w:rPr>
        <w:t>Adjustments</w:t>
      </w:r>
      <w:r>
        <w:rPr>
          <w:rFonts w:ascii="Times New Roman;sans-serif" w:hAnsi="Times New Roman;sans-serif"/>
          <w:b w:val="false"/>
          <w:color w:val="000000"/>
          <w:sz w:val="22"/>
        </w:rPr>
        <w:t xml:space="preserve">. If Licensee requests [***] (for example to address issues including but not limited to [***] in a timely manner regarding such requests. None of Provider, Senti or Licensee shall be obligated to [***]. </w:t>
      </w:r>
    </w:p>
    <w:p>
      <w:pPr>
        <w:pStyle w:val="TextBody"/>
        <w:bidi w:val="0"/>
        <w:spacing w:lineRule="auto" w:line="240" w:before="0" w:after="24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(v)    In the event the parties are unable to agree to [***], then the relevant SoWs, this Agreement, and the Quality Agreement shall remain binding and effective as between Senti and Provider with respect to the relevant Senti [***] Product.</w:t>
      </w:r>
    </w:p>
    <w:p>
      <w:pPr>
        <w:pStyle w:val="TextBody"/>
        <w:bidi w:val="0"/>
        <w:spacing w:lineRule="auto" w:line="240" w:before="0" w:after="24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(vi)    Subject to Section 2.5.1(a)(ii), Senti shall not enter into the Proposed Transaction with the Licensee unless (A) [***], or (B) [***]. If Senti breaches this Section 2.5.4(b)(vi), [***]. </w:t>
      </w:r>
    </w:p>
    <w:p>
      <w:pPr>
        <w:pStyle w:val="TextBody"/>
        <w:bidi w:val="0"/>
        <w:spacing w:lineRule="auto" w:line="240" w:before="0" w:after="240"/>
        <w:ind w:left="0" w:right="0" w:hanging="360"/>
        <w:jc w:val="both"/>
        <w:rPr/>
      </w:pPr>
      <w:r>
        <w:rPr>
          <w:rFonts w:ascii="Times New Roman;sans-serif" w:hAnsi="Times New Roman;sans-serif"/>
          <w:b w:val="false"/>
          <w:color w:val="000000"/>
          <w:sz w:val="22"/>
        </w:rPr>
        <w:t>(vii)    </w:t>
      </w:r>
      <w:r>
        <w:rPr>
          <w:rFonts w:ascii="Times New Roman;sans-serif" w:hAnsi="Times New Roman;sans-serif"/>
          <w:b/>
          <w:color w:val="000000"/>
          <w:sz w:val="22"/>
        </w:rPr>
        <w:t>Prepayments and Credits</w:t>
      </w:r>
      <w:r>
        <w:rPr>
          <w:rFonts w:ascii="Times New Roman;sans-serif" w:hAnsi="Times New Roman;sans-serif"/>
          <w:b w:val="false"/>
          <w:color w:val="000000"/>
          <w:sz w:val="22"/>
        </w:rPr>
        <w:t xml:space="preserve">. Provider may, at its reasonable discretion, agree to [***]. </w:t>
      </w:r>
    </w:p>
    <w:p>
      <w:pPr>
        <w:pStyle w:val="TextBody"/>
        <w:bidi w:val="0"/>
        <w:spacing w:lineRule="auto" w:line="240" w:before="120" w:after="283"/>
        <w:ind w:left="0" w:right="0" w:hanging="864"/>
        <w:jc w:val="both"/>
        <w:rPr/>
      </w:pPr>
      <w:r>
        <w:rPr>
          <w:rFonts w:ascii="Times New Roman;sans-serif" w:hAnsi="Times New Roman;sans-serif"/>
          <w:b w:val="false"/>
          <w:color w:val="000000"/>
          <w:sz w:val="22"/>
        </w:rPr>
        <w:t>2.5.6.    </w:t>
      </w:r>
      <w:r>
        <w:rPr>
          <w:rFonts w:ascii="Times New Roman;sans-serif" w:hAnsi="Times New Roman;sans-serif"/>
          <w:b/>
          <w:color w:val="000000"/>
          <w:sz w:val="22"/>
        </w:rPr>
        <w:t>Applicable Products</w:t>
      </w:r>
      <w:r>
        <w:rPr>
          <w:rFonts w:ascii="Times New Roman;sans-serif" w:hAnsi="Times New Roman;sans-serif"/>
          <w:b w:val="false"/>
          <w:color w:val="000000"/>
          <w:sz w:val="22"/>
        </w:rPr>
        <w:t>. On an ongoing basis during the Term, the Parties will maintain an indicative list of Senti [***] Products. As of the Effective Date, such list consists of the following products: [***]. For the avoidance of doubt, the list shall not be deemed conclusive.</w:t>
      </w:r>
    </w:p>
    <w:p>
      <w:pPr>
        <w:pStyle w:val="TextBody"/>
        <w:bidi w:val="0"/>
        <w:spacing w:before="120" w:after="283"/>
        <w:jc w:val="both"/>
        <w:rPr/>
      </w:pPr>
      <w:r>
        <w:rPr/>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2.6.    </w:t>
      </w:r>
      <w:r>
        <w:rPr>
          <w:rFonts w:ascii="Times New Roman;sans-serif" w:hAnsi="Times New Roman;sans-serif"/>
          <w:b/>
          <w:color w:val="000000"/>
          <w:sz w:val="22"/>
        </w:rPr>
        <w:t>Change of Control</w:t>
      </w:r>
      <w:r>
        <w:rPr>
          <w:rFonts w:ascii="Times New Roman;sans-serif" w:hAnsi="Times New Roman;sans-serif"/>
          <w:b w:val="false"/>
          <w:color w:val="000000"/>
          <w:sz w:val="22"/>
        </w:rPr>
        <w:t>. If Senti undergoes a Change of Control during the Term, and if:</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2.6.1.    such Change of Control is a transaction with a Third Party that [***], or is [***] (a) Senti shall, prior to the closing of the Change of Control, [***], or [***] and (b) from and after the closing of such Change of Control, [***]. </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2.6.2.    subject to Section 2.6.1, such Change of Control results in [***], then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2.7.    </w:t>
      </w:r>
      <w:r>
        <w:rPr>
          <w:rFonts w:ascii="Times New Roman;sans-serif" w:hAnsi="Times New Roman;sans-serif"/>
          <w:b/>
          <w:color w:val="000000"/>
          <w:sz w:val="22"/>
        </w:rPr>
        <w:t>Conflict Between Agreements</w:t>
      </w:r>
      <w:r>
        <w:rPr>
          <w:rFonts w:ascii="Times New Roman;sans-serif" w:hAnsi="Times New Roman;sans-serif"/>
          <w:b w:val="false"/>
          <w:color w:val="000000"/>
          <w:sz w:val="22"/>
        </w:rPr>
        <w:t xml:space="preserve">. A Statement of Work and the Quality Agreement may provide additional and/or modifying terms to the terms in this Agreement. In the event of a conflict in terms, the terms of this Agreement will prevail unless otherwise explicitly stated in the Statement of Work or Quality Agreement, as the case may be, that the terms thereof take precedence; </w:t>
      </w:r>
      <w:r>
        <w:rPr>
          <w:rFonts w:ascii="Times New Roman;sans-serif" w:hAnsi="Times New Roman;sans-serif"/>
          <w:b w:val="false"/>
          <w:i/>
          <w:color w:val="000000"/>
          <w:sz w:val="22"/>
        </w:rPr>
        <w:t>provided</w:t>
      </w:r>
      <w:r>
        <w:rPr>
          <w:rFonts w:ascii="Times New Roman;sans-serif" w:hAnsi="Times New Roman;sans-serif"/>
          <w:b w:val="false"/>
          <w:color w:val="000000"/>
          <w:sz w:val="22"/>
        </w:rPr>
        <w:t xml:space="preserve">, that the terms of the Quality Agreement shall govern (and prevail in the event of any conflict) with respect to all quality matters relating </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346075"/>
                <wp:effectExtent l="0" t="0" r="0" b="0"/>
                <wp:wrapNone/>
                <wp:docPr id="211" name="Frame211"/>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to this Agreement. To the extent that any provision in this Agreement is inconsistent with or conflicts with the Framework Agreement or other agreement executed by the Parties in connection therewith, the provisions of this Agreement will control unless explicitly stated in such agreement to prevail over this Agreement.</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2.8.    </w:t>
      </w:r>
      <w:r>
        <w:rPr>
          <w:rFonts w:ascii="Times New Roman;sans-serif" w:hAnsi="Times New Roman;sans-serif"/>
          <w:b/>
          <w:color w:val="000000"/>
          <w:sz w:val="22"/>
        </w:rPr>
        <w:t>Form Documents</w:t>
      </w:r>
      <w:r>
        <w:rPr>
          <w:rFonts w:ascii="Times New Roman;sans-serif" w:hAnsi="Times New Roman;sans-serif"/>
          <w:b w:val="false"/>
          <w:color w:val="000000"/>
          <w:sz w:val="22"/>
        </w:rPr>
        <w:t>. No terms, provisions or conditions of any purchase order, order acknowledgement, quote, proposal, invoice or other business form or written authorization used by either Party will have any effect on the rights or obligations of the Parties under, or otherwise modify, this Agreement, regardless of any failure of the other Party to object to such terms, provisions or conditions, except to the extent that such document refers to this Agreement, explicitly states that the terms thereof take precedence, and is signed by an authorized representative of each of the Parties.</w:t>
      </w:r>
    </w:p>
    <w:p>
      <w:pPr>
        <w:pStyle w:val="TextBody"/>
        <w:bidi w:val="0"/>
        <w:spacing w:lineRule="auto" w:line="240" w:before="480" w:after="240"/>
        <w:ind w:left="0" w:right="0" w:hanging="360"/>
        <w:jc w:val="both"/>
        <w:rPr/>
      </w:pPr>
      <w:r>
        <w:rPr>
          <w:rFonts w:ascii="Times New Roman;sans-serif" w:hAnsi="Times New Roman;sans-serif"/>
          <w:b/>
          <w:color w:val="000000"/>
          <w:sz w:val="22"/>
        </w:rPr>
        <w:t>3.    </w:t>
      </w:r>
      <w:r>
        <w:rPr>
          <w:rFonts w:ascii="Times New Roman;sans-serif" w:hAnsi="Times New Roman;sans-serif"/>
          <w:b w:val="false"/>
          <w:color w:val="000000"/>
          <w:sz w:val="22"/>
        </w:rPr>
        <w:t>PERFORMANCE OF SERVICES.</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3.1.    </w:t>
      </w:r>
      <w:r>
        <w:rPr>
          <w:rFonts w:ascii="Times New Roman;sans-serif" w:hAnsi="Times New Roman;sans-serif"/>
          <w:b/>
          <w:color w:val="000000"/>
          <w:sz w:val="22"/>
        </w:rPr>
        <w:t>Performance of Services</w:t>
      </w:r>
      <w:r>
        <w:rPr>
          <w:rFonts w:ascii="Times New Roman;sans-serif" w:hAnsi="Times New Roman;sans-serif"/>
          <w:b w:val="false"/>
          <w:color w:val="000000"/>
          <w:sz w:val="22"/>
        </w:rPr>
        <w:t xml:space="preserve">. Subject to Section 3.2 (Timelines), Provider shall perform the Services specified in the applicable Statement of Work in accordance with the terms and conditions of this Agreement, such Statement of Work, and Laws.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3.2.    </w:t>
      </w:r>
      <w:r>
        <w:rPr>
          <w:rFonts w:ascii="Times New Roman;sans-serif" w:hAnsi="Times New Roman;sans-serif"/>
          <w:b/>
          <w:color w:val="000000"/>
          <w:sz w:val="22"/>
        </w:rPr>
        <w:t>Timelines</w:t>
      </w:r>
      <w:r>
        <w:rPr>
          <w:rFonts w:ascii="Times New Roman;sans-serif" w:hAnsi="Times New Roman;sans-serif"/>
          <w:b w:val="false"/>
          <w:color w:val="000000"/>
          <w:sz w:val="22"/>
        </w:rPr>
        <w:t>. The Parties recognize that the Development Services are of a developmental, experimental or research nature and that any Product that is a Deliverable under Development Services is not intended for commercial use. Senti acknowledges and agrees that all timelines for Development Services set forth in the applicable Statement of Work are good faith estimates and, other than Development Services under Phase 1 SoWs, are non-binding. Provider shall use Commercially Reasonable Efforts to meet the timelines set forth in the Phase 1 SoWs, but any failure by Provider to meet such timeline shall not, in and of itself, be considered a breach of this Agreement or the applicable Phase 1 SoW. The timelines for performance of Services set forth in [***] are binding and Provider shall meet such timelines when performing those Services, provided that Provider shall not be liable for any delay in meeting such timelines to the extent it resulted from (a) delays in connection with a Change Order pursuant to the last sentence of Section 5.7.3 (Draft Change Orders), or (b) delays by Senti in performing any responsibilities expressly allocated to Senti in this Agreement or the SoW (including, but not limited to, providing Senti Supplies under Section 6.1.4 and any technology transfer activities set out in the SoW), except to the extent such delays are attributable to Provider’s breach of this Agreement or any SoW or gross negligence or willful misconduct of Provider or any of its personnel or subcontractors.</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3.3.    </w:t>
      </w:r>
      <w:r>
        <w:rPr>
          <w:rFonts w:ascii="Times New Roman;sans-serif" w:hAnsi="Times New Roman;sans-serif"/>
          <w:b/>
          <w:color w:val="000000"/>
          <w:sz w:val="22"/>
        </w:rPr>
        <w:t>Subcontracting</w:t>
      </w:r>
      <w:r>
        <w:rPr>
          <w:rFonts w:ascii="Times New Roman;sans-serif" w:hAnsi="Times New Roman;sans-serif"/>
          <w:b w:val="false"/>
          <w:color w:val="000000"/>
          <w:sz w:val="22"/>
        </w:rPr>
        <w:t xml:space="preserve">. Save for the approved subcontractors set forth in </w:t>
      </w:r>
      <w:r>
        <w:rPr>
          <w:rFonts w:ascii="Times New Roman;sans-serif" w:hAnsi="Times New Roman;sans-serif"/>
          <w:b w:val="false"/>
          <w:color w:val="000000"/>
          <w:sz w:val="22"/>
          <w:u w:val="single"/>
        </w:rPr>
        <w:t>Exhibit G</w:t>
      </w:r>
      <w:r>
        <w:rPr>
          <w:color w:val="000000"/>
        </w:rPr>
        <w:t xml:space="preserve"> </w:t>
      </w:r>
      <w:r>
        <w:rPr>
          <w:rFonts w:ascii="Times New Roman;sans-serif" w:hAnsi="Times New Roman;sans-serif"/>
          <w:b w:val="false"/>
          <w:color w:val="000000"/>
          <w:sz w:val="22"/>
        </w:rPr>
        <w:t xml:space="preserve">and any other subcontractor expressly specified in an SoW, Provider may not subcontract any of the Services without the prior written consent of Senti. Provider will remain responsible and liable for the performance and compliance of its subcontractors with this Agreement and the applicable Statement of Work. Prior to any subcontractor’s initiation of the performance of any subcontracted Services, Provider shall have entered into a written agreement with such subcontractor under which such subcontractor has (a) agreed to be bound by obligations of confidentiality and non-use no less stringent than the provisions of Section 16 (Confidentiality) hereof, (b) assigned, and agreed to assign, to Provider all right, title and interest in and to all Deliverables and Intellectual Property arising from or made in the performance of any subcontracted Services by such subcontractor or its personnel (which Intellectual Property will be deemed included in Provider Inventions) as necessary for Provider to comply with its obligations hereunder, and (c) granted Provider [***]. </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346075"/>
                <wp:effectExtent l="0" t="0" r="0" b="0"/>
                <wp:wrapNone/>
                <wp:docPr id="212" name="Frame212"/>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480" w:after="240"/>
        <w:ind w:left="0" w:right="0" w:hanging="360"/>
        <w:jc w:val="both"/>
        <w:rPr/>
      </w:pPr>
      <w:r>
        <w:rPr>
          <w:rFonts w:ascii="Times New Roman;sans-serif" w:hAnsi="Times New Roman;sans-serif"/>
          <w:b/>
          <w:color w:val="000000"/>
          <w:sz w:val="22"/>
        </w:rPr>
        <w:t>4.    </w:t>
      </w:r>
      <w:r>
        <w:rPr>
          <w:rFonts w:ascii="Times New Roman;sans-serif" w:hAnsi="Times New Roman;sans-serif"/>
          <w:b w:val="false"/>
          <w:color w:val="000000"/>
          <w:sz w:val="22"/>
        </w:rPr>
        <w:t>PROJECT MANAGEMENT.</w:t>
      </w:r>
    </w:p>
    <w:p>
      <w:pPr>
        <w:pStyle w:val="TextBody"/>
        <w:bidi w:val="0"/>
        <w:spacing w:lineRule="auto" w:line="240" w:before="120" w:after="283"/>
        <w:ind w:left="0" w:right="0" w:hanging="630"/>
        <w:jc w:val="both"/>
        <w:rPr/>
      </w:pPr>
      <w:r>
        <w:rPr>
          <w:rFonts w:ascii="Times New Roman;sans-serif" w:hAnsi="Times New Roman;sans-serif"/>
          <w:b w:val="false"/>
          <w:color w:val="000000"/>
          <w:sz w:val="22"/>
        </w:rPr>
        <w:t>4.1.    </w:t>
      </w:r>
      <w:r>
        <w:rPr>
          <w:rFonts w:ascii="Times New Roman;sans-serif" w:hAnsi="Times New Roman;sans-serif"/>
          <w:b/>
          <w:color w:val="000000"/>
          <w:sz w:val="22"/>
        </w:rPr>
        <w:t>Joint Steering Committee.</w:t>
      </w:r>
    </w:p>
    <w:p>
      <w:pPr>
        <w:pStyle w:val="TextBody"/>
        <w:bidi w:val="0"/>
        <w:spacing w:lineRule="auto" w:line="240" w:before="120" w:after="283"/>
        <w:ind w:left="0" w:right="0" w:hanging="864"/>
        <w:jc w:val="both"/>
        <w:rPr/>
      </w:pPr>
      <w:r>
        <w:rPr>
          <w:rFonts w:ascii="Times New Roman;sans-serif" w:hAnsi="Times New Roman;sans-serif"/>
          <w:b w:val="false"/>
          <w:color w:val="000000"/>
          <w:sz w:val="22"/>
        </w:rPr>
        <w:t>4.1.1.    </w:t>
      </w:r>
      <w:r>
        <w:rPr>
          <w:rFonts w:ascii="Times New Roman;sans-serif" w:hAnsi="Times New Roman;sans-serif"/>
          <w:b w:val="false"/>
          <w:color w:val="000000"/>
          <w:sz w:val="22"/>
          <w:u w:val="single"/>
        </w:rPr>
        <w:t>JSC Establishment; Composition</w:t>
      </w:r>
      <w:r>
        <w:rPr>
          <w:rFonts w:ascii="Times New Roman;sans-serif" w:hAnsi="Times New Roman;sans-serif"/>
          <w:b w:val="false"/>
          <w:color w:val="000000"/>
          <w:sz w:val="22"/>
        </w:rPr>
        <w:t>. Within thirty (30) days following the Effective Date, the Parties will establish a joint steering committee (“</w:t>
      </w:r>
      <w:r>
        <w:rPr>
          <w:rFonts w:ascii="Times New Roman;sans-serif" w:hAnsi="Times New Roman;sans-serif"/>
          <w:b/>
          <w:color w:val="000000"/>
          <w:sz w:val="22"/>
        </w:rPr>
        <w:t>JSC</w:t>
      </w:r>
      <w:r>
        <w:rPr>
          <w:color w:val="000000"/>
        </w:rPr>
        <w:t>”</w:t>
      </w:r>
      <w:r>
        <w:rPr>
          <w:rFonts w:ascii="Times New Roman;sans-serif" w:hAnsi="Times New Roman;sans-serif"/>
          <w:b w:val="false"/>
          <w:color w:val="000000"/>
          <w:sz w:val="22"/>
        </w:rPr>
        <w:t xml:space="preserve">). The JSC will consist of [***] representatives (or such other number of representatives as the Parties may mutually agree) of each Party. Each Party may change its representatives to the JSC from time to time in its sole discretion, provided that each Party shall make available representatives with the relevant expertise required for each JSC meeting. Each Party shall appoint [***] of its representatives on the JSC to act as the chairperson of the JSC for [***] periods, effective from the month of establishment of the JSC, and the first chairperson shall be [***]. The chairperson shall be responsible for: (a) calling meetings of the JSC; (b) preparing and issuing minutes of each such meeting within [***] thereafter, and (c) preparing and circulating an agenda for the upcoming meeting, but shall have no additional rights or authority over other JSC members. </w:t>
      </w:r>
    </w:p>
    <w:p>
      <w:pPr>
        <w:pStyle w:val="TextBody"/>
        <w:bidi w:val="0"/>
        <w:spacing w:lineRule="auto" w:line="240" w:before="120" w:after="283"/>
        <w:ind w:left="0" w:right="0" w:hanging="864"/>
        <w:jc w:val="both"/>
        <w:rPr/>
      </w:pPr>
      <w:r>
        <w:rPr>
          <w:rFonts w:ascii="Times New Roman;sans-serif" w:hAnsi="Times New Roman;sans-serif"/>
          <w:b w:val="false"/>
          <w:color w:val="000000"/>
          <w:sz w:val="22"/>
        </w:rPr>
        <w:t>4.1.2.    </w:t>
      </w:r>
      <w:r>
        <w:rPr>
          <w:rFonts w:ascii="Times New Roman;sans-serif" w:hAnsi="Times New Roman;sans-serif"/>
          <w:b w:val="false"/>
          <w:color w:val="000000"/>
          <w:sz w:val="22"/>
          <w:u w:val="single"/>
        </w:rPr>
        <w:t>JSC Meetings</w:t>
      </w:r>
      <w:r>
        <w:rPr>
          <w:rFonts w:ascii="Times New Roman;sans-serif" w:hAnsi="Times New Roman;sans-serif"/>
          <w:b w:val="false"/>
          <w:color w:val="000000"/>
          <w:sz w:val="22"/>
        </w:rPr>
        <w:t xml:space="preserve">. The JSC shall hold meetings at such times as it elects to do so, but in no event shall such meetings be held less frequently than once every [***]. Meetings may be cancelled, or rescheduled, upon agreement by at least one (1) representative from each Party. Meetings will be held by videoconference or teleconference unless an in-person meeting is agreed by the Parties. The location of any in-person meetings will be established by the JSC. Employees and other representatives of each Party who are not members of the JSC may attend meetings of the JSC as required to further activities contemplated by this Agreement, subject to prior written approval of the other Party and provided such attendee is bound by written obligations of confidentiality and nonuse no less restrictive than those contained in this Agreement. To the extent practicable, each Party’s JSC members will provide proposed agenda items to the chair at least [***] in advance of each JSC meeting date and the chair will accept all agenda items timely submitted. The JSC chair shall keep minutes of each JSC meeting that record in writing all matters discussed, decisions made, action items assigned or completed and other appropriate matters. The JSC chair shall circulate the meeting minutes to all JSC members promptly following each meeting, and the JSC members shall promptly provide comments or approval of such minutes, but in no event later than the next JSC meeting. Each Party shall be responsible for all of its own expenses of participating in the JSC. If a JSC representative of a Party is unable to participate in a meeting of the JSC, such Party may designate an alternate to participate in such meeting in place of the absent representative, provided that such alternate is bound by written obligations of confidentiality and nonuse no less restrictive than those contained in this Agreement. No action taken at any meeting of the JSC shall be effective unless at least one (1) representative from each Party is participating. </w:t>
      </w:r>
    </w:p>
    <w:p>
      <w:pPr>
        <w:pStyle w:val="TextBody"/>
        <w:bidi w:val="0"/>
        <w:spacing w:lineRule="auto" w:line="240" w:before="120" w:after="283"/>
        <w:ind w:left="0" w:right="0" w:hanging="864"/>
        <w:jc w:val="both"/>
        <w:rPr/>
      </w:pPr>
      <w:r>
        <w:rPr>
          <w:rFonts w:ascii="Times New Roman;sans-serif" w:hAnsi="Times New Roman;sans-serif"/>
          <w:b w:val="false"/>
          <w:color w:val="000000"/>
          <w:sz w:val="22"/>
        </w:rPr>
        <w:t>4.1.3.    </w:t>
      </w:r>
      <w:r>
        <w:rPr>
          <w:rFonts w:ascii="Times New Roman;sans-serif" w:hAnsi="Times New Roman;sans-serif"/>
          <w:b w:val="false"/>
          <w:color w:val="000000"/>
          <w:sz w:val="22"/>
          <w:u w:val="single"/>
        </w:rPr>
        <w:t>JSC Role</w:t>
      </w:r>
      <w:r>
        <w:rPr>
          <w:rFonts w:ascii="Times New Roman;sans-serif" w:hAnsi="Times New Roman;sans-serif"/>
          <w:b w:val="false"/>
          <w:color w:val="000000"/>
          <w:sz w:val="22"/>
        </w:rPr>
        <w:t xml:space="preserve">. The JSC shall perform the following functions, subject to the rest of this Section 4.1: (a) [***]; (b) [***]; (c) [***]; (d) [***]; (e) [***]; (f) [***]; (g) [***]; and (h) performing such other functions as appropriate to further the purposes of this Agreement, as expressly set forth in this Agreement or as determined by the Parties in writing. The JSC shall have only such powers as are expressly assigned to it in this Agreement, and such powers shall be subject to the terms and conditions of this Agreement. Without limiting the generality of the foregoing, the JSC shall not have the power to amend this Agreement, and no decision of the JSC may be in contravention of the terms and conditions of this Agreement. </w:t>
      </w:r>
    </w:p>
    <w:p>
      <w:pPr>
        <w:pStyle w:val="TextBody"/>
        <w:bidi w:val="0"/>
        <w:spacing w:lineRule="auto" w:line="240" w:before="120" w:after="283"/>
        <w:ind w:left="0" w:right="0" w:hanging="864"/>
        <w:jc w:val="both"/>
        <w:rPr/>
      </w:pPr>
      <w:r>
        <w:rPr>
          <w:rFonts w:ascii="Times New Roman;sans-serif" w:hAnsi="Times New Roman;sans-serif"/>
          <w:b w:val="false"/>
          <w:color w:val="000000"/>
          <w:sz w:val="22"/>
        </w:rPr>
        <w:t>4.1.4.    </w:t>
      </w:r>
      <w:r>
        <w:rPr>
          <w:rFonts w:ascii="Times New Roman;sans-serif" w:hAnsi="Times New Roman;sans-serif"/>
          <w:b w:val="false"/>
          <w:color w:val="000000"/>
          <w:sz w:val="22"/>
          <w:u w:val="single"/>
        </w:rPr>
        <w:t>Decision-Making</w:t>
      </w:r>
      <w:r>
        <w:rPr>
          <w:rFonts w:ascii="Times New Roman;sans-serif" w:hAnsi="Times New Roman;sans-serif"/>
          <w:b w:val="false"/>
          <w:color w:val="000000"/>
          <w:sz w:val="22"/>
        </w:rPr>
        <w:t xml:space="preserve">. All decisions of the JSC shall be made by unanimous vote, with each Party’s representatives collectively having one vote. If the representatives of the Parties on the JSC cannot reach an agreement as to (a) [***], or (b) any other matter within the decision-making authority of the JSC within [***] after such </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346075"/>
                <wp:effectExtent l="0" t="0" r="0" b="0"/>
                <wp:wrapNone/>
                <wp:docPr id="213" name="Frame213"/>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matter was brought to the JSC for resolution or after such matter has been referred to the JSC, such disagreement shall be referred to the Executive Officers of the Parties for resolution. If the Executive Officers cannot resolve such other matter within [***] after such matter has been referred to them (or within [***] if either Party notifies the other Party that such matter needs immediate attention), then (i) if the matter is whether [***], the dispute will be resolved as provided below in this Section 4.1.4, and (ii) with respect to all other matters, [***]. To resolve any dispute under clause (i) of the preceding sentence, the Parties shall engage an independent technical expert that is agreed by the Parties (such agreement not to be unreasonably withheld) to resolve the dispute(s), and each Party shall provide to the other Party and such expert its evidence and arguments with respect to such dispute(s). The decision of the expert will be final and binding upon the Parties in the absence of manifest error or bad faith on the part of the expert. The Parties will [***].</w:t>
      </w:r>
    </w:p>
    <w:p>
      <w:pPr>
        <w:pStyle w:val="TextBody"/>
        <w:bidi w:val="0"/>
        <w:spacing w:lineRule="auto" w:line="240" w:before="120" w:after="283"/>
        <w:ind w:left="0" w:right="0" w:hanging="630"/>
        <w:jc w:val="both"/>
        <w:rPr/>
      </w:pPr>
      <w:r>
        <w:rPr>
          <w:rFonts w:ascii="Times New Roman;sans-serif" w:hAnsi="Times New Roman;sans-serif"/>
          <w:b w:val="false"/>
          <w:color w:val="000000"/>
          <w:sz w:val="22"/>
        </w:rPr>
        <w:t>4.2.    </w:t>
      </w:r>
      <w:r>
        <w:rPr>
          <w:rFonts w:ascii="Times New Roman;sans-serif" w:hAnsi="Times New Roman;sans-serif"/>
          <w:b/>
          <w:color w:val="000000"/>
          <w:sz w:val="22"/>
        </w:rPr>
        <w:t>PM Identification; Change</w:t>
      </w:r>
      <w:r>
        <w:rPr>
          <w:rFonts w:ascii="Times New Roman;sans-serif" w:hAnsi="Times New Roman;sans-serif"/>
          <w:b w:val="false"/>
          <w:color w:val="000000"/>
          <w:sz w:val="22"/>
        </w:rPr>
        <w:t>. Each Party shall identify an individual to have primary responsibility for day-to-day interactions with the other Party regarding the Services under a Statement of Work (a “</w:t>
      </w:r>
      <w:r>
        <w:rPr>
          <w:rFonts w:ascii="Times New Roman;sans-serif" w:hAnsi="Times New Roman;sans-serif"/>
          <w:b/>
          <w:color w:val="000000"/>
          <w:sz w:val="22"/>
        </w:rPr>
        <w:t>Project Manager</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PM</w:t>
      </w:r>
      <w:r>
        <w:rPr>
          <w:color w:val="000000"/>
        </w:rPr>
        <w:t>”</w:t>
      </w:r>
      <w:r>
        <w:rPr>
          <w:rFonts w:ascii="Times New Roman;sans-serif" w:hAnsi="Times New Roman;sans-serif"/>
          <w:b w:val="false"/>
          <w:color w:val="000000"/>
          <w:sz w:val="22"/>
        </w:rPr>
        <w:t xml:space="preserve">). Each Party may change its Project Manager under an applicable Statement of Work from time to time by written notice to the other Party. The Party making any such change will arrange for the other Party to meet its new Project Manager by teleconference or videoconference. </w:t>
      </w:r>
    </w:p>
    <w:p>
      <w:pPr>
        <w:pStyle w:val="TextBody"/>
        <w:bidi w:val="0"/>
        <w:spacing w:lineRule="auto" w:line="240" w:before="120" w:after="283"/>
        <w:ind w:left="0" w:right="0" w:hanging="630"/>
        <w:jc w:val="both"/>
        <w:rPr/>
      </w:pPr>
      <w:r>
        <w:rPr>
          <w:rFonts w:ascii="Times New Roman;sans-serif" w:hAnsi="Times New Roman;sans-serif"/>
          <w:b w:val="false"/>
          <w:color w:val="000000"/>
          <w:sz w:val="22"/>
        </w:rPr>
        <w:t>4.3.    </w:t>
      </w:r>
      <w:r>
        <w:rPr>
          <w:rFonts w:ascii="Times New Roman;sans-serif" w:hAnsi="Times New Roman;sans-serif"/>
          <w:b/>
          <w:color w:val="000000"/>
          <w:sz w:val="22"/>
        </w:rPr>
        <w:t>PM Responsibilities</w:t>
      </w:r>
      <w:r>
        <w:rPr>
          <w:rFonts w:ascii="Times New Roman;sans-serif" w:hAnsi="Times New Roman;sans-serif"/>
          <w:b w:val="false"/>
          <w:color w:val="000000"/>
          <w:sz w:val="22"/>
        </w:rPr>
        <w:t>. Project Managers will be responsible for coordinating any development efforts required for each Project, monitoring the Project Schedule, establishing operating guidelines for the Project, defining communication formats, forming and overseeing project teams, and monitoring the general progress of the Project. Senti’s Project Manager will have the responsibility to, and shall have the authority from Senti to, communicate instructions, direction and decisions to Provider for Project activities. Provider’s Project Manager will have the responsibility to schedule any Project initiation meetings as necessary.</w:t>
      </w:r>
    </w:p>
    <w:p>
      <w:pPr>
        <w:pStyle w:val="TextBody"/>
        <w:bidi w:val="0"/>
        <w:spacing w:lineRule="auto" w:line="240" w:before="120" w:after="283"/>
        <w:ind w:left="0" w:right="0" w:hanging="630"/>
        <w:jc w:val="both"/>
        <w:rPr/>
      </w:pPr>
      <w:r>
        <w:rPr>
          <w:rFonts w:ascii="Times New Roman;sans-serif" w:hAnsi="Times New Roman;sans-serif"/>
          <w:b w:val="false"/>
          <w:color w:val="000000"/>
          <w:sz w:val="22"/>
        </w:rPr>
        <w:t>4.4.    </w:t>
      </w:r>
      <w:r>
        <w:rPr>
          <w:rFonts w:ascii="Times New Roman;sans-serif" w:hAnsi="Times New Roman;sans-serif"/>
          <w:b/>
          <w:color w:val="000000"/>
          <w:sz w:val="22"/>
        </w:rPr>
        <w:t>Communication</w:t>
      </w:r>
      <w:r>
        <w:rPr>
          <w:rFonts w:ascii="Times New Roman;sans-serif" w:hAnsi="Times New Roman;sans-serif"/>
          <w:b w:val="false"/>
          <w:color w:val="000000"/>
          <w:sz w:val="22"/>
        </w:rPr>
        <w:t>. Except as otherwise provided in the Quality Agreement with respect to quality-related communications, during the Term:</w:t>
      </w:r>
    </w:p>
    <w:p>
      <w:pPr>
        <w:pStyle w:val="TextBody"/>
        <w:bidi w:val="0"/>
        <w:spacing w:lineRule="auto" w:line="240" w:before="120" w:after="283"/>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4.4.1.    Provider will regularly communicate with Senti, through the Project Managers, using electronic portals, or via such other methods as the Parties may agree, and respond to all reasonable requests of Senti for information regarding the status of each Project. Provider’s Project Manager will provide Senti with Project updates with reasonable frequency, which updates will include, unless inapplicable: (a) advising Senti of progress as measured against the Project Schedule; (b) advising Senti of any material problems encountered with respect to the Project Schedule; and (c) any efforts being made to overcome any material problems with the Project Schedule and estimates of actual completion dates. </w:t>
      </w:r>
    </w:p>
    <w:p>
      <w:pPr>
        <w:pStyle w:val="TextBody"/>
        <w:bidi w:val="0"/>
        <w:spacing w:lineRule="auto" w:line="240" w:before="120" w:after="283"/>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4.4.2.    Senti will send all operational communications regarding Project activities to Provider’s Project Manager (or designee). Senti shall promptly inform Provider of material events or circumstances that Senti becomes aware of that could reasonably be expected to impact the Project, including changes to its desired outcomes for the Project, the Project priority within Senti’s organization, key regulatory developments regarding Senti Supplies, Third Party Starting Materials or Product, and potential delays in delivery of Senti Supplies. For the sake of clarity, such communications shall be for information only and shall not effect any change to any SoWs, the Quality Agreement, or this Agreement or the rights, responsibilities or liabilities of the Parties thereunder, except to the extent subsequently documented in a Change Order agreed between the Parties in accordance with Section 5.7 (Changes to Statements of Work). </w:t>
      </w:r>
    </w:p>
    <w:p>
      <w:pPr>
        <w:pStyle w:val="TextBody"/>
        <w:bidi w:val="0"/>
        <w:spacing w:lineRule="auto" w:line="240" w:before="120" w:after="283"/>
        <w:ind w:left="0" w:right="0" w:hanging="630"/>
        <w:jc w:val="both"/>
        <w:rPr/>
      </w:pPr>
      <w:r>
        <w:rPr>
          <w:rFonts w:ascii="Times New Roman;sans-serif" w:hAnsi="Times New Roman;sans-serif"/>
          <w:b w:val="false"/>
          <w:color w:val="000000"/>
          <w:sz w:val="22"/>
        </w:rPr>
        <w:t>4.5.    </w:t>
      </w:r>
      <w:r>
        <w:rPr>
          <w:rFonts w:ascii="Times New Roman;sans-serif" w:hAnsi="Times New Roman;sans-serif"/>
          <w:b/>
          <w:color w:val="000000"/>
          <w:sz w:val="22"/>
        </w:rPr>
        <w:t>Joint Project Team</w:t>
      </w:r>
      <w:r>
        <w:rPr>
          <w:rFonts w:ascii="Times New Roman;sans-serif" w:hAnsi="Times New Roman;sans-serif"/>
          <w:b w:val="false"/>
          <w:color w:val="000000"/>
          <w:sz w:val="22"/>
        </w:rPr>
        <w:t>.</w:t>
      </w:r>
    </w:p>
    <w:p>
      <w:pPr>
        <w:pStyle w:val="TextBody"/>
        <w:bidi w:val="0"/>
        <w:spacing w:lineRule="auto" w:line="240" w:before="120" w:after="283"/>
        <w:ind w:left="0" w:right="0" w:hanging="864"/>
        <w:jc w:val="both"/>
        <w:rPr/>
      </w:pPr>
      <w:r>
        <w:rPr>
          <w:rFonts w:ascii="Times New Roman;sans-serif" w:hAnsi="Times New Roman;sans-serif"/>
          <w:b w:val="false"/>
          <w:color w:val="000000"/>
          <w:sz w:val="22"/>
        </w:rPr>
        <w:t>4.5.1.    </w:t>
      </w:r>
      <w:r>
        <w:rPr>
          <w:rFonts w:ascii="Times New Roman;sans-serif" w:hAnsi="Times New Roman;sans-serif"/>
          <w:b w:val="false"/>
          <w:color w:val="000000"/>
          <w:sz w:val="22"/>
          <w:u w:val="single"/>
        </w:rPr>
        <w:t>JPT Establishment; Composition</w:t>
      </w:r>
      <w:r>
        <w:rPr>
          <w:rFonts w:ascii="Times New Roman;sans-serif" w:hAnsi="Times New Roman;sans-serif"/>
          <w:b w:val="false"/>
          <w:color w:val="000000"/>
          <w:sz w:val="22"/>
        </w:rPr>
        <w:t>. Within thirty (30) days following the Effective Date, the Parties will establish a joint project team (“</w:t>
      </w:r>
      <w:r>
        <w:rPr>
          <w:rFonts w:ascii="Times New Roman;sans-serif" w:hAnsi="Times New Roman;sans-serif"/>
          <w:b/>
          <w:color w:val="000000"/>
          <w:sz w:val="22"/>
        </w:rPr>
        <w:t>JPT</w:t>
      </w:r>
      <w:r>
        <w:rPr>
          <w:color w:val="000000"/>
        </w:rPr>
        <w:t>”</w:t>
      </w:r>
      <w:r>
        <w:rPr>
          <w:rFonts w:ascii="Times New Roman;sans-serif" w:hAnsi="Times New Roman;sans-serif"/>
          <w:b w:val="false"/>
          <w:color w:val="000000"/>
          <w:sz w:val="22"/>
        </w:rPr>
        <w:t xml:space="preserve">). The JPT will consist of an equal number of representatives of each Party having sufficient expertise </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346075"/>
                <wp:effectExtent l="0" t="0" r="0" b="0"/>
                <wp:wrapNone/>
                <wp:docPr id="214" name="Frame214"/>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regarding, and knowledge of, the activities conducted pursuant to this Agreement to contribute meaningfully to JPT meetings, but no fewer than [***] representatives per Party. As Statements of Work are executed, each Party’s Project Managers will automatically be added to the JPT. A Provider nominee will be the chair of the JPT. The chair will be responsible for: (a) calling meetings of the JPT; (b) preparing and issuing minutes of each such meeting within [***] thereafter; and (c) preparing and circulating an agenda for the upcoming meeting, but shall have no additional rights or authority over other JPT members.</w:t>
      </w:r>
    </w:p>
    <w:p>
      <w:pPr>
        <w:pStyle w:val="TextBody"/>
        <w:bidi w:val="0"/>
        <w:spacing w:lineRule="auto" w:line="240" w:before="120" w:after="283"/>
        <w:ind w:left="0" w:right="0" w:hanging="864"/>
        <w:jc w:val="both"/>
        <w:rPr/>
      </w:pPr>
      <w:r>
        <w:rPr>
          <w:rFonts w:ascii="Times New Roman;sans-serif" w:hAnsi="Times New Roman;sans-serif"/>
          <w:b w:val="false"/>
          <w:color w:val="000000"/>
          <w:sz w:val="22"/>
        </w:rPr>
        <w:t>4.5.2.    </w:t>
      </w:r>
      <w:r>
        <w:rPr>
          <w:rFonts w:ascii="Times New Roman;sans-serif" w:hAnsi="Times New Roman;sans-serif"/>
          <w:b w:val="false"/>
          <w:color w:val="000000"/>
          <w:sz w:val="22"/>
          <w:u w:val="single"/>
        </w:rPr>
        <w:t>JPT Mandate</w:t>
      </w:r>
      <w:r>
        <w:rPr>
          <w:rFonts w:ascii="Times New Roman;sans-serif" w:hAnsi="Times New Roman;sans-serif"/>
          <w:b w:val="false"/>
          <w:color w:val="000000"/>
          <w:sz w:val="22"/>
        </w:rPr>
        <w:t>. The JPT will meet to discuss any questions or issues regarding the Services and the relationship between the Parties. The JPT is expected to work towards consensus decisions on matters of concern to the Parties, but neither the JPT nor the Project Managers will have any right to modify, amend or waive any provision of this Agreement, including any provision of any Statement of Work, or the Quality Agreement. The JPT will make decisions only by consensus of all of its members. In the event the JPT cannot reach decision on a matter within its realm of responsibility, the matter shall be elevated to the JSC for such decision making.</w:t>
      </w:r>
    </w:p>
    <w:p>
      <w:pPr>
        <w:pStyle w:val="TextBody"/>
        <w:bidi w:val="0"/>
        <w:spacing w:lineRule="auto" w:line="240" w:before="120" w:after="283"/>
        <w:ind w:left="0" w:right="0" w:hanging="864"/>
        <w:jc w:val="both"/>
        <w:rPr/>
      </w:pPr>
      <w:r>
        <w:rPr>
          <w:rFonts w:ascii="Times New Roman;sans-serif" w:hAnsi="Times New Roman;sans-serif"/>
          <w:b w:val="false"/>
          <w:color w:val="000000"/>
          <w:sz w:val="22"/>
        </w:rPr>
        <w:t>4.5.3.    </w:t>
      </w:r>
      <w:r>
        <w:rPr>
          <w:rFonts w:ascii="Times New Roman;sans-serif" w:hAnsi="Times New Roman;sans-serif"/>
          <w:b w:val="false"/>
          <w:color w:val="000000"/>
          <w:sz w:val="22"/>
          <w:u w:val="single"/>
        </w:rPr>
        <w:t>JPT Meetings</w:t>
      </w:r>
      <w:r>
        <w:rPr>
          <w:rFonts w:ascii="Times New Roman;sans-serif" w:hAnsi="Times New Roman;sans-serif"/>
          <w:b w:val="false"/>
          <w:color w:val="000000"/>
          <w:sz w:val="22"/>
        </w:rPr>
        <w:t>. The JPT shall hold JPT meetings in compliance with the governance practices consistent with those applicable to the JSC meetings set forth in Section 4.1.2 (JSC Meetings); except that meetings of the JPT will be held periodically during the Term, but in no event no less frequently than [***], subject to cancellation by mutual agreement of the Parties (acting reasonably).</w:t>
      </w:r>
    </w:p>
    <w:p>
      <w:pPr>
        <w:pStyle w:val="TextBody"/>
        <w:bidi w:val="0"/>
        <w:spacing w:lineRule="auto" w:line="240" w:before="480" w:after="240"/>
        <w:ind w:left="0" w:right="0" w:hanging="360"/>
        <w:jc w:val="both"/>
        <w:rPr/>
      </w:pPr>
      <w:r>
        <w:rPr>
          <w:rFonts w:ascii="Times New Roman;sans-serif" w:hAnsi="Times New Roman;sans-serif"/>
          <w:b/>
          <w:color w:val="000000"/>
          <w:sz w:val="22"/>
        </w:rPr>
        <w:t>5.    </w:t>
      </w:r>
      <w:r>
        <w:rPr>
          <w:rFonts w:ascii="Times New Roman;sans-serif" w:hAnsi="Times New Roman;sans-serif"/>
          <w:b w:val="false"/>
          <w:color w:val="000000"/>
          <w:sz w:val="22"/>
        </w:rPr>
        <w:t xml:space="preserve">PROJECT INITIATION, SCHEDULING, CANCELLATIONS AND CHANGE ORDERS.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5.1.    </w:t>
      </w:r>
      <w:r>
        <w:rPr>
          <w:rFonts w:ascii="Times New Roman;sans-serif" w:hAnsi="Times New Roman;sans-serif"/>
          <w:b/>
          <w:color w:val="000000"/>
          <w:sz w:val="22"/>
        </w:rPr>
        <w:t>Forecast</w:t>
      </w:r>
      <w:r>
        <w:rPr>
          <w:rFonts w:ascii="Times New Roman;sans-serif" w:hAnsi="Times New Roman;sans-serif"/>
          <w:b w:val="false"/>
          <w:color w:val="000000"/>
          <w:sz w:val="22"/>
        </w:rPr>
        <w:t xml:space="preserve">. Upon, or as soon as practicable after the Parties’ entry into a SoW and for each month thereafter, Senti shall provide Provider with a rolling [***] forecast of Senti’s requirement for (a) [***] and/or (b) [***]. With respect to GMP Manufacturing Services, to the extent Reservation Fees have not been specified in the relevant SoW, Provider shall notify Senti of the Reservation Fees applicable to: (i) the [***] of the rolling Services Forecast, and [***] of the rolling Services Forecast thereafter, or (ii) such period for use of a dedicated suite indicated in the Suite Forecast, or as otherwise agreed between the Parties in writing.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5.2.    </w:t>
      </w:r>
      <w:r>
        <w:rPr>
          <w:rFonts w:ascii="Times New Roman;sans-serif" w:hAnsi="Times New Roman;sans-serif"/>
          <w:b/>
          <w:color w:val="000000"/>
          <w:sz w:val="22"/>
        </w:rPr>
        <w:t>Booking</w:t>
      </w:r>
      <w:r>
        <w:rPr>
          <w:rFonts w:ascii="Times New Roman;sans-serif" w:hAnsi="Times New Roman;sans-serif"/>
          <w:b w:val="false"/>
          <w:color w:val="000000"/>
          <w:sz w:val="22"/>
        </w:rPr>
        <w:t>. Once [***] the portion of the Services Forecast and/or Suite Forecast covered by such Reservation Fees shall constitute a binding commitment on Provider to perform the applicable Services, and, unless otherwise specified in the relevant SoW, the applicable Commencement Date and the Target Supply</w:t>
      </w:r>
      <w:r>
        <w:rPr>
          <w:color w:val="000000"/>
        </w:rPr>
        <w:t xml:space="preserve"> </w:t>
      </w:r>
      <w:r>
        <w:rPr>
          <w:rFonts w:ascii="Times New Roman;sans-serif" w:hAnsi="Times New Roman;sans-serif"/>
          <w:b w:val="false"/>
          <w:color w:val="000000"/>
          <w:sz w:val="22"/>
        </w:rPr>
        <w:t xml:space="preserve">Date(s) of the Deliverable(s) for the applicable GMP Manufacturing Services will be based on the Services Forecast and/or Suite Forecast (or as otherwise agreed in writing by the Parties). For clarity, the Services Forecast and Suite Forecast are rolling and non-binding and are merely informational for the sole purpose of assisting the Parties in planning until [***]. The JPT will discuss the Service Forecast and Suite Forecast at each JPT meeting and, upon request by Senti, will update the Service Forecast and/or Suite Forecast with respect to the non-binding period.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5.3.    </w:t>
      </w:r>
      <w:r>
        <w:rPr>
          <w:rFonts w:ascii="Times New Roman;sans-serif" w:hAnsi="Times New Roman;sans-serif"/>
          <w:b/>
          <w:color w:val="000000"/>
          <w:sz w:val="22"/>
        </w:rPr>
        <w:t>Capacity</w:t>
      </w:r>
      <w:r>
        <w:rPr>
          <w:rFonts w:ascii="Times New Roman;sans-serif" w:hAnsi="Times New Roman;sans-serif"/>
          <w:b w:val="false"/>
          <w:color w:val="000000"/>
          <w:sz w:val="22"/>
        </w:rPr>
        <w:t>. Provider shall periodically provide Senti updates on the availability of additional clean room facilities or suites. Senti shall give Provider [***] advance notice of any increase in Services required, if such increase would reasonably be contemplated to affect Provider’s procurement of equipment, or require any modifications to the Facility, or the reservation of additional suites.</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5.4.    </w:t>
      </w:r>
      <w:r>
        <w:rPr>
          <w:rFonts w:ascii="Times New Roman;sans-serif" w:hAnsi="Times New Roman;sans-serif"/>
          <w:b/>
          <w:color w:val="000000"/>
          <w:sz w:val="22"/>
        </w:rPr>
        <w:t>Supply Failure</w:t>
      </w:r>
      <w:r>
        <w:rPr>
          <w:rFonts w:ascii="Times New Roman;sans-serif" w:hAnsi="Times New Roman;sans-serif"/>
          <w:b w:val="false"/>
          <w:color w:val="000000"/>
          <w:sz w:val="22"/>
        </w:rPr>
        <w:t xml:space="preserve">. In the event of a Supply Failure: </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5.4.1.    If the Supply Failure relates to a particular Product, then subject to Section 5.4.3, [***] shall cease to apply to such Product.</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346075"/>
                <wp:effectExtent l="0" t="0" r="0" b="0"/>
                <wp:wrapNone/>
                <wp:docPr id="215" name="Frame215"/>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5.4.2.    If the Root Cause of the Supply Failure with respect to a particular Product will [***] (each [***] an “</w:t>
      </w:r>
      <w:r>
        <w:rPr>
          <w:rFonts w:ascii="Times New Roman;sans-serif" w:hAnsi="Times New Roman;sans-serif"/>
          <w:b/>
          <w:color w:val="000000"/>
          <w:sz w:val="22"/>
        </w:rPr>
        <w:t>Impacted Product</w:t>
      </w:r>
      <w:r>
        <w:rPr>
          <w:color w:val="000000"/>
        </w:rPr>
        <w:t>”</w:t>
      </w:r>
      <w:r>
        <w:rPr>
          <w:rFonts w:ascii="Times New Roman;sans-serif" w:hAnsi="Times New Roman;sans-serif"/>
          <w:b w:val="false"/>
          <w:color w:val="000000"/>
          <w:sz w:val="22"/>
        </w:rPr>
        <w:t>), then subject to Section 5.4.3, [***] shall cease to apply to such Impacted Products. If [***] and Provider [***], then such particular Product shall be deemed an Impacted Product. If Senti reasonably believes that Products that were not considered in the investigation for Root Cause would be Impacted Products, it may notify Provider and Provider shall, upon Senti’s request, conduct an additional investigation with respect to those Products.</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5.4.3.    Notwithstanding Sections 5.4.1 and 5.4.2, if Senti determines in its reasonable discretion that [***] then (a) [***], and (b) [***].</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5.4.4.    In connection with a Product that has suffered a Supply Failure, or its Impacted Products, Senti shall have the right to [***], or [***], provided that [***]. Senti may [***].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5.4.5.    A “</w:t>
      </w:r>
      <w:r>
        <w:rPr>
          <w:rFonts w:ascii="Times New Roman;sans-serif" w:hAnsi="Times New Roman;sans-serif"/>
          <w:b/>
          <w:color w:val="000000"/>
          <w:sz w:val="22"/>
        </w:rPr>
        <w:t>Supply Failure</w:t>
      </w:r>
      <w:r>
        <w:rPr>
          <w:color w:val="000000"/>
        </w:rPr>
        <w:t xml:space="preserve">” </w:t>
      </w:r>
      <w:r>
        <w:rPr>
          <w:rFonts w:ascii="Times New Roman;sans-serif" w:hAnsi="Times New Roman;sans-serif"/>
          <w:b w:val="false"/>
          <w:color w:val="000000"/>
          <w:sz w:val="22"/>
        </w:rPr>
        <w:t>occurs where, in connection with a particular Product:</w:t>
      </w:r>
    </w:p>
    <w:p>
      <w:pPr>
        <w:pStyle w:val="TextBody"/>
        <w:bidi w:val="0"/>
        <w:spacing w:lineRule="auto" w:line="240" w:before="0" w:after="240"/>
        <w:ind w:left="0" w:right="0" w:hanging="1224"/>
        <w:jc w:val="both"/>
        <w:rPr/>
      </w:pPr>
      <w:r>
        <w:rPr>
          <w:rFonts w:ascii="Times New Roman;sans-serif" w:hAnsi="Times New Roman;sans-serif"/>
          <w:b w:val="false"/>
          <w:color w:val="000000"/>
          <w:sz w:val="22"/>
        </w:rPr>
        <w:t>5.4.5(a)    There is [***], and after conducting an investigation in accordance with Sections 10.4 (Batch Failure) and/or 10.5 (Product Conformity), as applicable, to determine [***], there is a [***] (“</w:t>
      </w:r>
      <w:r>
        <w:rPr>
          <w:rFonts w:ascii="Times New Roman;sans-serif" w:hAnsi="Times New Roman;sans-serif"/>
          <w:b/>
          <w:color w:val="000000"/>
          <w:sz w:val="22"/>
        </w:rPr>
        <w:t>Root Cause</w:t>
      </w:r>
      <w:r>
        <w:rPr>
          <w:color w:val="000000"/>
        </w:rPr>
        <w:t>”</w:t>
      </w:r>
      <w:r>
        <w:rPr>
          <w:rFonts w:ascii="Times New Roman;sans-serif" w:hAnsi="Times New Roman;sans-serif"/>
          <w:b w:val="false"/>
          <w:color w:val="000000"/>
          <w:sz w:val="22"/>
        </w:rPr>
        <w:t xml:space="preserve">); </w:t>
      </w:r>
    </w:p>
    <w:p>
      <w:pPr>
        <w:pStyle w:val="TextBody"/>
        <w:bidi w:val="0"/>
        <w:spacing w:lineRule="auto" w:line="240" w:before="0" w:after="240"/>
        <w:ind w:left="0" w:right="0" w:hanging="1224"/>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5.4.5(b)    There are [***], and (i) Provider [***] or (ii) Provider [***]; or </w:t>
      </w:r>
    </w:p>
    <w:p>
      <w:pPr>
        <w:pStyle w:val="TextBody"/>
        <w:bidi w:val="0"/>
        <w:spacing w:lineRule="auto" w:line="240" w:before="0" w:after="240"/>
        <w:ind w:left="0" w:right="0" w:hanging="1224"/>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5.4.5(c)    Provider has failed to [***], unless such failure is [***]. </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5.4.6.    If Senti [***], and Senti [***], Senti may [***], unless Senti is [***]. </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5.4.7.    If there is any sustained disruption in supply such that Provider is unable to supply Batches in accordance with any Statement of Work, Provider shall use Commercially Reasonable Efforts to mitigate such disruption and ensure continuity of supply.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5.5.    </w:t>
      </w:r>
      <w:r>
        <w:rPr>
          <w:rFonts w:ascii="Times New Roman;sans-serif" w:hAnsi="Times New Roman;sans-serif"/>
          <w:b/>
          <w:color w:val="000000"/>
          <w:sz w:val="22"/>
        </w:rPr>
        <w:t>Cancellation of Services</w:t>
      </w:r>
      <w:r>
        <w:rPr>
          <w:rFonts w:ascii="Times New Roman;sans-serif" w:hAnsi="Times New Roman;sans-serif"/>
          <w:b w:val="false"/>
          <w:color w:val="000000"/>
          <w:sz w:val="22"/>
        </w:rPr>
        <w:t>. Once Services have been scheduled and assigned a Commencement Date and Target Supply Date(s) for the Deliverables of such Services, any request by Senti to cancel such Services must be submitted in writing to Provider (“</w:t>
      </w:r>
      <w:r>
        <w:rPr>
          <w:rFonts w:ascii="Times New Roman;sans-serif" w:hAnsi="Times New Roman;sans-serif"/>
          <w:b/>
          <w:color w:val="000000"/>
          <w:sz w:val="22"/>
        </w:rPr>
        <w:t>Cancellation Notice</w:t>
      </w:r>
      <w:r>
        <w:rPr>
          <w:color w:val="000000"/>
        </w:rPr>
        <w:t>”</w:t>
      </w:r>
      <w:r>
        <w:rPr>
          <w:rFonts w:ascii="Times New Roman;sans-serif" w:hAnsi="Times New Roman;sans-serif"/>
          <w:b w:val="false"/>
          <w:color w:val="000000"/>
          <w:sz w:val="22"/>
        </w:rPr>
        <w:t>) and will be subject to the following provisions, as may be modified by the cancellation provisions set forth in the applicable Statement of Work. For clarity, a request to reschedule Services will not be considered a Cancellation Notice, and rescheduling of GMP Manufacturing Services will be subject to Section 5.6 (Rescheduling or Reduction of Services). Notwithstanding anything to the contrary herein, Senti will have no obligation to pay Cancellation Fees if the cancellation occurs as a result of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5.5.1.    </w:t>
      </w:r>
      <w:r>
        <w:rPr>
          <w:rFonts w:ascii="Times New Roman;sans-serif" w:hAnsi="Times New Roman;sans-serif"/>
          <w:b w:val="false"/>
          <w:color w:val="000000"/>
          <w:sz w:val="22"/>
          <w:u w:val="single"/>
        </w:rPr>
        <w:t>Responsibility for Costs</w:t>
      </w:r>
      <w:r>
        <w:rPr>
          <w:rFonts w:ascii="Times New Roman;sans-serif" w:hAnsi="Times New Roman;sans-serif"/>
          <w:b w:val="false"/>
          <w:color w:val="000000"/>
          <w:sz w:val="22"/>
        </w:rPr>
        <w:t>. For purposes of this Section 5.5.1 (Responsibility for Costs), “</w:t>
      </w:r>
      <w:r>
        <w:rPr>
          <w:rFonts w:ascii="Times New Roman;sans-serif" w:hAnsi="Times New Roman;sans-serif"/>
          <w:b/>
          <w:color w:val="000000"/>
          <w:sz w:val="22"/>
        </w:rPr>
        <w:t>Base Cancellation Costs</w:t>
      </w:r>
      <w:r>
        <w:rPr>
          <w:color w:val="000000"/>
        </w:rPr>
        <w:t xml:space="preserve">” </w:t>
      </w:r>
      <w:r>
        <w:rPr>
          <w:rFonts w:ascii="Times New Roman;sans-serif" w:hAnsi="Times New Roman;sans-serif"/>
          <w:b w:val="false"/>
          <w:color w:val="000000"/>
          <w:sz w:val="22"/>
        </w:rPr>
        <w:t>means [***], including Out-of-Pocket Costs for (a) [***], (b) [***], and (c) [***].</w:t>
      </w:r>
    </w:p>
    <w:p>
      <w:pPr>
        <w:pStyle w:val="TextBody"/>
        <w:bidi w:val="0"/>
        <w:spacing w:lineRule="auto" w:line="240" w:before="240" w:after="240"/>
        <w:ind w:left="0" w:right="0" w:hanging="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Cancellation Fees</w:t>
      </w:r>
      <w:r>
        <w:rPr>
          <w:rFonts w:ascii="Times New Roman;sans-serif" w:hAnsi="Times New Roman;sans-serif"/>
          <w:b w:val="false"/>
          <w:color w:val="000000"/>
          <w:sz w:val="22"/>
        </w:rPr>
        <w:t>. Subject to Section 5.5.2 (Loss Mitigation), (i) if the Reservation Fee that Senti has paid to Provider for the cancelled Services exceeds the applicable cancellation fee provided below (“</w:t>
      </w:r>
      <w:r>
        <w:rPr>
          <w:rFonts w:ascii="Times New Roman;sans-serif" w:hAnsi="Times New Roman;sans-serif"/>
          <w:b/>
          <w:color w:val="000000"/>
          <w:sz w:val="22"/>
        </w:rPr>
        <w:t>Cancellation Fee</w:t>
      </w:r>
      <w:r>
        <w:rPr>
          <w:color w:val="000000"/>
        </w:rPr>
        <w:t>”</w:t>
      </w:r>
      <w:r>
        <w:rPr>
          <w:rFonts w:ascii="Times New Roman;sans-serif" w:hAnsi="Times New Roman;sans-serif"/>
          <w:b w:val="false"/>
          <w:color w:val="000000"/>
          <w:sz w:val="22"/>
        </w:rPr>
        <w:t xml:space="preserve">), then such Reservation Fee, less the applicable Cancellation Fee, shall be credited against any future payments owed by Senti under this Agreement; and (ii) if the Reservation Fee that Senti has paid to Provider for the cancelled Services is less than the applicable Cancellation Fee, then </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346075"/>
                <wp:effectExtent l="0" t="0" r="0" b="0"/>
                <wp:wrapNone/>
                <wp:docPr id="216" name="Frame216"/>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pPr>
      <w:r>
        <w:rPr>
          <w:rFonts w:ascii="Times New Roman;sans-serif" w:hAnsi="Times New Roman;sans-serif"/>
          <w:b w:val="false"/>
          <w:color w:val="000000"/>
          <w:sz w:val="22"/>
        </w:rPr>
        <w:t xml:space="preserve">Senti shall pay Provider an amount equal to the applicable Cancellation Fee </w:t>
      </w:r>
      <w:r>
        <w:rPr>
          <w:rFonts w:ascii="Times New Roman;sans-serif" w:hAnsi="Times New Roman;sans-serif"/>
          <w:b w:val="false"/>
          <w:i/>
          <w:color w:val="000000"/>
          <w:sz w:val="22"/>
          <w:u w:val="single"/>
        </w:rPr>
        <w:t>minus</w:t>
      </w:r>
      <w:r>
        <w:rPr>
          <w:color w:val="000000"/>
        </w:rPr>
        <w:t xml:space="preserve"> </w:t>
      </w:r>
      <w:r>
        <w:rPr>
          <w:rFonts w:ascii="Times New Roman;sans-serif" w:hAnsi="Times New Roman;sans-serif"/>
          <w:b w:val="false"/>
          <w:color w:val="000000"/>
          <w:sz w:val="22"/>
        </w:rPr>
        <w:t>such Reservation Fee.</w:t>
      </w:r>
    </w:p>
    <w:p>
      <w:pPr>
        <w:pStyle w:val="TextBody"/>
        <w:bidi w:val="0"/>
        <w:spacing w:lineRule="auto" w:line="240" w:before="0" w:after="240"/>
        <w:ind w:left="0" w:right="0" w:hanging="720"/>
        <w:jc w:val="both"/>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Development Services</w:t>
      </w:r>
      <w:r>
        <w:rPr>
          <w:rFonts w:ascii="Times New Roman;sans-serif" w:hAnsi="Times New Roman;sans-serif"/>
          <w:b w:val="false"/>
          <w:color w:val="000000"/>
          <w:sz w:val="22"/>
        </w:rPr>
        <w:t xml:space="preserve">. The Cancellation Fees for Development Services or for non-GMP Manufacture will equal [***]. </w:t>
      </w:r>
    </w:p>
    <w:p>
      <w:pPr>
        <w:pStyle w:val="TextBody"/>
        <w:bidi w:val="0"/>
        <w:spacing w:lineRule="auto" w:line="240" w:before="240" w:after="240"/>
        <w:ind w:left="0" w:right="0" w:hanging="720"/>
        <w:jc w:val="both"/>
        <w:rPr/>
      </w:pPr>
      <w:r>
        <w:rPr>
          <w:rFonts w:ascii="Times New Roman;sans-serif" w:hAnsi="Times New Roman;sans-serif"/>
          <w:b w:val="false"/>
          <w:color w:val="000000"/>
          <w:sz w:val="22"/>
        </w:rPr>
        <w:t>(ii)    </w:t>
      </w:r>
      <w:r>
        <w:rPr>
          <w:rFonts w:ascii="Times New Roman;sans-serif" w:hAnsi="Times New Roman;sans-serif"/>
          <w:b w:val="false"/>
          <w:color w:val="000000"/>
          <w:sz w:val="22"/>
          <w:u w:val="single"/>
        </w:rPr>
        <w:t>GMP Batches</w:t>
      </w:r>
      <w:r>
        <w:rPr>
          <w:rFonts w:ascii="Times New Roman;sans-serif" w:hAnsi="Times New Roman;sans-serif"/>
          <w:b w:val="false"/>
          <w:color w:val="000000"/>
          <w:sz w:val="22"/>
        </w:rPr>
        <w:t>. If Senti delivers a Cancellation Notice to Provider of any GMP Batch of Product that has been assigned a Commencement Date and Target Supply Date under a Statement of Work, then the Cancellation Fees will equal the sum of the Base Cancellation Costs and the applicable additional fee calculated as follows, provided that the total amount payable will never exceed the total Services Fees for the applicable Batch:</w:t>
      </w:r>
    </w:p>
    <w:tbl>
      <w:tblPr>
        <w:tblW w:w="5264" w:type="dxa"/>
        <w:jc w:val="left"/>
        <w:tblInd w:w="0" w:type="dxa"/>
        <w:tblLayout w:type="fixed"/>
        <w:tblCellMar>
          <w:top w:w="28" w:type="dxa"/>
          <w:left w:w="28" w:type="dxa"/>
          <w:bottom w:w="28" w:type="dxa"/>
          <w:right w:w="28" w:type="dxa"/>
        </w:tblCellMar>
      </w:tblPr>
      <w:tblGrid>
        <w:gridCol w:w="1304"/>
        <w:gridCol w:w="1146"/>
        <w:gridCol w:w="1150"/>
        <w:gridCol w:w="487"/>
        <w:gridCol w:w="487"/>
        <w:gridCol w:w="690"/>
      </w:tblGrid>
      <w:tr>
        <w:trPr/>
        <w:tc>
          <w:tcPr>
            <w:tcW w:w="130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Days Prior to Commencement Date</w:t>
            </w:r>
          </w:p>
        </w:tc>
        <w:tc>
          <w:tcPr>
            <w:tcW w:w="1664" w:type="dxa"/>
            <w:gridSpan w:val="3"/>
            <w:tcBorders>
              <w:top w:val="single" w:sz="4" w:space="0" w:color="BFBFBF"/>
              <w:left w:val="single" w:sz="4" w:space="0" w:color="BFBFBF"/>
              <w:right w:val="single" w:sz="4" w:space="0" w:color="BFBFBF"/>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Additional Fees</w:t>
            </w:r>
          </w:p>
        </w:tc>
      </w:tr>
      <w:tr>
        <w:trPr/>
        <w:tc>
          <w:tcPr>
            <w:tcW w:w="3600"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Cancellation Notice &lt; [***]</w:t>
            </w:r>
          </w:p>
        </w:tc>
        <w:tc>
          <w:tcPr>
            <w:tcW w:w="1664" w:type="dxa"/>
            <w:gridSpan w:val="3"/>
            <w:tcBorders>
              <w:top w:val="single" w:sz="4" w:space="0" w:color="BFBFBF"/>
              <w:left w:val="single" w:sz="4" w:space="0" w:color="BFBFBF"/>
              <w:right w:val="single" w:sz="4" w:space="0" w:color="BFBFBF"/>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3600" w:type="dxa"/>
            <w:gridSpan w:val="3"/>
            <w:tcBorders>
              <w:top w:val="single" w:sz="4" w:space="0" w:color="BFBFBF"/>
              <w:left w:val="single" w:sz="4" w:space="0" w:color="BFBFBF"/>
            </w:tcBorders>
            <w:tcMar>
              <w:top w:w="30" w:type="dxa"/>
              <w:left w:w="82"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Cancellation Notice ≤ [***]</w:t>
            </w:r>
          </w:p>
        </w:tc>
        <w:tc>
          <w:tcPr>
            <w:tcW w:w="1664" w:type="dxa"/>
            <w:gridSpan w:val="3"/>
            <w:tcBorders>
              <w:top w:val="single" w:sz="4" w:space="0" w:color="BFBFBF"/>
              <w:left w:val="single" w:sz="4" w:space="0" w:color="BFBFBF"/>
              <w:right w:val="single" w:sz="4" w:space="0" w:color="BFBFBF"/>
            </w:tcBorders>
            <w:tcMar>
              <w:top w:w="30" w:type="dxa"/>
              <w:left w:w="82" w:type="dxa"/>
              <w:bottom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3600" w:type="dxa"/>
            <w:gridSpan w:val="3"/>
            <w:tcBorders>
              <w:top w:val="single" w:sz="4" w:space="0" w:color="BFBFBF"/>
              <w:left w:val="single" w:sz="4" w:space="0" w:color="BFBFBF"/>
              <w:bottom w:val="single" w:sz="4" w:space="0" w:color="BFBFBF"/>
            </w:tcBorders>
            <w:tcMar>
              <w:top w:w="30" w:type="dxa"/>
              <w:left w:w="82"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&lt; Cancellation Notice</w:t>
            </w:r>
          </w:p>
        </w:tc>
        <w:tc>
          <w:tcPr>
            <w:tcW w:w="1664" w:type="dxa"/>
            <w:gridSpan w:val="3"/>
            <w:tcBorders>
              <w:top w:val="single" w:sz="4" w:space="0" w:color="BFBFBF"/>
              <w:left w:val="single" w:sz="4" w:space="0" w:color="BFBFBF"/>
              <w:bottom w:val="single" w:sz="4" w:space="0" w:color="BFBFBF"/>
              <w:right w:val="single" w:sz="4" w:space="0" w:color="BFBFBF"/>
            </w:tcBorders>
            <w:tcMar>
              <w:top w:w="30" w:type="dxa"/>
              <w:left w:w="82" w:type="dxa"/>
              <w:bottom w:w="3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r>
    </w:tbl>
    <w:p>
      <w:pPr>
        <w:pStyle w:val="TextBody"/>
        <w:bidi w:val="0"/>
        <w:spacing w:before="0" w:after="240"/>
        <w:jc w:val="both"/>
        <w:rPr/>
      </w:pPr>
      <w:r>
        <w:rPr/>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5.5.2.    </w:t>
      </w:r>
      <w:r>
        <w:rPr>
          <w:rFonts w:ascii="Times New Roman;sans-serif" w:hAnsi="Times New Roman;sans-serif"/>
          <w:b w:val="false"/>
          <w:color w:val="000000"/>
          <w:sz w:val="22"/>
          <w:u w:val="single"/>
        </w:rPr>
        <w:t>Loss Mitigation</w:t>
      </w:r>
      <w:r>
        <w:rPr>
          <w:rFonts w:ascii="Times New Roman;sans-serif" w:hAnsi="Times New Roman;sans-serif"/>
          <w:b w:val="false"/>
          <w:color w:val="000000"/>
          <w:sz w:val="22"/>
        </w:rPr>
        <w:t xml:space="preserve">. Upon receipt of a Cancellation Notice, Provider will utilize Commercially Reasonable Efforts to utilize the reserved resources (including staff, production suites, and materials) for other existing projects in order to mitigate lost revenues and costs. If Provider is successful in reallocating an existing project to replace the cancelled Services (including by rescheduling Services to be performed for Senti in a dedicated suite reserved by Senti under the applicable SoW), or if [***], or if any of [***], then the Cancellation Fees owed by Senti will be reduced by a corresponding amount.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5.6.    </w:t>
      </w:r>
      <w:r>
        <w:rPr>
          <w:rFonts w:ascii="Times New Roman;sans-serif" w:hAnsi="Times New Roman;sans-serif"/>
          <w:b/>
          <w:color w:val="000000"/>
          <w:sz w:val="22"/>
        </w:rPr>
        <w:t>Rescheduling or Reduction of Services</w:t>
      </w:r>
      <w:r>
        <w:rPr>
          <w:rFonts w:ascii="Times New Roman;sans-serif" w:hAnsi="Times New Roman;sans-serif"/>
          <w:b w:val="false"/>
          <w:color w:val="000000"/>
          <w:sz w:val="22"/>
        </w:rPr>
        <w:t>. If Senti notifies Provider that it would like to reschedule or reduce any Services for which Reservation Fees are payable, and a Commencement Date and Target Supply Date(s) for the Deliverables of such Services have been assigned (“</w:t>
      </w:r>
      <w:r>
        <w:rPr>
          <w:rFonts w:ascii="Times New Roman;sans-serif" w:hAnsi="Times New Roman;sans-serif"/>
          <w:b/>
          <w:color w:val="000000"/>
          <w:sz w:val="22"/>
        </w:rPr>
        <w:t xml:space="preserve">Reschedule Notice” </w:t>
      </w:r>
      <w:r>
        <w:rPr>
          <w:rFonts w:ascii="Times New Roman;sans-serif" w:hAnsi="Times New Roman;sans-serif"/>
          <w:b w:val="false"/>
          <w:color w:val="000000"/>
          <w:sz w:val="22"/>
        </w:rPr>
        <w:t>or</w:t>
      </w:r>
      <w:r>
        <w:rPr>
          <w:color w:val="000000"/>
        </w:rPr>
        <w:t xml:space="preserve"> “</w:t>
      </w:r>
      <w:r>
        <w:rPr>
          <w:rFonts w:ascii="Times New Roman;sans-serif" w:hAnsi="Times New Roman;sans-serif"/>
          <w:b/>
          <w:color w:val="000000"/>
          <w:sz w:val="22"/>
        </w:rPr>
        <w:t>Reduction Notice</w:t>
      </w:r>
      <w:r>
        <w:rPr>
          <w:color w:val="000000"/>
        </w:rPr>
        <w:t>”</w:t>
      </w:r>
      <w:r>
        <w:rPr>
          <w:rFonts w:ascii="Times New Roman;sans-serif" w:hAnsi="Times New Roman;sans-serif"/>
          <w:b w:val="false"/>
          <w:color w:val="000000"/>
          <w:sz w:val="22"/>
        </w:rPr>
        <w:t>, as applicable), then Provider shall [***] in order to mitigate lost revenues and costs, and Target Supply</w:t>
      </w:r>
      <w:r>
        <w:rPr>
          <w:color w:val="000000"/>
        </w:rPr>
        <w:t xml:space="preserve"> </w:t>
      </w:r>
      <w:r>
        <w:rPr>
          <w:rFonts w:ascii="Times New Roman;sans-serif" w:hAnsi="Times New Roman;sans-serif"/>
          <w:b w:val="false"/>
          <w:color w:val="000000"/>
          <w:sz w:val="22"/>
        </w:rPr>
        <w:t>Dates shall be adjusted accordingly.</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5.6.1.    </w:t>
      </w:r>
      <w:r>
        <w:rPr>
          <w:rFonts w:ascii="Times New Roman;sans-serif" w:hAnsi="Times New Roman;sans-serif"/>
          <w:b w:val="false"/>
          <w:color w:val="000000"/>
          <w:sz w:val="22"/>
          <w:u w:val="single"/>
        </w:rPr>
        <w:t>Rescheduling or Reduction Fee</w:t>
      </w:r>
      <w:r>
        <w:rPr>
          <w:rFonts w:ascii="Times New Roman;sans-serif" w:hAnsi="Times New Roman;sans-serif"/>
          <w:b w:val="false"/>
          <w:color w:val="000000"/>
          <w:sz w:val="22"/>
        </w:rPr>
        <w:t>. If Senti delivers a Reschedule Notice or Reduction Notice to Provider for rescheduling or reducing the relevant Services, unless different fees are set forth in the applicable Statement of Work and subject to Section 5.6.2, the Reservation Fee that Senti has paid to Provider for the rescheduled or reduced Services, less the amount of the applicable rescheduling or reduction fee provided below (“</w:t>
      </w:r>
      <w:r>
        <w:rPr>
          <w:rFonts w:ascii="Times New Roman;sans-serif" w:hAnsi="Times New Roman;sans-serif"/>
          <w:b/>
          <w:color w:val="000000"/>
          <w:sz w:val="22"/>
        </w:rPr>
        <w:t>Rescheduling or Reduction Fee</w:t>
      </w:r>
      <w:r>
        <w:rPr>
          <w:color w:val="000000"/>
        </w:rPr>
        <w:t>”</w:t>
      </w:r>
      <w:r>
        <w:rPr>
          <w:rFonts w:ascii="Times New Roman;sans-serif" w:hAnsi="Times New Roman;sans-serif"/>
          <w:b w:val="false"/>
          <w:color w:val="000000"/>
          <w:sz w:val="22"/>
        </w:rPr>
        <w:t>), shall be credited against any future payments owed by Senti under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346075"/>
                <wp:effectExtent l="0" t="0" r="0" b="0"/>
                <wp:wrapNone/>
                <wp:docPr id="217" name="Frame217"/>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18</w:t>
                      </w:r>
                    </w:p>
                    <w:p>
                      <w:pPr>
                        <w:pStyle w:val="TextBody"/>
                        <w:bidi w:val="0"/>
                        <w:spacing w:before="0" w:after="0"/>
                        <w:jc w:val="left"/>
                        <w:rPr/>
                      </w:pPr>
                      <w:r>
                        <w:rPr/>
                      </w:r>
                    </w:p>
                  </w:txbxContent>
                </v:textbox>
                <w10:wrap type="none"/>
              </v:rect>
            </w:pict>
          </mc:Fallback>
        </mc:AlternateContent>
      </w:r>
    </w:p>
    <w:tbl>
      <w:tblPr>
        <w:tblW w:w="7843" w:type="dxa"/>
        <w:jc w:val="left"/>
        <w:tblInd w:w="0" w:type="dxa"/>
        <w:tblLayout w:type="fixed"/>
        <w:tblCellMar>
          <w:top w:w="28" w:type="dxa"/>
          <w:left w:w="28" w:type="dxa"/>
          <w:bottom w:w="28" w:type="dxa"/>
          <w:right w:w="28" w:type="dxa"/>
        </w:tblCellMar>
      </w:tblPr>
      <w:tblGrid>
        <w:gridCol w:w="1657"/>
        <w:gridCol w:w="1456"/>
        <w:gridCol w:w="1461"/>
        <w:gridCol w:w="957"/>
        <w:gridCol w:w="957"/>
        <w:gridCol w:w="1355"/>
      </w:tblGrid>
      <w:tr>
        <w:trPr/>
        <w:tc>
          <w:tcPr>
            <w:tcW w:w="1657"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Days Prior to Commencement Date</w:t>
            </w:r>
          </w:p>
        </w:tc>
        <w:tc>
          <w:tcPr>
            <w:tcW w:w="3269" w:type="dxa"/>
            <w:gridSpan w:val="3"/>
            <w:tcBorders>
              <w:top w:val="single" w:sz="4" w:space="0" w:color="BFBFBF"/>
              <w:left w:val="single" w:sz="4" w:space="0" w:color="BFBFBF"/>
              <w:right w:val="single" w:sz="4" w:space="0" w:color="BFBFBF"/>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Rescheduling or Reduction Fees</w:t>
            </w:r>
          </w:p>
        </w:tc>
      </w:tr>
      <w:tr>
        <w:trPr/>
        <w:tc>
          <w:tcPr>
            <w:tcW w:w="4574"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Reschedule Notice or Reduction Notice &lt; [***]</w:t>
            </w:r>
          </w:p>
        </w:tc>
        <w:tc>
          <w:tcPr>
            <w:tcW w:w="3269" w:type="dxa"/>
            <w:gridSpan w:val="3"/>
            <w:tcBorders>
              <w:top w:val="single" w:sz="4" w:space="0" w:color="BFBFBF"/>
              <w:left w:val="single" w:sz="4" w:space="0" w:color="BFBFBF"/>
              <w:right w:val="single" w:sz="4" w:space="0" w:color="BFBFBF"/>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4574" w:type="dxa"/>
            <w:gridSpan w:val="3"/>
            <w:tcBorders>
              <w:top w:val="single" w:sz="4" w:space="0" w:color="BFBFBF"/>
              <w:left w:val="single" w:sz="4" w:space="0" w:color="BFBFBF"/>
            </w:tcBorders>
            <w:tcMar>
              <w:top w:w="30" w:type="dxa"/>
              <w:left w:w="82"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Reschedule Notice or Reduction Notice ≤ [***]</w:t>
            </w:r>
          </w:p>
        </w:tc>
        <w:tc>
          <w:tcPr>
            <w:tcW w:w="3269" w:type="dxa"/>
            <w:gridSpan w:val="3"/>
            <w:tcBorders>
              <w:top w:val="single" w:sz="4" w:space="0" w:color="BFBFBF"/>
              <w:left w:val="single" w:sz="4" w:space="0" w:color="BFBFBF"/>
              <w:right w:val="single" w:sz="4" w:space="0" w:color="BFBFBF"/>
            </w:tcBorders>
            <w:tcMar>
              <w:top w:w="30" w:type="dxa"/>
              <w:left w:w="82" w:type="dxa"/>
              <w:bottom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4574" w:type="dxa"/>
            <w:gridSpan w:val="3"/>
            <w:tcBorders>
              <w:top w:val="single" w:sz="4" w:space="0" w:color="BFBFBF"/>
              <w:left w:val="single" w:sz="4" w:space="0" w:color="BFBFBF"/>
              <w:bottom w:val="single" w:sz="4" w:space="0" w:color="BFBFBF"/>
            </w:tcBorders>
            <w:tcMar>
              <w:top w:w="30" w:type="dxa"/>
              <w:left w:w="82"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&lt; Reschedule Notice or Reduction Notice</w:t>
            </w:r>
          </w:p>
        </w:tc>
        <w:tc>
          <w:tcPr>
            <w:tcW w:w="3269" w:type="dxa"/>
            <w:gridSpan w:val="3"/>
            <w:tcBorders>
              <w:top w:val="single" w:sz="4" w:space="0" w:color="BFBFBF"/>
              <w:left w:val="single" w:sz="4" w:space="0" w:color="BFBFBF"/>
              <w:bottom w:val="single" w:sz="4" w:space="0" w:color="BFBFBF"/>
              <w:right w:val="single" w:sz="4" w:space="0" w:color="BFBFBF"/>
            </w:tcBorders>
            <w:tcMar>
              <w:top w:w="30" w:type="dxa"/>
              <w:left w:w="82" w:type="dxa"/>
              <w:bottom w:w="3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r>
    </w:tbl>
    <w:p>
      <w:pPr>
        <w:pStyle w:val="TextBody"/>
        <w:bidi w:val="0"/>
        <w:spacing w:lineRule="auto" w:line="240" w:before="24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5.6.2.    If Provider is successful in rescheduling [***] the Rescheduling or Reduction Fees will be reduced by a corresponding amount. Notwithstanding anything to the contrary herein, Senti will have no obligation to pay any Rescheduling or Reduction Fees if the rescheduling occurs as a result of [***]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5.7.    </w:t>
      </w:r>
      <w:r>
        <w:rPr>
          <w:rFonts w:ascii="Times New Roman;sans-serif" w:hAnsi="Times New Roman;sans-serif"/>
          <w:b/>
          <w:color w:val="000000"/>
          <w:sz w:val="22"/>
        </w:rPr>
        <w:t>Changes to Statements of Work</w:t>
      </w:r>
      <w:r>
        <w:rPr>
          <w:rFonts w:ascii="Times New Roman;sans-serif" w:hAnsi="Times New Roman;sans-serif"/>
          <w:b w:val="false"/>
          <w:color w:val="000000"/>
          <w:sz w:val="22"/>
        </w:rPr>
        <w:t xml:space="preserve">.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5.7.1.    </w:t>
      </w:r>
      <w:r>
        <w:rPr>
          <w:rFonts w:ascii="Times New Roman;sans-serif" w:hAnsi="Times New Roman;sans-serif"/>
          <w:b w:val="false"/>
          <w:color w:val="000000"/>
          <w:sz w:val="22"/>
          <w:u w:val="single"/>
        </w:rPr>
        <w:t>Scope; Changes</w:t>
      </w:r>
      <w:r>
        <w:rPr>
          <w:rFonts w:ascii="Times New Roman;sans-serif" w:hAnsi="Times New Roman;sans-serif"/>
          <w:b w:val="false"/>
          <w:color w:val="000000"/>
          <w:sz w:val="22"/>
        </w:rPr>
        <w:t>. The Parties acknowledge that certain changes in, or additions to, the Services as set out in a Statement of Work (including any Purchase Order issued thereunder) may be required or desirable but may have an impact on the delivery and performance of the Services and, in some cases, on the cost of providing the Services. Such changes or additions may include: [***] (the matters in this clause (d), “</w:t>
      </w:r>
      <w:r>
        <w:rPr>
          <w:rFonts w:ascii="Times New Roman;sans-serif" w:hAnsi="Times New Roman;sans-serif"/>
          <w:b/>
          <w:color w:val="000000"/>
          <w:sz w:val="22"/>
        </w:rPr>
        <w:t>GMP Changes</w:t>
      </w:r>
      <w:r>
        <w:rPr>
          <w:color w:val="000000"/>
        </w:rPr>
        <w:t>”</w:t>
      </w:r>
      <w:r>
        <w:rPr>
          <w:rFonts w:ascii="Times New Roman;sans-serif" w:hAnsi="Times New Roman;sans-serif"/>
          <w:b w:val="false"/>
          <w:color w:val="000000"/>
          <w:sz w:val="22"/>
        </w:rPr>
        <w:t xml:space="preserve">).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5.7.2.    </w:t>
      </w:r>
      <w:r>
        <w:rPr>
          <w:rFonts w:ascii="Times New Roman;sans-serif" w:hAnsi="Times New Roman;sans-serif"/>
          <w:b w:val="false"/>
          <w:color w:val="000000"/>
          <w:sz w:val="22"/>
          <w:u w:val="single"/>
        </w:rPr>
        <w:t>Notice of Proposed Change</w:t>
      </w:r>
      <w:r>
        <w:rPr>
          <w:rFonts w:ascii="Times New Roman;sans-serif" w:hAnsi="Times New Roman;sans-serif"/>
          <w:b w:val="false"/>
          <w:color w:val="000000"/>
          <w:sz w:val="22"/>
        </w:rPr>
        <w:t>. If either Party wishes to propose a change in, or an addition to, the Services under a Statement of Work, whether a GMP Change or other change, it will deliver a written notice to the other Party describing the proposed change. No change to the Services or an SoW, howsoever communicated between the Parties, shall be effective unless agreed as a Change Order under this Section 5.7 (Changes to Statements of Work).</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5.7.3.    </w:t>
      </w:r>
      <w:r>
        <w:rPr>
          <w:rFonts w:ascii="Times New Roman;sans-serif" w:hAnsi="Times New Roman;sans-serif"/>
          <w:b w:val="false"/>
          <w:color w:val="000000"/>
          <w:sz w:val="22"/>
          <w:u w:val="single"/>
        </w:rPr>
        <w:t>Draft Change Orders</w:t>
      </w:r>
      <w:r>
        <w:rPr>
          <w:rFonts w:ascii="Times New Roman;sans-serif" w:hAnsi="Times New Roman;sans-serif"/>
          <w:b w:val="false"/>
          <w:color w:val="000000"/>
          <w:sz w:val="22"/>
        </w:rPr>
        <w:t>. Provider will, as promptly as reasonably practicable, prepare and deliver to Senti a draft of the Change Order</w:t>
      </w:r>
      <w:r>
        <w:rPr>
          <w:color w:val="000000"/>
        </w:rPr>
        <w:t xml:space="preserve"> </w:t>
      </w:r>
      <w:r>
        <w:rPr>
          <w:rFonts w:ascii="Times New Roman;sans-serif" w:hAnsi="Times New Roman;sans-serif"/>
          <w:b w:val="false"/>
          <w:color w:val="000000"/>
          <w:sz w:val="22"/>
        </w:rPr>
        <w:t xml:space="preserve">setting out: (a) the effect of the proposed change, if any, on the Services under the applicable Statement of Work, including estimated timelines for performance (including Target Supply Dates); (b) the effect of the proposed change, if any, on the amounts payable by Senti under the applicable Statement of Work (subject to Section 7.1 (Credit) and Section 7.2 (Prepayment)); (c) the estimated timeline for implementing the proposed change; and (d) any other pertinent details. Provider shall have no obligation to prepare a draft Change Order if, on its face, it is commercially unreasonable for Provider to implement Senti’s proposed change. While a Change Order is being discussed by the Parties, Provider will continue to provide Services under the applicable Statement of Work unless Senti requests that such Services be delayed pending execution of a new or revised Change Order or performance of such Services is inconsistent with applicable Law. If Provider’s provision of Services are delayed pursuant to this Section 5.7.3 (Draft Change Orders) because Senti requests in writing that Provider cease conducting such Services during the negotiation of a Change Order, Provider shall have no liability for any failure to meet timelines set out in the relevant SoW or any relevant Target Supply Dates to the extent resulting from Provider’s ceasing </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346075"/>
                <wp:effectExtent l="0" t="0" r="0" b="0"/>
                <wp:wrapNone/>
                <wp:docPr id="218" name="Frame218"/>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conduct of such Services as requested by Senti, and such failure shall not be considered a breach by Provider.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5.7.4.    </w:t>
      </w:r>
      <w:r>
        <w:rPr>
          <w:rFonts w:ascii="Times New Roman;sans-serif" w:hAnsi="Times New Roman;sans-serif"/>
          <w:b w:val="false"/>
          <w:color w:val="000000"/>
          <w:sz w:val="22"/>
          <w:u w:val="single"/>
        </w:rPr>
        <w:t>Effectiveness</w:t>
      </w:r>
      <w:r>
        <w:rPr>
          <w:rFonts w:ascii="Times New Roman;sans-serif" w:hAnsi="Times New Roman;sans-serif"/>
          <w:b w:val="false"/>
          <w:color w:val="000000"/>
          <w:sz w:val="22"/>
        </w:rPr>
        <w:t xml:space="preserve">. No Change Order will be effective unless and until it has been agreed to and fully executed and delivered by duly authorized representatives of both Parties. Once a Change Order has been executed, the changes in or additions to the Services will be deemed to have amended the Statement of Work and/or Purchase Order, as applicable, accordingly. For the avoidance of doubt, unless and until a Change Order to modify a Statement of Work has been agreed to by both Parties in accordance with the preceding sentence, the existing Statement of Work shall remain in effect.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5.7.5.    </w:t>
      </w:r>
      <w:r>
        <w:rPr>
          <w:rFonts w:ascii="Times New Roman;sans-serif" w:hAnsi="Times New Roman;sans-serif"/>
          <w:b w:val="false"/>
          <w:color w:val="000000"/>
          <w:sz w:val="22"/>
          <w:u w:val="single"/>
        </w:rPr>
        <w:t>Impasse</w:t>
      </w:r>
      <w:r>
        <w:rPr>
          <w:rFonts w:ascii="Times New Roman;sans-serif" w:hAnsi="Times New Roman;sans-serif"/>
          <w:b w:val="false"/>
          <w:color w:val="000000"/>
          <w:sz w:val="22"/>
        </w:rPr>
        <w:t xml:space="preserve">. In the case of any GMP Change, the Parties will negotiate in good faith to agree on a Change Order to comply with such GMP Change. If [***], then either Party may, in its sole discretion, terminate the applicable Statement of Work upon [***] notice to the other Party. In the event of any termination in accordance with this Section 5.7.5 (Impasse): (i) [***]; and (ii) [***]. In the event a Statement of Work is terminated in accordance with this Section 5.7.5 (Impasse), [***]. If Senti subsequently determines in its reasonable discretion that [***] then [***]. If Senti has [***] then upon [***], Senti may [***]. </w:t>
      </w:r>
    </w:p>
    <w:p>
      <w:pPr>
        <w:pStyle w:val="TextBody"/>
        <w:bidi w:val="0"/>
        <w:spacing w:lineRule="auto" w:line="240" w:before="480" w:after="240"/>
        <w:ind w:left="0" w:right="0" w:hanging="360"/>
        <w:jc w:val="both"/>
        <w:rPr/>
      </w:pPr>
      <w:r>
        <w:rPr>
          <w:rFonts w:ascii="Times New Roman;sans-serif" w:hAnsi="Times New Roman;sans-serif"/>
          <w:b/>
          <w:color w:val="000000"/>
          <w:sz w:val="22"/>
        </w:rPr>
        <w:t>6.    </w:t>
      </w:r>
      <w:r>
        <w:rPr>
          <w:rFonts w:ascii="Times New Roman;sans-serif" w:hAnsi="Times New Roman;sans-serif"/>
          <w:b w:val="false"/>
          <w:color w:val="000000"/>
          <w:sz w:val="22"/>
        </w:rPr>
        <w:t>MATERIALS AND EQUIPMENT.</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6.1.    </w:t>
      </w:r>
      <w:r>
        <w:rPr>
          <w:rFonts w:ascii="Times New Roman;sans-serif" w:hAnsi="Times New Roman;sans-serif"/>
          <w:b/>
          <w:color w:val="000000"/>
          <w:sz w:val="22"/>
        </w:rPr>
        <w:t>Senti Supplies</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 xml:space="preserve">Senti will be responsible for providing Provider with all Senti Supplies described in the applicable Statement of Work for use in the conduct of the Services. For clarity, Senti Supplies with respect to a Statement of Work may include Products Manufactured by Provider under a separate Statement of Work, in which case Senti’s provision of such Senti Supplies that are Manufactured by Provider will be contingent on Provider’s timely delivery of the applicable Products in accordance with that other SoW and this Agreement. The following provisions will apply to Senti Supplies: </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6.1.1.    Senti will, at its cost and to the extent not in Provider’s possession, deliver Senti Supplies to the applicable Facility at such times and in such quantities as specified in the applicable Statement of Work or as otherwise mutually agreed by the Parties;</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6.1.2.    Senti will provide to Provider, prior to delivering any Senti Supplies, to the extent not in Provider’s possession, all available safety data sheets, environmental and safety information, handling instructions, protocols, standard operating procedures and other documentation available to Senti and necessary to safely handle and to maintain the properties of such Senti Supplies; </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6.1.3.    Provider shall use the Senti Supplies solely to conduct the applicable Services in accordance with the terms of this Agreement and the applicable SoW, and for no other purpose, and shall not attempt to determine the structure or composition of or reverse engineer or create derivatives of the Senti Supplies, except as expressly provided in the applicable SoW;</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6.1.4.    Provider will not be responsible for any delays in the performance of the Services to the extent arising directly out of Senti’s material failure to timely provide to Provider all Senti Supplies. This Section 6.1.4 shall not apply in the event [***]; </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346075"/>
                <wp:effectExtent l="0" t="0" r="0" b="0"/>
                <wp:wrapNone/>
                <wp:docPr id="219" name="Frame219"/>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6.1.5.    As between the Parties, Senti Supplies will at all times remain the property of Senti. Risk of loss of, or damage to, the Senti Supplies shall be borne by Senti, except to the extent the loss or damage is due to [***]; </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6.1.6.    Senti will ensure that any Senti Supplies shipped directly or otherwise supplied to Provider for GxP purposes will be obtained by or on behalf of Senti from vendors approved by Senti in accordance with Senti’s supplier qualification procedures (except that this Section 6.1.6 shall not apply in the event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6.1.7.    Senti will be responsible for qualifying all vendors of Senti Supplies to be used for GxP purposes and for ensuring that any Senti Supplies supplied to Provider (a) have successfully completed the required safety or release testing by the manufacturer and are accompanied by a certificate of testing or certificate of analysis from the manufacturer demonstrating that Senti Supplies comply with the manufacturer’s specifications, and (b) meet the requirements for Senti Supplies in the relevant SoW, except in each case (a) or (b) as otherwise agreed to by the Parties in writing. Except as set forth in the applicable Statement of Work or the Quality Agreement, under no circumstances will Provider have liability hereunder for any failure or nonconformity of any Service or Product that arises from the nonconformity of the Senti Supplies (except that this Section 6.1.7 shall not apply in the event [***];</w:t>
      </w:r>
      <w:r>
        <w:rPr>
          <w:color w:val="000000"/>
        </w:rPr>
        <w:t xml:space="preserve"> </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6.1.8.    Senti hereby grants to Provider, during the Term, a non-exclusive, fully-paid license (with the right to sublicense solely to permitted subcontractors) under Senti’s intellectual property rights in the Senti Supplies and Third Party Starting Materials, solely to perform Services under the applicable Statement(s) of Work in accordance with the terms of this Agreement.</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6.2.    </w:t>
      </w:r>
      <w:r>
        <w:rPr>
          <w:rFonts w:ascii="Times New Roman;sans-serif" w:hAnsi="Times New Roman;sans-serif"/>
          <w:b/>
          <w:color w:val="000000"/>
          <w:sz w:val="22"/>
        </w:rPr>
        <w:t>Importer of Record</w:t>
      </w:r>
      <w:r>
        <w:rPr>
          <w:rFonts w:ascii="Times New Roman;sans-serif" w:hAnsi="Times New Roman;sans-serif"/>
          <w:b w:val="false"/>
          <w:color w:val="000000"/>
          <w:sz w:val="22"/>
        </w:rPr>
        <w:t>. In the event that any material or equipment to be supplied by Senti, including Senti Supplies, is imported for delivery to Provider, Senti or its designee (other than Provider or any of its Affiliates) will be the “Importer of Record” for such goods. As the Importer of Record, Senti will be responsible for all aspects of the importation of such goods, including (a) customs and other regulatory clearance of such goods, (b) payment of all tariffs, duties, customs, fees, expenses and charges payable in connection with the importation and delivery of such goods, and (c) keeping all records, documents, correspondence and tracking information required by Laws arising out of or in connection with the importation or delivery of such goods.</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6.3.    </w:t>
      </w:r>
      <w:r>
        <w:rPr>
          <w:rFonts w:ascii="Times New Roman;sans-serif" w:hAnsi="Times New Roman;sans-serif"/>
          <w:b/>
          <w:color w:val="000000"/>
          <w:sz w:val="22"/>
        </w:rPr>
        <w:t>Provider-Supplied Materials</w:t>
      </w:r>
      <w:r>
        <w:rPr>
          <w:rFonts w:ascii="Times New Roman;sans-serif" w:hAnsi="Times New Roman;sans-serif"/>
          <w:b w:val="false"/>
          <w:color w:val="000000"/>
          <w:sz w:val="22"/>
        </w:rPr>
        <w:t>. With respect to all materials to be procured by Provider for use in the performance of Services (“</w:t>
      </w:r>
      <w:r>
        <w:rPr>
          <w:rFonts w:ascii="Times New Roman;sans-serif" w:hAnsi="Times New Roman;sans-serif"/>
          <w:b/>
          <w:color w:val="000000"/>
          <w:sz w:val="22"/>
        </w:rPr>
        <w:t>Provider-Supplied Materials</w:t>
      </w:r>
      <w:r>
        <w:rPr>
          <w:color w:val="000000"/>
        </w:rPr>
        <w:t>”</w:t>
      </w:r>
      <w:r>
        <w:rPr>
          <w:rFonts w:ascii="Times New Roman;sans-serif" w:hAnsi="Times New Roman;sans-serif"/>
          <w:b w:val="false"/>
          <w:color w:val="000000"/>
          <w:sz w:val="22"/>
        </w:rPr>
        <w:t xml:space="preserve">), Provider will, subject to Section 7.1 (Credit) and Section 7.2 (Prepayment), charge to Senti the Out-of-Pocket Costs of such materials.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6.3.1.    </w:t>
      </w:r>
      <w:r>
        <w:rPr>
          <w:rFonts w:ascii="Times New Roman;sans-serif" w:hAnsi="Times New Roman;sans-serif"/>
          <w:b w:val="false"/>
          <w:color w:val="000000"/>
          <w:sz w:val="22"/>
          <w:u w:val="single"/>
        </w:rPr>
        <w:t>Dedicated Materials</w:t>
      </w:r>
      <w:r>
        <w:rPr>
          <w:rFonts w:ascii="Times New Roman;sans-serif" w:hAnsi="Times New Roman;sans-serif"/>
          <w:b w:val="false"/>
          <w:color w:val="000000"/>
          <w:sz w:val="22"/>
        </w:rPr>
        <w:t>. the Provider Project Manager will be responsible for coordinating the ordering of Provider-Supplied Materials that are unique to the performance of the Services and designated as such in the Statement of Work or Quality Agreement (“</w:t>
      </w:r>
      <w:r>
        <w:rPr>
          <w:rFonts w:ascii="Times New Roman;sans-serif" w:hAnsi="Times New Roman;sans-serif"/>
          <w:b/>
          <w:color w:val="000000"/>
          <w:sz w:val="22"/>
        </w:rPr>
        <w:t>Dedicated Materials</w:t>
      </w:r>
      <w:r>
        <w:rPr>
          <w:color w:val="000000"/>
        </w:rPr>
        <w:t>”</w:t>
      </w:r>
      <w:r>
        <w:rPr>
          <w:rFonts w:ascii="Times New Roman;sans-serif" w:hAnsi="Times New Roman;sans-serif"/>
          <w:b w:val="false"/>
          <w:color w:val="000000"/>
          <w:sz w:val="22"/>
        </w:rPr>
        <w:t xml:space="preserve">). Prior to Provider ordering Dedicated Materials, Senti will provide written authorization therefor. Provider will use its Commercially Reasonable Efforts to [***]. If the use of a vendor who is not a Provider approved vendor is agreed to by the Parties and if Provider is required to perform a vendor audit, the cost of performing such an audit will be borne by [***] provided that [***].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6.3.2.    </w:t>
      </w:r>
      <w:r>
        <w:rPr>
          <w:rFonts w:ascii="Times New Roman;sans-serif" w:hAnsi="Times New Roman;sans-serif"/>
          <w:b w:val="false"/>
          <w:color w:val="000000"/>
          <w:sz w:val="22"/>
          <w:u w:val="single"/>
        </w:rPr>
        <w:t>Common Materials</w:t>
      </w:r>
      <w:r>
        <w:rPr>
          <w:rFonts w:ascii="Times New Roman;sans-serif" w:hAnsi="Times New Roman;sans-serif"/>
          <w:b w:val="false"/>
          <w:color w:val="000000"/>
          <w:sz w:val="22"/>
        </w:rPr>
        <w:t>. The purchase of Provider-Supplied Materials that are not Dedicated Materials (“</w:t>
      </w:r>
      <w:r>
        <w:rPr>
          <w:rFonts w:ascii="Times New Roman;sans-serif" w:hAnsi="Times New Roman;sans-serif"/>
          <w:b/>
          <w:color w:val="000000"/>
          <w:sz w:val="22"/>
        </w:rPr>
        <w:t>Common Materials</w:t>
      </w:r>
      <w:r>
        <w:rPr>
          <w:color w:val="000000"/>
        </w:rPr>
        <w:t>”</w:t>
      </w:r>
      <w:r>
        <w:rPr>
          <w:rFonts w:ascii="Times New Roman;sans-serif" w:hAnsi="Times New Roman;sans-serif"/>
          <w:b w:val="false"/>
          <w:color w:val="000000"/>
          <w:sz w:val="22"/>
        </w:rPr>
        <w:t xml:space="preserve">) will be based on Provider’s inventory and will not require written authorization from Senti. The cost of Common </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346075"/>
                <wp:effectExtent l="0" t="0" r="0" b="0"/>
                <wp:wrapNone/>
                <wp:docPr id="220" name="Frame220"/>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Materials will be calculated based on the quantity of Common Materials actually used in performing the Services.</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6.3.3.    </w:t>
      </w:r>
      <w:r>
        <w:rPr>
          <w:rFonts w:ascii="Times New Roman;sans-serif" w:hAnsi="Times New Roman;sans-serif"/>
          <w:b w:val="false"/>
          <w:color w:val="000000"/>
          <w:sz w:val="22"/>
          <w:u w:val="single"/>
        </w:rPr>
        <w:t>Third Party Starting Material</w:t>
      </w:r>
      <w:r>
        <w:rPr>
          <w:rFonts w:ascii="Times New Roman;sans-serif" w:hAnsi="Times New Roman;sans-serif"/>
          <w:b w:val="false"/>
          <w:color w:val="000000"/>
          <w:sz w:val="22"/>
        </w:rPr>
        <w:t>. Provider will use its Commercially Reasonable Efforts to [***]. The risk of loss for Third Party Starting Materials will at all times be borne by Provider.</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6.4.    </w:t>
      </w:r>
      <w:r>
        <w:rPr>
          <w:rFonts w:ascii="Times New Roman;sans-serif" w:hAnsi="Times New Roman;sans-serif"/>
          <w:b/>
          <w:color w:val="000000"/>
          <w:sz w:val="22"/>
        </w:rPr>
        <w:t>Equipment</w:t>
      </w:r>
      <w:r>
        <w:rPr>
          <w:rFonts w:ascii="Times New Roman;sans-serif" w:hAnsi="Times New Roman;sans-serif"/>
          <w:b w:val="false"/>
          <w:color w:val="000000"/>
          <w:sz w:val="22"/>
        </w:rPr>
        <w:t xml:space="preserve">.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6.4.1.    </w:t>
      </w:r>
      <w:r>
        <w:rPr>
          <w:rFonts w:ascii="Times New Roman;sans-serif" w:hAnsi="Times New Roman;sans-serif"/>
          <w:b w:val="false"/>
          <w:color w:val="000000"/>
          <w:sz w:val="22"/>
          <w:u w:val="single"/>
        </w:rPr>
        <w:t>Acquisition</w:t>
      </w:r>
      <w:r>
        <w:rPr>
          <w:rFonts w:ascii="Times New Roman;sans-serif" w:hAnsi="Times New Roman;sans-serif"/>
          <w:b w:val="false"/>
          <w:color w:val="000000"/>
          <w:sz w:val="22"/>
        </w:rPr>
        <w:t xml:space="preserve">. Senti shall reimburse Provider for the acquisition, installation and validation of Dedicated Equipment in accordance with rates sets forth in the applicable Statement of Work; </w:t>
      </w:r>
      <w:r>
        <w:rPr>
          <w:rFonts w:ascii="Times New Roman;sans-serif" w:hAnsi="Times New Roman;sans-serif"/>
          <w:b w:val="false"/>
          <w:i/>
          <w:color w:val="000000"/>
          <w:sz w:val="22"/>
        </w:rPr>
        <w:t>provided</w:t>
      </w:r>
      <w:r>
        <w:rPr>
          <w:rFonts w:ascii="Times New Roman;sans-serif" w:hAnsi="Times New Roman;sans-serif"/>
          <w:b w:val="false"/>
          <w:color w:val="000000"/>
          <w:sz w:val="22"/>
        </w:rPr>
        <w:t>, that Senti will not be required to reimburse Provider for the costs of acquiring Dedicated Equipment under this Agreement if (a) Senti paid for such Dedicated Equipment directly and provided the Dedicated Equipment to Provider or (b) Senti has already reimbursed Provider for such costs prior to the effective date of the applicable Statement of Work. Unless otherwise agreed between the Parties, [***] will own all rights, title and interests in and to any and all Dedicated Equipment. If the Parties agree pursuant to a Statement of Work that Provider will use equipment that is necessary for performance of the Services under such SoW that is solely usable for and will be solely used for the performance of the Services for Senti, then such equipment will be deemed to be included in Dedicated Equipment.</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6.4.2.    </w:t>
      </w:r>
      <w:r>
        <w:rPr>
          <w:rFonts w:ascii="Times New Roman;sans-serif" w:hAnsi="Times New Roman;sans-serif"/>
          <w:b w:val="false"/>
          <w:color w:val="000000"/>
          <w:sz w:val="22"/>
          <w:u w:val="single"/>
        </w:rPr>
        <w:t>Maintenance</w:t>
      </w:r>
      <w:r>
        <w:rPr>
          <w:rFonts w:ascii="Times New Roman;sans-serif" w:hAnsi="Times New Roman;sans-serif"/>
          <w:b w:val="false"/>
          <w:color w:val="000000"/>
          <w:sz w:val="22"/>
        </w:rPr>
        <w:t>. Excluding any equipment owned by Senti that is made available to Provider for purposes of performing the Services, all equipment used by Provider to provide the Services will be maintained by Provider per Provider’s standard maintenance program.</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6.4.3.    </w:t>
      </w:r>
      <w:r>
        <w:rPr>
          <w:rFonts w:ascii="Times New Roman;sans-serif" w:hAnsi="Times New Roman;sans-serif"/>
          <w:b w:val="false"/>
          <w:color w:val="000000"/>
          <w:sz w:val="22"/>
          <w:u w:val="single"/>
        </w:rPr>
        <w:t>Disposal</w:t>
      </w:r>
      <w:r>
        <w:rPr>
          <w:rFonts w:ascii="Times New Roman;sans-serif" w:hAnsi="Times New Roman;sans-serif"/>
          <w:b w:val="false"/>
          <w:color w:val="000000"/>
          <w:sz w:val="22"/>
        </w:rPr>
        <w:t xml:space="preserve">. In the event Senti no longer wishes to use any Senti-owned equipment that has been installed in the Facility or stored by Provider, and Provider notifies Senti that it wishes to purchase such equipment, the Parties shall enter into good faith negotiations on the terms of such purchase. If Provider does not purchase such equipment, Provider may notify Senti and the Parties shall discuss in good faith reasonable procedures for the removal of such equipment, and if Senti fails to remove the equipment within a reasonable time mutually agreed by the Parties (but in no event longer than [***] from the date of Provider’s notice) at its cost, Provider may remove or otherwise dispose of such equipment and Senti shall reimburse Provider for such costs and pay reasonable storage fees. </w:t>
      </w:r>
    </w:p>
    <w:p>
      <w:pPr>
        <w:pStyle w:val="TextBody"/>
        <w:bidi w:val="0"/>
        <w:spacing w:lineRule="auto" w:line="240" w:before="480" w:after="240"/>
        <w:ind w:left="0" w:right="0" w:hanging="360"/>
        <w:jc w:val="both"/>
        <w:rPr/>
      </w:pPr>
      <w:r>
        <w:rPr>
          <w:rFonts w:ascii="Times New Roman;sans-serif" w:hAnsi="Times New Roman;sans-serif"/>
          <w:b/>
          <w:color w:val="000000"/>
          <w:sz w:val="22"/>
        </w:rPr>
        <w:t>7.    </w:t>
      </w:r>
      <w:r>
        <w:rPr>
          <w:rFonts w:ascii="Times New Roman;sans-serif" w:hAnsi="Times New Roman;sans-serif"/>
          <w:b w:val="false"/>
          <w:color w:val="000000"/>
          <w:sz w:val="22"/>
        </w:rPr>
        <w:t>PRICING AND PAYMENTS.</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7.1.    </w:t>
      </w:r>
      <w:r>
        <w:rPr>
          <w:rFonts w:ascii="Times New Roman;sans-serif" w:hAnsi="Times New Roman;sans-serif"/>
          <w:b/>
          <w:color w:val="000000"/>
          <w:sz w:val="22"/>
        </w:rPr>
        <w:t>Credit</w:t>
      </w:r>
      <w:r>
        <w:rPr>
          <w:rFonts w:ascii="Times New Roman;sans-serif" w:hAnsi="Times New Roman;sans-serif"/>
          <w:b w:val="false"/>
          <w:color w:val="000000"/>
          <w:sz w:val="22"/>
        </w:rPr>
        <w:t>. [***]. For clarity, [***]. The Parties may agree to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7.2.    </w:t>
      </w:r>
      <w:r>
        <w:rPr>
          <w:rFonts w:ascii="Times New Roman;sans-serif" w:hAnsi="Times New Roman;sans-serif"/>
          <w:b/>
          <w:color w:val="000000"/>
          <w:sz w:val="22"/>
        </w:rPr>
        <w:t>Prepayment</w:t>
      </w:r>
      <w:r>
        <w:rPr>
          <w:rFonts w:ascii="Times New Roman;sans-serif" w:hAnsi="Times New Roman;sans-serif"/>
          <w:b w:val="false"/>
          <w:color w:val="000000"/>
          <w:sz w:val="22"/>
        </w:rPr>
        <w:t xml:space="preserve">. </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7.2.1.    [***].</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7.2.2.    [***] on the Initial Closing Date (as defined in the Framework Agreement). The [***] will be applied, until exhausted, to any amount invoiced by Provider pursuant to the [***]. If, when all Services under the [***] have been completed and paid for (through [***]), there is any remaining [***], then such remaining [***]. Other than the [***], Senti shall [***]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7.3.    </w:t>
      </w:r>
      <w:r>
        <w:rPr>
          <w:rFonts w:ascii="Times New Roman;sans-serif" w:hAnsi="Times New Roman;sans-serif"/>
          <w:b/>
          <w:color w:val="000000"/>
          <w:sz w:val="22"/>
        </w:rPr>
        <w:t>Pricing</w:t>
      </w:r>
      <w:r>
        <w:rPr>
          <w:rFonts w:ascii="Times New Roman;sans-serif" w:hAnsi="Times New Roman;sans-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346075"/>
                <wp:effectExtent l="0" t="0" r="0" b="0"/>
                <wp:wrapNone/>
                <wp:docPr id="221" name="Frame221"/>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7.3.1.    </w:t>
      </w:r>
      <w:r>
        <w:rPr>
          <w:rFonts w:ascii="Times New Roman;sans-serif" w:hAnsi="Times New Roman;sans-serif"/>
          <w:b w:val="false"/>
          <w:color w:val="000000"/>
          <w:sz w:val="22"/>
          <w:u w:val="single"/>
        </w:rPr>
        <w:t>Service Fees</w:t>
      </w:r>
      <w:r>
        <w:rPr>
          <w:rFonts w:ascii="Times New Roman;sans-serif" w:hAnsi="Times New Roman;sans-serif"/>
          <w:b w:val="false"/>
          <w:color w:val="000000"/>
          <w:sz w:val="22"/>
        </w:rPr>
        <w:t xml:space="preserve">. Subject to Section 7.1 (Credit) and Section 7.2 (Prepayment), Senti will pay Provider the Service Fees as are set out in the applicable Statement of Work.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7.3.2.    </w:t>
      </w:r>
      <w:r>
        <w:rPr>
          <w:rFonts w:ascii="Times New Roman;sans-serif" w:hAnsi="Times New Roman;sans-serif"/>
          <w:b w:val="false"/>
          <w:color w:val="000000"/>
          <w:sz w:val="22"/>
          <w:u w:val="single"/>
        </w:rPr>
        <w:t>Batch Price</w:t>
      </w:r>
      <w:r>
        <w:rPr>
          <w:rFonts w:ascii="Times New Roman;sans-serif" w:hAnsi="Times New Roman;sans-serif"/>
          <w:b w:val="false"/>
          <w:color w:val="000000"/>
          <w:sz w:val="22"/>
        </w:rPr>
        <w:t>. The Service Fees associated with the Manufacture of a Batch of Product will take the form of a Batch Price and the applicable Batch Price will be set forth in the Statement of Work. Unless specifically indicated to the contrary in the applicable Statement of Work, the Batch Price will be exclusive of all Out-of-Pocket Costs incurred for the Manufacture of such Batch.</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7.3.3.    </w:t>
      </w:r>
      <w:r>
        <w:rPr>
          <w:rFonts w:ascii="Times New Roman;sans-serif" w:hAnsi="Times New Roman;sans-serif"/>
          <w:b w:val="false"/>
          <w:color w:val="000000"/>
          <w:sz w:val="22"/>
          <w:u w:val="single"/>
        </w:rPr>
        <w:t>Adjustments</w:t>
      </w:r>
      <w:r>
        <w:rPr>
          <w:rFonts w:ascii="Times New Roman;sans-serif" w:hAnsi="Times New Roman;sans-serif"/>
          <w:b w:val="false"/>
          <w:color w:val="000000"/>
          <w:sz w:val="22"/>
        </w:rPr>
        <w:t>. Provider shall have the right to adjust the Service Fees set out in each SoW no more than [***]; provided that, for each SoW, no adjustment shall be made until after [***]. The percentage increase in the Service Fees shall not exceed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7.4.    </w:t>
      </w:r>
      <w:r>
        <w:rPr>
          <w:rFonts w:ascii="Times New Roman;sans-serif" w:hAnsi="Times New Roman;sans-serif"/>
          <w:b/>
          <w:color w:val="000000"/>
          <w:sz w:val="22"/>
        </w:rPr>
        <w:t>Out-of-Pocket Costs</w:t>
      </w:r>
      <w:r>
        <w:rPr>
          <w:rFonts w:ascii="Times New Roman;sans-serif" w:hAnsi="Times New Roman;sans-serif"/>
          <w:b w:val="false"/>
          <w:color w:val="000000"/>
          <w:sz w:val="22"/>
        </w:rPr>
        <w:t xml:space="preserve">. Unless otherwise stated in a Statement of Work, Out-of-Pocket Costs will be invoiced to Senti in accordance with Section 7.5 (Invoices), at the cost actually incurred by Provider as demonstrated by supporting documents, without markup. All such Out-Of-Pocket Costs that are invoiced will be documented in accordance with United States Generally Accepted Accounting Principles. If reasonably requested by Senti, Provider will provide reasonable additional documentation supporting such Out-of-Pocket Costs. Each Statement of Work will set forth an itemized estimate of the Out-of-Pocket Costs expected to be incurred under such Statement of Work. Such estimate shall be indicative only and without prejudice to Senti’s obligation to pay actual Out-of-Pocket Costs incurred and invoiced pursuant to Section 7.5 (Invoices). Provider shall, where reasonably practicable, provide Senti with updates to the estimated costs prior to incurring such costs.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7.5.    </w:t>
      </w:r>
      <w:r>
        <w:rPr>
          <w:rFonts w:ascii="Times New Roman;sans-serif" w:hAnsi="Times New Roman;sans-serif"/>
          <w:b/>
          <w:color w:val="000000"/>
          <w:sz w:val="22"/>
        </w:rPr>
        <w:t>Invoices</w:t>
      </w:r>
      <w:r>
        <w:rPr>
          <w:rFonts w:ascii="Times New Roman;sans-serif" w:hAnsi="Times New Roman;sans-serif"/>
          <w:b w:val="false"/>
          <w:color w:val="000000"/>
          <w:sz w:val="22"/>
        </w:rPr>
        <w:t>. Subject to Section 7.1 (Credit) and Section 7.2 (Prepayment), Provider will invoice Senti no later than [***] for Services conducted during such month and Out-of-Pocket Costs incurred during such month and will reference, in each such invoice, the Statement(s) of Work to which the invoice relates. Invoices for the Manufacture of a Batch of Product will state the reservation fee (which is a portion of the Batch Price) (the “</w:t>
      </w:r>
      <w:r>
        <w:rPr>
          <w:rFonts w:ascii="Times New Roman;sans-serif" w:hAnsi="Times New Roman;sans-serif"/>
          <w:b/>
          <w:color w:val="000000"/>
          <w:sz w:val="22"/>
        </w:rPr>
        <w:t>Reservation Fee</w:t>
      </w:r>
      <w:r>
        <w:rPr>
          <w:color w:val="000000"/>
        </w:rPr>
        <w:t>”</w:t>
      </w:r>
      <w:r>
        <w:rPr>
          <w:rFonts w:ascii="Times New Roman;sans-serif" w:hAnsi="Times New Roman;sans-serif"/>
          <w:b w:val="false"/>
          <w:color w:val="000000"/>
          <w:sz w:val="22"/>
        </w:rPr>
        <w:t>) (if any) charged by Provider per the relevant SoW and paid by Senti in accordance with Sections 5.1 (Forecast) and 5.2 (Booking). Invoices will be delivered to Senti by email to the following email address: [***], or to such other email address as Senti may notify Provider from time to time in accordance with Section 17.9 (Notices).</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7.6.    </w:t>
      </w:r>
      <w:r>
        <w:rPr>
          <w:rFonts w:ascii="Times New Roman;sans-serif" w:hAnsi="Times New Roman;sans-serif"/>
          <w:b/>
          <w:color w:val="000000"/>
          <w:sz w:val="22"/>
        </w:rPr>
        <w:t>Payments and Payment Terms</w:t>
      </w:r>
      <w:r>
        <w:rPr>
          <w:rFonts w:ascii="Times New Roman;sans-serif" w:hAnsi="Times New Roman;sans-serif"/>
          <w:b w:val="false"/>
          <w:color w:val="000000"/>
          <w:sz w:val="22"/>
        </w:rPr>
        <w:t>. Senti may make payments pursuant to this Agreement by check or wire transfer to a bank account designated in writing by Provider. Senti shall make payment for all undisputed invoices without set off or any other deduction (subject to Sections 7.1, 7.2 and 7.11), no later than [***] following receipt of the invoice or such other period as may be specified in this Agreement or the applicable Statement of Work (the “</w:t>
      </w:r>
      <w:r>
        <w:rPr>
          <w:rFonts w:ascii="Times New Roman;sans-serif" w:hAnsi="Times New Roman;sans-serif"/>
          <w:b/>
          <w:color w:val="000000"/>
          <w:sz w:val="22"/>
        </w:rPr>
        <w:t>Payment Period</w:t>
      </w:r>
      <w:r>
        <w:rPr>
          <w:color w:val="000000"/>
        </w:rPr>
        <w:t>”</w:t>
      </w:r>
      <w:r>
        <w:rPr>
          <w:rFonts w:ascii="Times New Roman;sans-serif" w:hAnsi="Times New Roman;sans-serif"/>
          <w:b w:val="false"/>
          <w:color w:val="000000"/>
          <w:sz w:val="22"/>
        </w:rPr>
        <w:t xml:space="preserve">). Senti may in good faith dispute invoiced charges;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Senti notifies Provider of such dispute within [***] from the date of receipt of the invoice and pays all undisputed charges to Provider in accordance with the terms of this Agreement. If a billing dispute arises and cannot be resolved within [***] of the date of the relevant invoice through normal business channels, Provider and Senti agree to use the dispute resolution process as specified in Section 17.10.2 (Dispute Resolution). Amounts subject to good faith dispute shall not be payable during the pendency of such dispute, and any amount that is agreed or determined to be due shall be payable within [***] after the resolution of such dispute. In the even [***], Senti shall [***]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7.7.    </w:t>
      </w:r>
      <w:r>
        <w:rPr>
          <w:rFonts w:ascii="Times New Roman;sans-serif" w:hAnsi="Times New Roman;sans-serif"/>
          <w:b/>
          <w:color w:val="000000"/>
          <w:sz w:val="22"/>
        </w:rPr>
        <w:t>Late Payments</w:t>
      </w:r>
      <w:r>
        <w:rPr>
          <w:rFonts w:ascii="Times New Roman;sans-serif" w:hAnsi="Times New Roman;sans-serif"/>
          <w:b w:val="false"/>
          <w:color w:val="000000"/>
          <w:sz w:val="22"/>
        </w:rPr>
        <w:t>. Any invoiced amounts that are not paid when due shall accrue interest calculated at [***] per month (or part thereof) from the due date until Provider receives the entire amount owing (including interest).</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346075"/>
                <wp:effectExtent l="0" t="0" r="0" b="0"/>
                <wp:wrapNone/>
                <wp:docPr id="222" name="Frame222"/>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7.8.    </w:t>
      </w:r>
      <w:r>
        <w:rPr>
          <w:rFonts w:ascii="Times New Roman;sans-serif" w:hAnsi="Times New Roman;sans-serif"/>
          <w:b/>
          <w:color w:val="000000"/>
          <w:sz w:val="22"/>
        </w:rPr>
        <w:t>Records; Financial/Accounting Audit</w:t>
      </w:r>
      <w:r>
        <w:rPr>
          <w:rFonts w:ascii="Times New Roman;sans-serif" w:hAnsi="Times New Roman;sans-serif"/>
          <w:b w:val="false"/>
          <w:color w:val="000000"/>
          <w:sz w:val="22"/>
        </w:rPr>
        <w:t>. Provider will create and maintain complete and accurate records relating to the Services provided hereunder, in accordance with generally-accepted accounting principles. Upon reasonable prior notice, such records shall be available during regular business hours for a period of [***] from the end of the calendar year to which they pertain for examination, not more often than once each calendar year, by an independent certified public accountant selected by Senti and reasonably acceptable to Provider, for the sole purpose of verifying the accuracy of the invoices and supporting documentation furnished by Provider pursuant to this Agreement, in connection with Out-Of-Pocket Costs. Any such auditor shall enter into a confidentiality agreement with Provider and shall not disclose the Confidential Information of Provider, except to the extent such disclosure is necessary to verify the accuracy of the invoices and supporting documentation furnished by Provider. Any amounts shown to be owed but unpaid shall be paid, and any amounts showed to be overpaid will be refunded, within [***] from the accountant’s report. Senti shall bear the full cost of such audit unless such audit discloses an overcharge by Provider of more than [***] of the amount due for the audited period, in which case Provider shall bear the reasonable cost of such audit.</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7.9.    </w:t>
      </w:r>
      <w:r>
        <w:rPr>
          <w:rFonts w:ascii="Times New Roman;sans-serif" w:hAnsi="Times New Roman;sans-serif"/>
          <w:b/>
          <w:color w:val="000000"/>
          <w:sz w:val="22"/>
        </w:rPr>
        <w:t>Reporting</w:t>
      </w:r>
      <w:r>
        <w:rPr>
          <w:rFonts w:ascii="Times New Roman;sans-serif" w:hAnsi="Times New Roman;sans-serif"/>
          <w:b w:val="false"/>
          <w:color w:val="000000"/>
          <w:sz w:val="22"/>
        </w:rPr>
        <w:t>. Within [***] after the end of each calendar quarter, Provider will provide to Senti a report setting forth: (a) the total amounts invoiced to Senti under each Statement of Work, broken into Services Fees and Out-of-Pocket Costs; (b) the amount of the Credit and the Prepayment (or [***], as applicable) that have been applied to each category of invoiced amounts; and (c) the balance of the Credit, the Prepayment and the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7.10.    </w:t>
      </w:r>
      <w:r>
        <w:rPr>
          <w:rFonts w:ascii="Times New Roman;sans-serif" w:hAnsi="Times New Roman;sans-serif"/>
          <w:b/>
          <w:color w:val="000000"/>
          <w:sz w:val="22"/>
        </w:rPr>
        <w:t>Currency</w:t>
      </w:r>
      <w:r>
        <w:rPr>
          <w:rFonts w:ascii="Times New Roman;sans-serif" w:hAnsi="Times New Roman;sans-serif"/>
          <w:b w:val="false"/>
          <w:color w:val="000000"/>
          <w:sz w:val="22"/>
        </w:rPr>
        <w:t>. All amounts specified in this Agreement are in United States dollars, and, unless otherwise specified on an invoice, all payments under this Agreement shall be made in United States dollars.</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7.11.    </w:t>
      </w:r>
      <w:r>
        <w:rPr>
          <w:rFonts w:ascii="Times New Roman;sans-serif" w:hAnsi="Times New Roman;sans-serif"/>
          <w:b/>
          <w:color w:val="000000"/>
          <w:sz w:val="22"/>
        </w:rPr>
        <w:t>Taxes</w:t>
      </w:r>
      <w:r>
        <w:rPr>
          <w:rFonts w:ascii="Times New Roman;sans-serif" w:hAnsi="Times New Roman;sans-serif"/>
          <w:b w:val="false"/>
          <w:color w:val="000000"/>
          <w:sz w:val="22"/>
        </w:rPr>
        <w:t>. All taxes (including, but not limited to duty, sales, use, or excise taxes imposed by any Governmental Entity, but excluding any taxes due based upon the income of Provider) that apply to or result from the Services will be the sole liability and responsibility of Senti. Unless otherwise required by Laws, Senti will not deduct any withholding taxes or other taxes imposed by any Governmental Entity from any payment to Provider hereunder. Senti will advise Provider if it is required to deduct any withholding taxes or other taxes imposed by any Governmental Entity from any payment to Provider hereunder and Provider will, with Senti’s assistance, apply for a certificate of exemption from withholding or other tax from the applicable Governmental Entities. Notwithstanding the foregoing, Provider is solely responsible for its income tax resulting from all compensation received by Provider from Senti under this Agreement.</w:t>
      </w:r>
    </w:p>
    <w:p>
      <w:pPr>
        <w:pStyle w:val="TextBody"/>
        <w:bidi w:val="0"/>
        <w:spacing w:lineRule="auto" w:line="240" w:before="480" w:after="240"/>
        <w:ind w:left="0" w:right="0" w:hanging="360"/>
        <w:jc w:val="both"/>
        <w:rPr/>
      </w:pPr>
      <w:r>
        <w:rPr>
          <w:rFonts w:ascii="Times New Roman;sans-serif" w:hAnsi="Times New Roman;sans-serif"/>
          <w:b/>
          <w:color w:val="000000"/>
          <w:sz w:val="22"/>
        </w:rPr>
        <w:t>8.    </w:t>
      </w:r>
      <w:r>
        <w:rPr>
          <w:rFonts w:ascii="Times New Roman;sans-serif" w:hAnsi="Times New Roman;sans-serif"/>
          <w:b w:val="false"/>
          <w:color w:val="000000"/>
          <w:sz w:val="22"/>
        </w:rPr>
        <w:t>SENTI RESPONSIBILITIES.</w:t>
      </w:r>
    </w:p>
    <w:p>
      <w:pPr>
        <w:pStyle w:val="TextBody"/>
        <w:bidi w:val="0"/>
        <w:spacing w:lineRule="auto" w:line="240" w:before="0" w:after="240"/>
        <w:ind w:left="0" w:right="0" w:hanging="144"/>
        <w:jc w:val="both"/>
        <w:rPr>
          <w:rFonts w:ascii="Times New Roman;sans-serif" w:hAnsi="Times New Roman;sans-serif"/>
          <w:b w:val="false"/>
          <w:color w:val="000000"/>
          <w:sz w:val="22"/>
        </w:rPr>
      </w:pPr>
      <w:r>
        <w:rPr>
          <w:rFonts w:ascii="Times New Roman;sans-serif" w:hAnsi="Times New Roman;sans-serif"/>
          <w:b w:val="false"/>
          <w:color w:val="000000"/>
          <w:sz w:val="22"/>
        </w:rPr>
        <w:t>8.1.    Except as otherwise provided in a Statement of Work, Senti will be responsible for:</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8.1.1.    Obtaining all Regulatory Approvals, without prejudice to Provider’s obligation to perform any Services for regulatory compliance assistance agreed in the applicable Statement of Work in accordance with such SoW and the Quality Agreement and; </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8.1.2.    Informing Provider in writing of any changes in the Territory that affect the Services as far in advance as reasonably practicable before such change is implemented. For clarity, no such change in the Territory shall require the approval of Provider except [***], in which case [***]; </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346075"/>
                <wp:effectExtent l="0" t="0" r="0" b="0"/>
                <wp:wrapNone/>
                <wp:docPr id="223" name="Frame223"/>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8.1.3.    Final release of each Batch and determining the suitability of each Batch for use, subject to Provider’s delivery of complete and accurate Batch Documentation and other documentation as required under the Quality Agreement with respect thereto;</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8.1.4.    Use of the Product by or on behalf of Senti or its Affiliates (other than by or on behalf of Provider) in accordance with all Laws in the Territory;</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8.1.5.    Creating and approving the content of any label that will be applied to Product by Provider in accordance with Laws and obtaining Regulatory Approval for such labels and content;</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8.1.6.    Establishing and providing Product specifications, storage conditions and shelf-life;</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8.1.7.    Complying with all Laws that relate to the handling, transport, distribution, sale and use of any Product or Senti Supplies by or on behalf of Senti or its Affiliates (other than by or on behalf of Provider). </w:t>
      </w:r>
    </w:p>
    <w:p>
      <w:pPr>
        <w:pStyle w:val="TextBody"/>
        <w:bidi w:val="0"/>
        <w:spacing w:lineRule="auto" w:line="240" w:before="0" w:after="240"/>
        <w:ind w:left="0" w:right="0" w:hanging="144"/>
        <w:jc w:val="both"/>
        <w:rPr>
          <w:rFonts w:ascii="Times New Roman;sans-serif" w:hAnsi="Times New Roman;sans-serif"/>
          <w:b w:val="false"/>
          <w:color w:val="000000"/>
          <w:sz w:val="22"/>
        </w:rPr>
      </w:pPr>
      <w:r>
        <w:rPr>
          <w:rFonts w:ascii="Times New Roman;sans-serif" w:hAnsi="Times New Roman;sans-serif"/>
          <w:b w:val="false"/>
          <w:color w:val="000000"/>
          <w:sz w:val="22"/>
        </w:rPr>
        <w:t>8.2.    For clarity, Section 8.1 shall not relieve Provider of any of its obligations under this Agreement, the Quality Agreement or any Statement of Work, and, accordingly, in the event of a conflict between Section 8.1 and any other provision of this Agreement, the Quality Agreement or a Statement of Work that expressly imposes any responsibility (sole or otherwise) for a particular activity or matter on Provider, such other provision shall control.</w:t>
      </w:r>
    </w:p>
    <w:p>
      <w:pPr>
        <w:pStyle w:val="TextBody"/>
        <w:bidi w:val="0"/>
        <w:spacing w:lineRule="auto" w:line="240" w:before="480" w:after="240"/>
        <w:ind w:left="0" w:right="0" w:hanging="360"/>
        <w:jc w:val="both"/>
        <w:rPr/>
      </w:pPr>
      <w:r>
        <w:rPr>
          <w:rFonts w:ascii="Times New Roman;sans-serif" w:hAnsi="Times New Roman;sans-serif"/>
          <w:b/>
          <w:color w:val="000000"/>
          <w:sz w:val="22"/>
        </w:rPr>
        <w:t>9.    </w:t>
      </w:r>
      <w:r>
        <w:rPr>
          <w:rFonts w:ascii="Times New Roman;sans-serif" w:hAnsi="Times New Roman;sans-serif"/>
          <w:b w:val="false"/>
          <w:color w:val="000000"/>
          <w:sz w:val="22"/>
        </w:rPr>
        <w:t>TECH TRANSFER; ENGINEERING BATCHES.</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9.1.    </w:t>
      </w:r>
      <w:r>
        <w:rPr>
          <w:rFonts w:ascii="Times New Roman;sans-serif" w:hAnsi="Times New Roman;sans-serif"/>
          <w:b/>
          <w:color w:val="000000"/>
          <w:sz w:val="22"/>
        </w:rPr>
        <w:t>Technology Transfer to Provider</w:t>
      </w:r>
      <w:r>
        <w:rPr>
          <w:rFonts w:ascii="Times New Roman;sans-serif" w:hAnsi="Times New Roman;sans-serif"/>
          <w:b w:val="false"/>
          <w:color w:val="000000"/>
          <w:sz w:val="22"/>
        </w:rPr>
        <w:t xml:space="preserve">. If, and to the extent, contemplated by a Statement of Work, the Parties agree to the following with respect to a technology transfer from Senti to Provider in connection with the initiation of process development or Manufacturing of Product: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9.1.1.    </w:t>
      </w:r>
      <w:r>
        <w:rPr>
          <w:rFonts w:ascii="Times New Roman;sans-serif" w:hAnsi="Times New Roman;sans-serif"/>
          <w:b w:val="false"/>
          <w:color w:val="000000"/>
          <w:sz w:val="22"/>
          <w:u w:val="single"/>
        </w:rPr>
        <w:t>Transfer to Facility</w:t>
      </w:r>
      <w:r>
        <w:rPr>
          <w:rFonts w:ascii="Times New Roman;sans-serif" w:hAnsi="Times New Roman;sans-serif"/>
          <w:b w:val="false"/>
          <w:color w:val="000000"/>
          <w:sz w:val="22"/>
        </w:rPr>
        <w:t>. The Parties expressly agree that they will work together to transfer Senti’s preexisting Manufacturing Process for the Product to the applicable Facility, including implementing the technology transfer plan set forth in the applicable Statement of Work. In the event of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9.1.2.    </w:t>
      </w:r>
      <w:r>
        <w:rPr>
          <w:rFonts w:ascii="Times New Roman;sans-serif" w:hAnsi="Times New Roman;sans-serif"/>
          <w:b w:val="false"/>
          <w:color w:val="000000"/>
          <w:sz w:val="22"/>
          <w:u w:val="single"/>
        </w:rPr>
        <w:t>Master Batch Record</w:t>
      </w:r>
      <w:r>
        <w:rPr>
          <w:rFonts w:ascii="Times New Roman;sans-serif" w:hAnsi="Times New Roman;sans-serif"/>
          <w:b w:val="false"/>
          <w:color w:val="000000"/>
          <w:sz w:val="22"/>
        </w:rPr>
        <w:t>. Based on the information provided by Senti and including process changes developed by or on behalf of Provider pursuant to an applicable Statement of Work (if any), Provider will prepare the Master Batch Record for the Manufacturing Process for each Product, which shall be subject to Senti’s written approval pursuant to Section 9.1.4 (Senti Approval). Senti will inform Provider of any specific requirements Senti may have relating to the Master Batch Record, including any information or procedures Senti wishes to have incorporated therein in accordance with Section 9.1.3 (Senti Assistance).</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9.1.3.    </w:t>
      </w:r>
      <w:r>
        <w:rPr>
          <w:rFonts w:ascii="Times New Roman;sans-serif" w:hAnsi="Times New Roman;sans-serif"/>
          <w:b w:val="false"/>
          <w:color w:val="000000"/>
          <w:sz w:val="22"/>
          <w:u w:val="single"/>
        </w:rPr>
        <w:t>Senti Assistance</w:t>
      </w:r>
      <w:r>
        <w:rPr>
          <w:rFonts w:ascii="Times New Roman;sans-serif" w:hAnsi="Times New Roman;sans-serif"/>
          <w:b w:val="false"/>
          <w:color w:val="000000"/>
          <w:sz w:val="22"/>
        </w:rPr>
        <w:t xml:space="preserve">. Senti will assist Provider in developing the Master Batch Record, including by providing Provider with additional information and procedures as may be required to create the Master Batch Record, such as the following, to the extent applicable: (a) Manufacturing Process information, standard operating procedures and development reports, (b) quality control assays, (c) raw material specifications (including vendor, grade and sampling/testing requirements), (d) Product and sample packaging and shipping instructions, (e) Product-specific cleaning and decontamination information and (f) waste disposal information. Provider may take </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346075"/>
                <wp:effectExtent l="0" t="0" r="0" b="0"/>
                <wp:wrapNone/>
                <wp:docPr id="224" name="Frame224"/>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information for (e) above under advisement but shall not be obligated to incorporate any such information into the Master Batch Record.</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9.1.4.    </w:t>
      </w:r>
      <w:r>
        <w:rPr>
          <w:rFonts w:ascii="Times New Roman;sans-serif" w:hAnsi="Times New Roman;sans-serif"/>
          <w:b w:val="false"/>
          <w:color w:val="000000"/>
          <w:sz w:val="22"/>
          <w:u w:val="single"/>
        </w:rPr>
        <w:t>Senti Approval</w:t>
      </w:r>
      <w:r>
        <w:rPr>
          <w:rFonts w:ascii="Times New Roman;sans-serif" w:hAnsi="Times New Roman;sans-serif"/>
          <w:b w:val="false"/>
          <w:color w:val="000000"/>
          <w:sz w:val="22"/>
        </w:rPr>
        <w:t>. Provider will deliver a draft of the Master Batch Record for each Product to Senti for its review and written approval, which draft may omit Provider Operating Documents and other Confidential Information of Provider that are not specifically applicable to the Manufacture of such Product. Senti will review such draft and notify Provider in writing of any objections that it has to such draft, and upon such notification, representatives of Provider and Senti will meet promptly to resolve such objections. Following such meeting, Provider shall prepare and deliver a revised draft of the Master Batch Record to Senti for its review and written approval (such approval not to be unreasonably withheld). Upon Senti’s written acceptance of such draft, such draft will be deemed approved by Senti.</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9.2.    </w:t>
      </w:r>
      <w:r>
        <w:rPr>
          <w:rFonts w:ascii="Times New Roman;sans-serif" w:hAnsi="Times New Roman;sans-serif"/>
          <w:b/>
          <w:color w:val="000000"/>
          <w:sz w:val="22"/>
        </w:rPr>
        <w:t>Specifications and Manufacturing Process</w:t>
      </w:r>
      <w:r>
        <w:rPr>
          <w:rFonts w:ascii="Times New Roman;sans-serif" w:hAnsi="Times New Roman;sans-serif"/>
          <w:b w:val="false"/>
          <w:color w:val="000000"/>
          <w:sz w:val="22"/>
        </w:rPr>
        <w:t>. The Parties acknowledge and agree that at the Effective Date, the Product Specifications and Manufacturing Processes for the Products to be Manufactured under the Phase 1 SoWs are under development. Such Product Specifications and Manufacturing Processes will not be considered [***]. With respect to any SoW other than the Phase 1 SoWs, if such SoW requires a technology transfer from Senti to Provider, [***]. Accordingly, with respect to any test in the release criteria for a Product that [***], Provider shall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9.3.    </w:t>
      </w:r>
      <w:r>
        <w:rPr>
          <w:rFonts w:ascii="Times New Roman;sans-serif" w:hAnsi="Times New Roman;sans-serif"/>
          <w:b/>
          <w:color w:val="000000"/>
          <w:sz w:val="22"/>
        </w:rPr>
        <w:t>Engineering Batches</w:t>
      </w:r>
      <w:r>
        <w:rPr>
          <w:rFonts w:ascii="Times New Roman;sans-serif" w:hAnsi="Times New Roman;sans-serif"/>
          <w:b w:val="false"/>
          <w:color w:val="000000"/>
          <w:sz w:val="22"/>
        </w:rPr>
        <w:t>. For purposes of this Agreement, an “</w:t>
      </w:r>
      <w:r>
        <w:rPr>
          <w:rFonts w:ascii="Times New Roman;sans-serif" w:hAnsi="Times New Roman;sans-serif"/>
          <w:b/>
          <w:color w:val="000000"/>
          <w:sz w:val="22"/>
        </w:rPr>
        <w:t>Engineering Batch</w:t>
      </w:r>
      <w:r>
        <w:rPr>
          <w:color w:val="000000"/>
        </w:rPr>
        <w:t xml:space="preserve">” </w:t>
      </w:r>
      <w:r>
        <w:rPr>
          <w:rFonts w:ascii="Times New Roman;sans-serif" w:hAnsi="Times New Roman;sans-serif"/>
          <w:b w:val="false"/>
          <w:color w:val="000000"/>
          <w:sz w:val="22"/>
        </w:rPr>
        <w:t xml:space="preserve">means a Batch that is not specified in the applicable Statement of Work or Purchase Order for Manufacture in accordance with GMP. Provider will Manufacture Engineering Batches as provided in the applicable Statement of Work. There will be no acceptance criteria or other specifications for purposes of acceptance of Engineering Batches, but the Parties may agree on certain target quality attributes in the applicable Statement of Work.  Provider will provide analytical testing of Engineering Batches as agreed by the Parties in the applicable Statement of Work and will report the results to Senti.  Provided Senti makes written request in advance of the applicable Manufacturing run and reimburses Provider for all costs of shipping of the Engineering Batch, such Engineering Batches will be provided to Senti subject to compliance with applicable regulatory requirements.  Senti will have the right to make whatever further use of such Engineering Batches as it will determine;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such use does not violate any Laws.  If [***] Engineering Batch [***] such results [***], </w:t>
      </w:r>
      <w:r>
        <w:rPr>
          <w:rFonts w:ascii="Times New Roman;sans-serif" w:hAnsi="Times New Roman;sans-serif"/>
          <w:b w:val="false"/>
          <w:i/>
          <w:color w:val="000000"/>
          <w:sz w:val="22"/>
        </w:rPr>
        <w:t>provided</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however</w:t>
      </w:r>
      <w:r>
        <w:rPr>
          <w:rFonts w:ascii="Times New Roman;sans-serif" w:hAnsi="Times New Roman;sans-serif"/>
          <w:b w:val="false"/>
          <w:color w:val="000000"/>
          <w:sz w:val="22"/>
        </w:rPr>
        <w:t>, that if the Engineering Batch is [***], Provider will [***].</w:t>
      </w:r>
    </w:p>
    <w:p>
      <w:pPr>
        <w:pStyle w:val="TextBody"/>
        <w:bidi w:val="0"/>
        <w:spacing w:lineRule="auto" w:line="240" w:before="480" w:after="240"/>
        <w:ind w:left="0" w:right="0" w:hanging="360"/>
        <w:jc w:val="both"/>
        <w:rPr/>
      </w:pPr>
      <w:r>
        <w:rPr>
          <w:rFonts w:ascii="Times New Roman;sans-serif" w:hAnsi="Times New Roman;sans-serif"/>
          <w:b/>
          <w:color w:val="000000"/>
          <w:sz w:val="22"/>
        </w:rPr>
        <w:t>10.    </w:t>
      </w:r>
      <w:r>
        <w:rPr>
          <w:rFonts w:ascii="Times New Roman;sans-serif" w:hAnsi="Times New Roman;sans-serif"/>
          <w:b w:val="false"/>
          <w:color w:val="000000"/>
          <w:sz w:val="22"/>
        </w:rPr>
        <w:t>GMP MANUFACTURE, PACKAGING AND DELIVERY.</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10.1.    </w:t>
      </w:r>
      <w:r>
        <w:rPr>
          <w:rFonts w:ascii="Times New Roman;sans-serif" w:hAnsi="Times New Roman;sans-serif"/>
          <w:b/>
          <w:color w:val="000000"/>
          <w:sz w:val="22"/>
        </w:rPr>
        <w:t>Manufacturing Site</w:t>
      </w:r>
      <w:r>
        <w:rPr>
          <w:rFonts w:ascii="Times New Roman;sans-serif" w:hAnsi="Times New Roman;sans-serif"/>
          <w:b w:val="false"/>
          <w:color w:val="000000"/>
          <w:sz w:val="22"/>
        </w:rPr>
        <w:t>. Each Product Manufactured by or on behalf of Provider and supplied to Senti in accordance with cGMP will be Manufactured at the Facility identified in the applicable Statement of Work.</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10.2.    </w:t>
      </w:r>
      <w:r>
        <w:rPr>
          <w:rFonts w:ascii="Times New Roman;sans-serif" w:hAnsi="Times New Roman;sans-serif"/>
          <w:b/>
          <w:color w:val="000000"/>
          <w:sz w:val="22"/>
        </w:rPr>
        <w:t>Purchase Ordering</w:t>
      </w:r>
      <w:r>
        <w:rPr>
          <w:rFonts w:ascii="Times New Roman;sans-serif" w:hAnsi="Times New Roman;sans-serif"/>
          <w:b w:val="false"/>
          <w:color w:val="000000"/>
          <w:sz w:val="22"/>
        </w:rPr>
        <w:t>. The Parties will agree upon a form of purchase order to be used by Senti in ordering Products and Batches hereunder (each such purchase order submitted hereunder, a “</w:t>
      </w:r>
      <w:r>
        <w:rPr>
          <w:rFonts w:ascii="Times New Roman;sans-serif" w:hAnsi="Times New Roman;sans-serif"/>
          <w:b/>
          <w:color w:val="000000"/>
          <w:sz w:val="22"/>
        </w:rPr>
        <w:t>Purchase Order</w:t>
      </w:r>
      <w:r>
        <w:rPr>
          <w:color w:val="000000"/>
        </w:rPr>
        <w:t>”</w:t>
      </w:r>
      <w:r>
        <w:rPr>
          <w:rFonts w:ascii="Times New Roman;sans-serif" w:hAnsi="Times New Roman;sans-serif"/>
          <w:b w:val="false"/>
          <w:color w:val="000000"/>
          <w:sz w:val="22"/>
        </w:rPr>
        <w:t xml:space="preserve">). The form of Purchase Order shall not include any terms or conditions that are additional to, or inconsistent with, those set out in this Agreement. At the applicable time consistent with the terms of each Statement of Work, Senti may from time to time submit Purchase Orders to Provider for Manufacture and delivery of Batches of Product. Any Purchase Order not exceeding the capacity reserved for the appliable SoW in accordance with Section 5.2 (Booking) shall be deemed automatically accepted by Provider upon Provider’s receipt of such Purchase Order. Upon acceptance by Provider, the Purchase Order will become a part of the Agreement constituted by the relevant SoW. Provider may, but shall have no obligation to, accept </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346075"/>
                <wp:effectExtent l="0" t="0" r="0" b="0"/>
                <wp:wrapNone/>
                <wp:docPr id="225" name="Frame225"/>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any Purchase Orders that exceed the capacity reserved for Senti for the appliable SoW in accordance with Section 5.2 (Booking).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10.3.    </w:t>
      </w:r>
      <w:r>
        <w:rPr>
          <w:rFonts w:ascii="Times New Roman;sans-serif" w:hAnsi="Times New Roman;sans-serif"/>
          <w:b/>
          <w:color w:val="000000"/>
          <w:sz w:val="22"/>
        </w:rPr>
        <w:t>Batch Documentation</w:t>
      </w:r>
      <w:r>
        <w:rPr>
          <w:rFonts w:ascii="Times New Roman;sans-serif" w:hAnsi="Times New Roman;sans-serif"/>
          <w:b w:val="false"/>
          <w:color w:val="000000"/>
          <w:sz w:val="22"/>
        </w:rPr>
        <w:t>. With respect to each Batch, Provider will provide Senti with a copy of each document in the Batch Documentation for such Batch on a rolling basis as Provider reasonably determines such document is ready to be shared. Following completion of each Batch, Provider will provide Senti with a copy of all applicable Batch Documentation not previously shared. All Batch Documentation will be in Provider’s standard formats unless otherwise mutually agreed in writing by the Parties. Any Senti requests for documents or other work product related to Batch Documentation that are not specified or contemplated in the applicable Statement of Work or the Quality Agreement and are not produced by Provider in the ordinary course of business must be agreed upon in writing in the form of a Change Order or a separate agreement for such additional services, and Provider will not be obligated with respect thereto unless and until so agreed.</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10.4.    </w:t>
      </w:r>
      <w:r>
        <w:rPr>
          <w:rFonts w:ascii="Times New Roman;sans-serif" w:hAnsi="Times New Roman;sans-serif"/>
          <w:b/>
          <w:color w:val="000000"/>
          <w:sz w:val="22"/>
        </w:rPr>
        <w:t>Batch Failure</w:t>
      </w:r>
      <w:r>
        <w:rPr>
          <w:rFonts w:ascii="Times New Roman;sans-serif" w:hAnsi="Times New Roman;sans-serif"/>
          <w:b w:val="false"/>
          <w:color w:val="000000"/>
          <w:sz w:val="22"/>
        </w:rPr>
        <w:t>. In the event any Batch is [***] hereunder (each, a “</w:t>
      </w:r>
      <w:r>
        <w:rPr>
          <w:rFonts w:ascii="Times New Roman;sans-serif" w:hAnsi="Times New Roman;sans-serif"/>
          <w:b/>
          <w:color w:val="000000"/>
          <w:sz w:val="22"/>
        </w:rPr>
        <w:t>Failed Batch</w:t>
      </w:r>
      <w:r>
        <w:rPr>
          <w:color w:val="000000"/>
        </w:rPr>
        <w:t>”</w:t>
      </w:r>
      <w:r>
        <w:rPr>
          <w:rFonts w:ascii="Times New Roman;sans-serif" w:hAnsi="Times New Roman;sans-serif"/>
          <w:b w:val="false"/>
          <w:color w:val="000000"/>
          <w:sz w:val="22"/>
        </w:rPr>
        <w:t xml:space="preserve">), Provider will conduct an appropriate investigation to determine the cause of such failure (which investigation shall include an impact assessment on products that Provider or Senti reasonably believes may be an Impacted Product at the relevant time), [***] disclose to Senti the results of such investigation, and notify Senti in writing of Provider’s good faith conclusions regarding the cause of the nonconformity. If Provider determines that [***], then, in each case, Senti will have the remedies set forth in Section 10.6 (Remedies).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10.5.    </w:t>
      </w:r>
      <w:r>
        <w:rPr>
          <w:rFonts w:ascii="Times New Roman;sans-serif" w:hAnsi="Times New Roman;sans-serif"/>
          <w:b/>
          <w:color w:val="000000"/>
          <w:sz w:val="22"/>
        </w:rPr>
        <w:t>Product Conformity</w:t>
      </w:r>
      <w:r>
        <w:rPr>
          <w:rFonts w:ascii="Times New Roman;sans-serif" w:hAnsi="Times New Roman;sans-serif"/>
          <w:b w:val="false"/>
          <w:color w:val="000000"/>
          <w:sz w:val="22"/>
        </w:rPr>
        <w:t>. Subject to Section 9.3 (Engineering Batches), unless within [***] from the date of delivery of the Batch Documentation and any other documentation required by the Quality Agreement for Provider to disposition the Product (the “</w:t>
      </w:r>
      <w:r>
        <w:rPr>
          <w:rFonts w:ascii="Times New Roman;sans-serif" w:hAnsi="Times New Roman;sans-serif"/>
          <w:b/>
          <w:color w:val="000000"/>
          <w:sz w:val="22"/>
        </w:rPr>
        <w:t>Inspection Period</w:t>
      </w:r>
      <w:r>
        <w:rPr>
          <w:color w:val="000000"/>
        </w:rPr>
        <w:t>”</w:t>
      </w:r>
      <w:r>
        <w:rPr>
          <w:rFonts w:ascii="Times New Roman;sans-serif" w:hAnsi="Times New Roman;sans-serif"/>
          <w:b w:val="false"/>
          <w:color w:val="000000"/>
          <w:sz w:val="22"/>
        </w:rPr>
        <w:t>), Senti notifies Provider in writing (“</w:t>
      </w:r>
      <w:r>
        <w:rPr>
          <w:rFonts w:ascii="Times New Roman;sans-serif" w:hAnsi="Times New Roman;sans-serif"/>
          <w:b/>
          <w:color w:val="000000"/>
          <w:sz w:val="22"/>
        </w:rPr>
        <w:t>Exception Notice</w:t>
      </w:r>
      <w:r>
        <w:rPr>
          <w:color w:val="000000"/>
        </w:rPr>
        <w:t>”</w:t>
      </w:r>
      <w:r>
        <w:rPr>
          <w:rFonts w:ascii="Times New Roman;sans-serif" w:hAnsi="Times New Roman;sans-serif"/>
          <w:b w:val="false"/>
          <w:color w:val="000000"/>
          <w:sz w:val="22"/>
        </w:rPr>
        <w:t>) that such Product does not comply with the Product Requirements (“</w:t>
      </w:r>
      <w:r>
        <w:rPr>
          <w:rFonts w:ascii="Times New Roman;sans-serif" w:hAnsi="Times New Roman;sans-serif"/>
          <w:b/>
          <w:color w:val="000000"/>
          <w:sz w:val="22"/>
        </w:rPr>
        <w:t>Nonconforming Product</w:t>
      </w:r>
      <w:r>
        <w:rPr>
          <w:color w:val="000000"/>
        </w:rPr>
        <w:t>”</w:t>
      </w:r>
      <w:r>
        <w:rPr>
          <w:rFonts w:ascii="Times New Roman;sans-serif" w:hAnsi="Times New Roman;sans-serif"/>
          <w:b w:val="false"/>
          <w:color w:val="000000"/>
          <w:sz w:val="22"/>
        </w:rPr>
        <w:t xml:space="preserve">), then such Product will be deemed to have been accepted, except in the case of a Latent Defect. In the case of a Batch having any Latent Defect, Senti may reject such Batch by delivering an Exception Notice to Provider of Senti’s rejection thereof within [***], but such Exception Notice [***]. Upon timely receipt of an Exception Notice from Senti, Provider will conduct an appropriate investigation to determine whether or not it agrees with Senti that the applicable Product is Nonconforming Product and to determine in good faith the cause of any nonconformity (which investigation shall include an impact assessment on products that Provider or Senti reasonably believes may be an Impacted Product at the relevant time), disclose to Senti the results of such investigation, and notify Senti in writing of Provider’s good faith conclusions regarding the cause of the nonconformity. If Provider agrees, or if an independent investigation or analysis conducted pursuant to Section 10.7 (Disputes as to Failed Batches or Product Conformity) determines [***], then Senti shall have the remedies set forth in Section 10.6 (Remedies).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10.6.    </w:t>
      </w:r>
      <w:r>
        <w:rPr>
          <w:rFonts w:ascii="Times New Roman;sans-serif" w:hAnsi="Times New Roman;sans-serif"/>
          <w:b/>
          <w:color w:val="000000"/>
          <w:sz w:val="22"/>
        </w:rPr>
        <w:t>Remedies</w:t>
      </w:r>
      <w:r>
        <w:rPr>
          <w:rFonts w:ascii="Times New Roman;sans-serif" w:hAnsi="Times New Roman;sans-serif"/>
          <w:b w:val="false"/>
          <w:color w:val="000000"/>
          <w:sz w:val="22"/>
        </w:rPr>
        <w:t>. In the event of a Failed Batch or a Nonconforming Product [***],</w:t>
      </w:r>
      <w:r>
        <w:rPr>
          <w:color w:val="000000"/>
        </w:rPr>
        <w:t xml:space="preserve"> </w:t>
      </w:r>
      <w:r>
        <w:rPr>
          <w:rFonts w:ascii="Times New Roman;sans-serif" w:hAnsi="Times New Roman;sans-serif"/>
          <w:b w:val="false"/>
          <w:color w:val="000000"/>
          <w:sz w:val="22"/>
        </w:rPr>
        <w:t>subject to Section 5.4 (Supply Failure), Provider will, at Senti’s option, either (a) [***], or (b)  [***]In the event of a Failed Batch or a Nonconforming Product [***],</w:t>
      </w:r>
      <w:r>
        <w:rPr>
          <w:color w:val="000000"/>
        </w:rPr>
        <w:t xml:space="preserve"> </w:t>
      </w:r>
      <w:r>
        <w:rPr>
          <w:rFonts w:ascii="Times New Roman;sans-serif" w:hAnsi="Times New Roman;sans-serif"/>
          <w:b w:val="false"/>
          <w:color w:val="000000"/>
          <w:sz w:val="22"/>
        </w:rPr>
        <w:t xml:space="preserve">Provider will, upon Senti’s request, [***]. The Parties will [***], unless the Batch was Manufactured [***], in which case [***]. The Manufacture of replacement Product pursuant to this Section 10.6 (Remedies) will be scheduled as soon as commercially reasonable (given Provider’s available capacity and existing commitments) following receipt of the necessary raw materials, including Senti Supplies, to Manufacture such Product, determination of the root cause of such failure, and the implementation of a corrective action plan with respect to such failure. For clarity, this Section 10.6 (Remedies) does not apply to Engineering Batches; remedies with respect to Engineering Batches are provided in Section 9.3 (Engineering Batches). Without prejudice to the indemnities set out in </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346075"/>
                <wp:effectExtent l="0" t="0" r="0" b="0"/>
                <wp:wrapNone/>
                <wp:docPr id="226" name="Frame226"/>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Section 14.1.1 (Provider Indemnification), the remedies under this Section 10.6 (Remedies) shall be Senti’s sole remedies and Provider’s sole liability in connection with any Failed Batch or Nonconforming Product. Provider shall have no obligation to remedy a Failed Batch or Product Nonconformity under this Section 10.6 (Remedies) if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10.7.    </w:t>
      </w:r>
      <w:r>
        <w:rPr>
          <w:rFonts w:ascii="Times New Roman;sans-serif" w:hAnsi="Times New Roman;sans-serif"/>
          <w:b/>
          <w:color w:val="000000"/>
          <w:sz w:val="22"/>
        </w:rPr>
        <w:t>Disputes as to Failed Batches or Product Conformity</w:t>
      </w:r>
      <w:r>
        <w:rPr>
          <w:rFonts w:ascii="Times New Roman;sans-serif" w:hAnsi="Times New Roman;sans-serif"/>
          <w:b w:val="false"/>
          <w:color w:val="000000"/>
          <w:sz w:val="22"/>
        </w:rPr>
        <w:t>. If the Parties disagree as to whether a Product is a Nonconforming Product or whether the cause of a Failed Batch or a Nonconforming Product is [***], and such disagreement is not resolved by good faith negotiation between the Parties within [***] of the date of delivery of the Exception Notice or the determination of a Failed Batch (as applicable), then the Parties will cause an independent mutually appointed reputable external party (such person or laboratory, the “</w:t>
      </w:r>
      <w:r>
        <w:rPr>
          <w:rFonts w:ascii="Times New Roman;sans-serif" w:hAnsi="Times New Roman;sans-serif"/>
          <w:b/>
          <w:color w:val="000000"/>
          <w:sz w:val="22"/>
        </w:rPr>
        <w:t>External Party</w:t>
      </w:r>
      <w:r>
        <w:rPr>
          <w:color w:val="000000"/>
        </w:rPr>
        <w:t>”</w:t>
      </w:r>
      <w:r>
        <w:rPr>
          <w:rFonts w:ascii="Times New Roman;sans-serif" w:hAnsi="Times New Roman;sans-serif"/>
          <w:b w:val="false"/>
          <w:color w:val="000000"/>
          <w:sz w:val="22"/>
        </w:rPr>
        <w:t>) to perform an assessment. Absent fraud or manifest error of the External Party, the determination of the External Party as to whether or not such Product is a Nonconforming Product and the cause of any Failed Batch or Nonconforming Product will be binding upon the Parties (absent manifest error or bad faith on the part of the External Party) for purposes of determining financial liability hereunder. Notwithstanding the foregoing, Senti will not release any Product that has been deemed to be Nonconforming Product unless Senti’s material review board has approved the release and Senti has made the necessary Regulatory Authority communications and submissions and such release is permitted under the applicable Laws. Unless otherwise agreed by the Parties in writing, the costs associated with the External Party’s testing and review will be (a) [***], (b) [***], or (c) [***]. For the avoidance of doubt, where the cause of nonconformity or failure cannot be determined or assigned,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10.8.    </w:t>
      </w:r>
      <w:r>
        <w:rPr>
          <w:rFonts w:ascii="Times New Roman;sans-serif" w:hAnsi="Times New Roman;sans-serif"/>
          <w:b/>
          <w:color w:val="000000"/>
          <w:sz w:val="22"/>
        </w:rPr>
        <w:t>Product Testing</w:t>
      </w:r>
      <w:r>
        <w:rPr>
          <w:rFonts w:ascii="Times New Roman;sans-serif" w:hAnsi="Times New Roman;sans-serif"/>
          <w:b w:val="false"/>
          <w:color w:val="000000"/>
          <w:sz w:val="22"/>
        </w:rPr>
        <w:t xml:space="preserve">. Product testing by Provider will be performed or subcontracted as specified in the applicable Statement of Work or Quality Agreement. For any such testing that is specified to be the responsibility of Senti, Provider will deliver samples to Senti or Senti’s designee as specified in the applicable Statement of Work or Quality Agreement. The test results for any such Senti-managed or Senti-performed Product testing will be documented on a Senti-generated Certificate of Analysis, independent of any Batch Documentation generated by or on behalf of Provider.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10.9.    </w:t>
      </w:r>
      <w:r>
        <w:rPr>
          <w:rFonts w:ascii="Times New Roman;sans-serif" w:hAnsi="Times New Roman;sans-serif"/>
          <w:b/>
          <w:color w:val="000000"/>
          <w:sz w:val="22"/>
        </w:rPr>
        <w:t>Stability Testing</w:t>
      </w:r>
      <w:r>
        <w:rPr>
          <w:rFonts w:ascii="Times New Roman;sans-serif" w:hAnsi="Times New Roman;sans-serif"/>
          <w:b w:val="false"/>
          <w:color w:val="000000"/>
          <w:sz w:val="22"/>
        </w:rPr>
        <w:t>. Provider will perform Product stability testing only if authorized by Senti and will not be obligated to perform it unless specified in the applicable Statement of Work.</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10.10.    </w:t>
      </w:r>
      <w:r>
        <w:rPr>
          <w:rFonts w:ascii="Times New Roman;sans-serif" w:hAnsi="Times New Roman;sans-serif"/>
          <w:b/>
          <w:color w:val="000000"/>
          <w:sz w:val="22"/>
        </w:rPr>
        <w:t>Product Packaging</w:t>
      </w:r>
      <w:r>
        <w:rPr>
          <w:rFonts w:ascii="Times New Roman;sans-serif" w:hAnsi="Times New Roman;sans-serif"/>
          <w:b w:val="false"/>
          <w:color w:val="000000"/>
          <w:sz w:val="22"/>
        </w:rPr>
        <w:t>. If specified in the applicable Statement of Work, Provider will label and package Product in accordance with the instructions provided or authorized by Senti.</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10.11.    </w:t>
      </w:r>
      <w:r>
        <w:rPr>
          <w:rFonts w:ascii="Times New Roman;sans-serif" w:hAnsi="Times New Roman;sans-serif"/>
          <w:b/>
          <w:color w:val="000000"/>
          <w:sz w:val="22"/>
        </w:rPr>
        <w:t>Product Storage</w:t>
      </w:r>
      <w:r>
        <w:rPr>
          <w:rFonts w:ascii="Times New Roman;sans-serif" w:hAnsi="Times New Roman;sans-serif"/>
          <w:b w:val="false"/>
          <w:color w:val="000000"/>
          <w:sz w:val="22"/>
        </w:rPr>
        <w:t>. Provider or its approved subcontractor will store Products under the Senti-specified GxP storage conditions until each applicable Batch is released by Provider’s quality assurance unit or until the expiry of such periods as set forth in the applicable SOW. Senti is responsible for making arrangements for Products to be transferred to its long-term storage and distribution facility upon release, unless otherwise provided in the applicable SoW.</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10.12.    </w:t>
      </w:r>
      <w:r>
        <w:rPr>
          <w:rFonts w:ascii="Times New Roman;sans-serif" w:hAnsi="Times New Roman;sans-serif"/>
          <w:b/>
          <w:color w:val="000000"/>
          <w:sz w:val="22"/>
        </w:rPr>
        <w:t>Shipping and Cartage</w:t>
      </w:r>
      <w:r>
        <w:rPr>
          <w:rFonts w:ascii="Times New Roman;sans-serif" w:hAnsi="Times New Roman;sans-serif"/>
          <w:b w:val="false"/>
          <w:color w:val="000000"/>
          <w:sz w:val="22"/>
        </w:rPr>
        <w:t>. If specified in the relevant SoW, Products will be packed by Provider for shipment and cartage in accordance with the Shipping Guidelines. Senti will be responsible for and will reimburse Provider for all Out-of-Pocket Costs of packaging, boxing and shipping for Products in accordance with the Shipping Guidelines.</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10.13.    </w:t>
      </w:r>
      <w:r>
        <w:rPr>
          <w:rFonts w:ascii="Times New Roman;sans-serif" w:hAnsi="Times New Roman;sans-serif"/>
          <w:b/>
          <w:color w:val="000000"/>
          <w:sz w:val="22"/>
        </w:rPr>
        <w:t>Delivery; Risk of Loss; Title</w:t>
      </w:r>
      <w:r>
        <w:rPr>
          <w:rFonts w:ascii="Times New Roman;sans-serif" w:hAnsi="Times New Roman;sans-serif"/>
          <w:b w:val="false"/>
          <w:color w:val="000000"/>
          <w:sz w:val="22"/>
        </w:rPr>
        <w:t xml:space="preserve">. For each Batch of Product, Provider will deliver to Senti the corresponding samples, Batch Documentation and any other documentation required by the Quality Agreement for Provider to disposition the Product. Provider will deliver all Product, raw materials and components, samples and other Deliverables to be </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346075"/>
                <wp:effectExtent l="0" t="0" r="0" b="0"/>
                <wp:wrapNone/>
                <wp:docPr id="227" name="Frame227"/>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delivered pursuant to this Agreement [***] indicated in the applicable Statement of Work. To the extent not already held by Senti, risk of loss and damage will transfer to Senti upon [***] and title will transfer to Senti [***]. If Provider provides storage services as provided in the applicable SoW, then risk of loss and title to stored items will pass to Senti upon [***] (subject to [***].</w:t>
      </w:r>
    </w:p>
    <w:p>
      <w:pPr>
        <w:pStyle w:val="TextBody"/>
        <w:bidi w:val="0"/>
        <w:spacing w:lineRule="auto" w:line="240" w:before="480" w:after="240"/>
        <w:ind w:left="0" w:right="0" w:hanging="360"/>
        <w:jc w:val="both"/>
        <w:rPr/>
      </w:pPr>
      <w:r>
        <w:rPr>
          <w:rFonts w:ascii="Times New Roman;sans-serif" w:hAnsi="Times New Roman;sans-serif"/>
          <w:b/>
          <w:color w:val="000000"/>
          <w:sz w:val="22"/>
        </w:rPr>
        <w:t>11.    </w:t>
      </w:r>
      <w:r>
        <w:rPr>
          <w:rFonts w:ascii="Times New Roman;sans-serif" w:hAnsi="Times New Roman;sans-serif"/>
          <w:b w:val="false"/>
          <w:color w:val="000000"/>
          <w:sz w:val="22"/>
        </w:rPr>
        <w:t>QUALITY AND REGULATORY MATTERS.</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11.1.    </w:t>
      </w:r>
      <w:r>
        <w:rPr>
          <w:rFonts w:ascii="Times New Roman;sans-serif" w:hAnsi="Times New Roman;sans-serif"/>
          <w:b/>
          <w:color w:val="000000"/>
          <w:sz w:val="22"/>
        </w:rPr>
        <w:t>Quality Agreement</w:t>
      </w:r>
      <w:r>
        <w:rPr>
          <w:rFonts w:ascii="Times New Roman;sans-serif" w:hAnsi="Times New Roman;sans-serif"/>
          <w:b w:val="false"/>
          <w:color w:val="000000"/>
          <w:sz w:val="22"/>
        </w:rPr>
        <w:t>. The Quality Agreement shall be reviewed and updated as appropriate, but no less than every [***], or other periods as provided herein or therein. For the avoidance of doubt, unless otherwise agreed in writing by the Parties, no GMP work may commence absent the establishment of a Quality Agreement with respect thereto.</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11.2.    </w:t>
      </w:r>
      <w:r>
        <w:rPr>
          <w:rFonts w:ascii="Times New Roman;sans-serif" w:hAnsi="Times New Roman;sans-serif"/>
          <w:b/>
          <w:color w:val="000000"/>
          <w:sz w:val="22"/>
        </w:rPr>
        <w:t>Regulatory Support</w:t>
      </w:r>
      <w:r>
        <w:rPr>
          <w:rFonts w:ascii="Times New Roman;sans-serif" w:hAnsi="Times New Roman;sans-serif"/>
          <w:b w:val="false"/>
          <w:color w:val="000000"/>
          <w:sz w:val="22"/>
        </w:rPr>
        <w:t>. Except as otherwise expressly set forth herein, Senti shall be responsible for all filings necessary for approval to conduct clinical trials of and market Products. Provider will provide to Senti such Services as stated in the applicable SoW for cooperation with reporting obligations and/or the provision of information relating to the Product or the Manufacture, including the Manufacturing Process, thereof as may be necessary or useful for Senti to apply for, obtain and maintain Regulatory Approvals for each Product in any country or regulatory jurisdiction, including, without limitation, information relating to the Facilities, or the process, methodology, raw materials and intermediates used in the Manufacture of each Product and all information required to be submitted in the CMC section of an IND or a BLA or other regulatory filings, or required or requested to be provided to any Regulatory Authority. No later than [***] or such shorter period as may be required under relevant regulations following completion or permanent cessation of the Services at the applicable Facility, Senti shall: (a) file an update to any applicable regulatory filings relating to the Product to indicate a change in manufacturer; and (b) provide to Provider written confirmation of its compliance with this sentence.</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11.3.    </w:t>
      </w:r>
      <w:r>
        <w:rPr>
          <w:rFonts w:ascii="Times New Roman;sans-serif" w:hAnsi="Times New Roman;sans-serif"/>
          <w:b/>
          <w:color w:val="000000"/>
          <w:sz w:val="22"/>
        </w:rPr>
        <w:t>Maintenance of CMC Section</w:t>
      </w:r>
      <w:r>
        <w:rPr>
          <w:rFonts w:ascii="Times New Roman;sans-serif" w:hAnsi="Times New Roman;sans-serif"/>
          <w:b w:val="false"/>
          <w:color w:val="000000"/>
          <w:sz w:val="22"/>
        </w:rPr>
        <w:t>. As between the Parties, unless otherwise provided in that certain Transition Services Agreement between the Parties dated the Effective Date (as may be amended, restated, supplemented or modified from time to time) (the “</w:t>
      </w:r>
      <w:r>
        <w:rPr>
          <w:rFonts w:ascii="Times New Roman;sans-serif" w:hAnsi="Times New Roman;sans-serif"/>
          <w:b/>
          <w:color w:val="000000"/>
          <w:sz w:val="22"/>
        </w:rPr>
        <w:t>TSA</w:t>
      </w:r>
      <w:r>
        <w:rPr>
          <w:color w:val="000000"/>
        </w:rPr>
        <w:t>”</w:t>
      </w:r>
      <w:r>
        <w:rPr>
          <w:rFonts w:ascii="Times New Roman;sans-serif" w:hAnsi="Times New Roman;sans-serif"/>
          <w:b w:val="false"/>
          <w:color w:val="000000"/>
          <w:sz w:val="22"/>
        </w:rPr>
        <w:t>), Senti is responsible for preparing and filing all submissions for the Regulatory Approval of Products. Provider will provide to Senti such Services as stated in the applicable SoW for assistance in preparing, maintaining or updating the CMC section of any such regulatory application filed for a Product with a Regulatory Authority. The following terms shall apply to such Services (unless otherwise stated in the SoW): with respect to each Product Manufactured hereunder, prior to submitting to each Regulatory Authority for the first time any filing that identifies Provider as a site of manufacture of such Product, Senti will submit the relevant portions of such filing to Provider for review and comment. In addition, prior to submitting to each Regulatory Authority the CMC section (or any material change thereto) of any application for Regulatory Approval of a Product or a Senti Product that pertains to the Services rendered by or on behalf of Provider, Senti will submit such CMC section (or portion thereof pertaining to the Services rendered by or on behalf of Provider) for review by Provider. Provider will have a reasonable period</w:t>
      </w:r>
      <w:r>
        <w:rPr>
          <w:color w:val="000000"/>
        </w:rPr>
        <w:t xml:space="preserve"> </w:t>
      </w:r>
      <w:r>
        <w:rPr>
          <w:rFonts w:ascii="Times New Roman;sans-serif" w:hAnsi="Times New Roman;sans-serif"/>
          <w:b w:val="false"/>
          <w:color w:val="000000"/>
          <w:sz w:val="22"/>
        </w:rPr>
        <w:t xml:space="preserve">to review and comment on such proposed submission. In connection with a filing for Regulatory Approval of a Product, Provider will provide the applicable Provider Operating Documents directly to the Regulatory Authority when possible and provide to such Regulatory Authority and Senti written authorization to reference and use the information contained in such Provider Operating Documents for such purpose, and to the extent that Provider cannot so provide such Provider Operating Documents, such documents shall be provided under strict confidentiality (subject to a separate confidentiality undertaking between Provider and Senti) to the appropriate persons </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346075"/>
                <wp:effectExtent l="0" t="0" r="0" b="0"/>
                <wp:wrapNone/>
                <wp:docPr id="228" name="Frame228"/>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(regulatory affairs) at Senti for submission to the Regulatory Authority, subject to Provider’s rights to review the submission detailed above.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11.4.    </w:t>
      </w:r>
      <w:r>
        <w:rPr>
          <w:rFonts w:ascii="Times New Roman;sans-serif" w:hAnsi="Times New Roman;sans-serif"/>
          <w:b/>
          <w:color w:val="000000"/>
          <w:sz w:val="22"/>
        </w:rPr>
        <w:t>Regulatory Compliance</w:t>
      </w:r>
      <w:r>
        <w:rPr>
          <w:rFonts w:ascii="Times New Roman;sans-serif" w:hAnsi="Times New Roman;sans-serif"/>
          <w:b w:val="false"/>
          <w:color w:val="000000"/>
          <w:sz w:val="22"/>
        </w:rPr>
        <w:t xml:space="preserve">. Provider will obtain and maintain (a) all permits and licenses with respect to general Facility operations required by any Regulatory Authority in the jurisdiction in which such Facility is located, including the California Department of Public Health Drug Manufacturing License, (b) all other approvals, authorizations, certificates and permits required by Laws relating to Provider-Supplied Materials, including those relating to the import, export, handling, transport, and use of Provider-Supplied Materials. Senti will obtain and maintain all other approvals, authorizations, certificates and permits required by Laws relating to Product, Senti Product and Senti Supplies, including those relating to the import, export, handling, transport, distribution, sale and use of Product, Senti Product and Senti Supplies, provided that, at Senti’s request and expense, Provider will assist Senti in obtaining export clearance for Product by providing information in Provider’s possession that is necessary therefor. Senti will reimburse Provider for any payments Provider is required to make to any Regulatory Authority pursuant to Laws resulting from Provider’s formulation, development, Manufacturing, storing, or testing of Product, Third Party Starting Materials or Senti Supplies at a Facility under and related to this Agreement and any Statement of Work, to the extent such payments (i) are specific to a Product, Third Party Starting Materials that are solely for use in the Services, or Senti Supplies, (ii) are not applicable more broadly to the qualification, maintenance or operation of the Facility or Provider’s conduct of formulation, development, manufacturing, storing, or testing of any other product, materials or supplies, and (iii) are not attributable to any failure by Provider or its Affiliate or subcontractors to comply with applicable Laws, this Agreement, the applicable Statement of Work or the Quality Agreement. During the Term, Provider will assist Senti with regulatory matters relating to the Manufacture of Product pursuant to the applicable Statement of Work, at Senti’s request and expense.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11.5.    </w:t>
      </w:r>
      <w:r>
        <w:rPr>
          <w:rFonts w:ascii="Times New Roman;sans-serif" w:hAnsi="Times New Roman;sans-serif"/>
          <w:b/>
          <w:color w:val="000000"/>
          <w:sz w:val="22"/>
        </w:rPr>
        <w:t>Right to Observe</w:t>
      </w:r>
      <w:r>
        <w:rPr>
          <w:rFonts w:ascii="Times New Roman;sans-serif" w:hAnsi="Times New Roman;sans-serif"/>
          <w:b w:val="false"/>
          <w:color w:val="000000"/>
          <w:sz w:val="22"/>
        </w:rPr>
        <w:t>.</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11.5.1.    </w:t>
      </w:r>
      <w:r>
        <w:rPr>
          <w:rFonts w:ascii="Times New Roman;sans-serif" w:hAnsi="Times New Roman;sans-serif"/>
          <w:b/>
          <w:color w:val="000000"/>
          <w:sz w:val="22"/>
        </w:rPr>
        <w:t>Observation</w:t>
      </w:r>
      <w:r>
        <w:rPr>
          <w:rFonts w:ascii="Times New Roman;sans-serif" w:hAnsi="Times New Roman;sans-serif"/>
          <w:b w:val="false"/>
          <w:color w:val="000000"/>
          <w:sz w:val="22"/>
        </w:rPr>
        <w:t>. Subject to the provisions of this Section 11.5 (Right to Observe) and Schedule 11.5.2, Senti may [***] the Manufacture, testing, and quality control and assurance of the Products at the applicable Facility (the “</w:t>
      </w:r>
      <w:r>
        <w:rPr>
          <w:rFonts w:ascii="Times New Roman;sans-serif" w:hAnsi="Times New Roman;sans-serif"/>
          <w:b/>
          <w:color w:val="000000"/>
          <w:sz w:val="22"/>
        </w:rPr>
        <w:t>Observation</w:t>
      </w:r>
      <w:r>
        <w:rPr>
          <w:color w:val="000000"/>
        </w:rPr>
        <w:t>”</w:t>
      </w:r>
      <w:r>
        <w:rPr>
          <w:rFonts w:ascii="Times New Roman;sans-serif" w:hAnsi="Times New Roman;sans-serif"/>
          <w:b w:val="false"/>
          <w:color w:val="000000"/>
          <w:sz w:val="22"/>
        </w:rPr>
        <w:t>) in accordance with Provider’s reasonable policies, procedures, conditions, schedules and rules that Provider notifies to Senti from time to time (“</w:t>
      </w:r>
      <w:r>
        <w:rPr>
          <w:rFonts w:ascii="Times New Roman;sans-serif" w:hAnsi="Times New Roman;sans-serif"/>
          <w:b/>
          <w:color w:val="000000"/>
          <w:sz w:val="22"/>
        </w:rPr>
        <w:t>Observation Policies</w:t>
      </w:r>
      <w:r>
        <w:rPr>
          <w:color w:val="000000"/>
        </w:rPr>
        <w:t>”</w:t>
      </w:r>
      <w:r>
        <w:rPr>
          <w:rFonts w:ascii="Times New Roman;sans-serif" w:hAnsi="Times New Roman;sans-serif"/>
          <w:b w:val="false"/>
          <w:color w:val="000000"/>
          <w:sz w:val="22"/>
        </w:rPr>
        <w:t xml:space="preserve">).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11.5.2.    </w:t>
      </w:r>
      <w:r>
        <w:rPr>
          <w:rFonts w:ascii="Times New Roman;sans-serif" w:hAnsi="Times New Roman;sans-serif"/>
          <w:b/>
          <w:color w:val="000000"/>
          <w:sz w:val="22"/>
        </w:rPr>
        <w:t>Conduct of Observation</w:t>
      </w:r>
      <w:r>
        <w:rPr>
          <w:rFonts w:ascii="Times New Roman;sans-serif" w:hAnsi="Times New Roman;sans-serif"/>
          <w:b w:val="false"/>
          <w:color w:val="000000"/>
          <w:sz w:val="22"/>
        </w:rPr>
        <w:t>. The Observation will be conducted during [***] and as more particularly set out in the Observation Policies, and will be subject to the following requirements:</w:t>
      </w:r>
    </w:p>
    <w:p>
      <w:pPr>
        <w:pStyle w:val="TextBody"/>
        <w:bidi w:val="0"/>
        <w:spacing w:lineRule="auto" w:line="240" w:before="24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    each PIP will comply with all Laws and any Observation Policies, including those relating to access, health and safety, GxP and customer confidentiality;</w:t>
      </w:r>
    </w:p>
    <w:p>
      <w:pPr>
        <w:pStyle w:val="TextBody"/>
        <w:bidi w:val="0"/>
        <w:spacing w:lineRule="auto" w:line="240" w:before="24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    Provider may remove any PIP from a Facility at any time if such PIP fails to comply with the requirements of this Section 11.5.2 (Conduct of Observation), including any Observation Policies or the reasonable directions of any Provider personnel while attending a Facility; and</w:t>
      </w:r>
    </w:p>
    <w:p>
      <w:pPr>
        <w:pStyle w:val="TextBody"/>
        <w:bidi w:val="0"/>
        <w:spacing w:lineRule="auto" w:line="240" w:before="24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if the records to be reviewed by Senti in connection with an Observation include any Confidential Information of Provider that is not relevant to the Manufacture, testing, and quality control and assurance of Product at the applicable Facility, Provider may redact such records prior to disclosing them to Senti solely to the extent such information is not relevant to Services provided by or on behalf of Provider to Senti; and if the records to </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346075"/>
                <wp:effectExtent l="0" t="0" r="0" b="0"/>
                <wp:wrapNone/>
                <wp:docPr id="229" name="Frame229"/>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be reviewed by Senti in connection with an Observation include any confidential information of a Third Party that Provider does not have authority to disclose to Senti, Provider may redact such records prior to disclosing them to Senti. Nothing in this Section 11.5 (Right to Observe) shall require Provider to produce to Senti or the PIP any information that is not relevant to Services provided by or on behalf of Provider to Senti.</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11.6.    </w:t>
      </w:r>
      <w:r>
        <w:rPr>
          <w:rFonts w:ascii="Times New Roman;sans-serif" w:hAnsi="Times New Roman;sans-serif"/>
          <w:b/>
          <w:color w:val="000000"/>
          <w:sz w:val="22"/>
        </w:rPr>
        <w:t xml:space="preserve">Compliance Audit. </w:t>
      </w:r>
      <w:r>
        <w:rPr>
          <w:rFonts w:ascii="Times New Roman;sans-serif" w:hAnsi="Times New Roman;sans-serif"/>
          <w:b w:val="false"/>
          <w:color w:val="000000"/>
          <w:sz w:val="22"/>
        </w:rPr>
        <w:t xml:space="preserve">Senti may conduct or cause Senti’s Representative(s) to conduct at the Facility where a Product is manufactured, a quality or compliance audit in accordance with the terms of the Quality Agreement.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11.7.    </w:t>
      </w:r>
      <w:r>
        <w:rPr>
          <w:rFonts w:ascii="Times New Roman;sans-serif" w:hAnsi="Times New Roman;sans-serif"/>
          <w:b/>
          <w:color w:val="000000"/>
          <w:sz w:val="22"/>
        </w:rPr>
        <w:t>Regulatory Inspections</w:t>
      </w:r>
      <w:r>
        <w:rPr>
          <w:rFonts w:ascii="Times New Roman;sans-serif" w:hAnsi="Times New Roman;sans-serif"/>
          <w:b w:val="false"/>
          <w:color w:val="000000"/>
          <w:sz w:val="22"/>
        </w:rPr>
        <w:t xml:space="preserve">.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11.7.1.    </w:t>
      </w:r>
      <w:r>
        <w:rPr>
          <w:rFonts w:ascii="Times New Roman;sans-serif" w:hAnsi="Times New Roman;sans-serif"/>
          <w:b w:val="false"/>
          <w:color w:val="000000"/>
          <w:sz w:val="22"/>
          <w:u w:val="single"/>
        </w:rPr>
        <w:t>Non-Product-Specific Regulatory Inspections</w:t>
      </w:r>
      <w:r>
        <w:rPr>
          <w:rFonts w:ascii="Times New Roman;sans-serif" w:hAnsi="Times New Roman;sans-serif"/>
          <w:b w:val="false"/>
          <w:color w:val="000000"/>
          <w:sz w:val="22"/>
        </w:rPr>
        <w:t xml:space="preserve">. If Provider receives a notice of inspection, oral inquiry, or visit from a Regulatory Authority within the Territory which is not specific to any Product but relates to the Services being conducted under a Statement of Work, Provider will inform Senti in accordance with the terms of the Quality Agreement.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11.7.2.    </w:t>
      </w:r>
      <w:r>
        <w:rPr>
          <w:rFonts w:ascii="Times New Roman;sans-serif" w:hAnsi="Times New Roman;sans-serif"/>
          <w:b w:val="false"/>
          <w:color w:val="000000"/>
          <w:sz w:val="22"/>
          <w:u w:val="single"/>
        </w:rPr>
        <w:t>Product-Specific Regulatory Inspections</w:t>
      </w:r>
      <w:r>
        <w:rPr>
          <w:rFonts w:ascii="Times New Roman;sans-serif" w:hAnsi="Times New Roman;sans-serif"/>
          <w:b w:val="false"/>
          <w:color w:val="000000"/>
          <w:sz w:val="22"/>
        </w:rPr>
        <w:t xml:space="preserve">. </w:t>
      </w:r>
    </w:p>
    <w:p>
      <w:pPr>
        <w:pStyle w:val="TextBody"/>
        <w:bidi w:val="0"/>
        <w:spacing w:lineRule="auto" w:line="240" w:before="240" w:after="240"/>
        <w:ind w:left="0" w:right="0" w:hanging="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Senti Obligations</w:t>
      </w:r>
      <w:r>
        <w:rPr>
          <w:rFonts w:ascii="Times New Roman;sans-serif" w:hAnsi="Times New Roman;sans-serif"/>
          <w:b w:val="false"/>
          <w:color w:val="000000"/>
          <w:sz w:val="22"/>
        </w:rPr>
        <w:t xml:space="preserve">. Senti will inform Provider of any written communications, correspondence or reports received by Senti from or sent by Senti to a Regulatory Authority containing observations relating to Provider or the Manufacture of any Product in accordance with the terms specified in the Quality Agreement. </w:t>
      </w:r>
    </w:p>
    <w:p>
      <w:pPr>
        <w:pStyle w:val="TextBody"/>
        <w:bidi w:val="0"/>
        <w:spacing w:lineRule="auto" w:line="240" w:before="240" w:after="240"/>
        <w:ind w:left="0" w:right="0" w:hanging="72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Preparation and Participation</w:t>
      </w:r>
      <w:r>
        <w:rPr>
          <w:rFonts w:ascii="Times New Roman;sans-serif" w:hAnsi="Times New Roman;sans-serif"/>
          <w:b w:val="false"/>
          <w:color w:val="000000"/>
          <w:sz w:val="22"/>
        </w:rPr>
        <w:t>. Provider will assist Senti with any regulatory inspection that is specific to the Product. Provider shall charge Senti for the preparation and hosting of regulatory inspections which are specific to any Product (and not Provider’s general manufacturing processes or facilities) at Provider’s then-current standard rates. At the request of Provider, Senti will help prepare for and participate in such inspections.</w:t>
      </w:r>
    </w:p>
    <w:p>
      <w:pPr>
        <w:pStyle w:val="TextBody"/>
        <w:bidi w:val="0"/>
        <w:spacing w:lineRule="auto" w:line="240" w:before="240" w:after="240"/>
        <w:ind w:left="0" w:right="0" w:hanging="72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Regulatory Authority Observations</w:t>
      </w:r>
      <w:r>
        <w:rPr>
          <w:rFonts w:ascii="Times New Roman;sans-serif" w:hAnsi="Times New Roman;sans-serif"/>
          <w:b w:val="false"/>
          <w:color w:val="000000"/>
          <w:sz w:val="22"/>
        </w:rPr>
        <w:t>. Provider will notify Senti in writing of all observations identified by any inspections by a Regulatory Authority that would reasonably be expected to affect Provider’s ability to Manufacture a Product, the Regulatory Approval of a Product or Senti Product, or Product quality, safety or efficacy. Provider shall provide Senti with copies of all correspondence, reports and forms received by or on behalf of Provider from any Regulatory Authority related to a Product, Senti Product or the Manufacture of a Product, including the Manufacturing Process. Provider will provide Senti with a draft response to any such observations for Senti’s review and comment prior to submission to the Regulatory Authority, and Provider will give good faith consideration to any timely comments provided by Senti. Provider will provide Senti with a copy of Provider’s response to such inspection findings no later than [***] after Provider submits such response to the applicable Regulatory Authority.</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11.8.    </w:t>
      </w:r>
      <w:r>
        <w:rPr>
          <w:rFonts w:ascii="Times New Roman;sans-serif" w:hAnsi="Times New Roman;sans-serif"/>
          <w:b/>
          <w:color w:val="000000"/>
          <w:sz w:val="22"/>
        </w:rPr>
        <w:t>Record Retention</w:t>
      </w:r>
      <w:r>
        <w:rPr>
          <w:rFonts w:ascii="Times New Roman;sans-serif" w:hAnsi="Times New Roman;sans-serif"/>
          <w:b w:val="false"/>
          <w:color w:val="000000"/>
          <w:sz w:val="22"/>
        </w:rPr>
        <w:t xml:space="preserve">. Provider will retain copies of all Batch Documentation, and all other records or documentation generated by it in connection with the Manufacture and testing of the Product under this Agreement that may be reasonably necessary to assist Senti in the event of a Product stock recovery, recall, adverse drug event or complaint, in accordance with Provider’s standard operating procedures and applicable Laws for at least [***] after expiration or termination of this Agreement or for such period required by Law, whichever is longer. </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346075"/>
                <wp:effectExtent l="0" t="0" r="0" b="0"/>
                <wp:wrapNone/>
                <wp:docPr id="230" name="Frame230"/>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11.9.    </w:t>
      </w:r>
      <w:r>
        <w:rPr>
          <w:rFonts w:ascii="Times New Roman;sans-serif" w:hAnsi="Times New Roman;sans-serif"/>
          <w:b/>
          <w:color w:val="000000"/>
          <w:sz w:val="22"/>
        </w:rPr>
        <w:t>Anti-Corruption Laws</w:t>
      </w:r>
      <w:r>
        <w:rPr>
          <w:rFonts w:ascii="Times New Roman;sans-serif" w:hAnsi="Times New Roman;sans-serif"/>
          <w:b w:val="false"/>
          <w:color w:val="000000"/>
          <w:sz w:val="22"/>
        </w:rPr>
        <w:t>. Each Party will, and will cause its Representatives and its subcontractors performing any Services or obligations hereunder to, comply with the U.S. Customs &amp; Trade Partnership Against Terrorism (CTPAT) and with applicable laws and regulations relating to anti-corruption and anti-bribery, including the U.S. Foreign Corrupt Practices Act, the United Kingdom Bribery Act 2010 and any implementing legislation under the OECD Convention Against the Bribery of Foreign Officials in International Business Transactions (collectively, the “</w:t>
      </w:r>
      <w:r>
        <w:rPr>
          <w:rFonts w:ascii="Times New Roman;sans-serif" w:hAnsi="Times New Roman;sans-serif"/>
          <w:b/>
          <w:color w:val="000000"/>
          <w:sz w:val="22"/>
        </w:rPr>
        <w:t>Anti-Corruption Laws</w:t>
      </w:r>
      <w:r>
        <w:rPr>
          <w:color w:val="000000"/>
        </w:rPr>
        <w:t>”</w:t>
      </w:r>
      <w:r>
        <w:rPr>
          <w:rFonts w:ascii="Times New Roman;sans-serif" w:hAnsi="Times New Roman;sans-serif"/>
          <w:b w:val="false"/>
          <w:color w:val="000000"/>
          <w:sz w:val="22"/>
        </w:rPr>
        <w:t xml:space="preserve">), and will immediately notify the other Party of any violation thereof. Each Party represents and warrants that it will not, and will cause its Representatives and anyone acting on its behalf not to, give, offer, agree or promise to give, or authorize the giving directly or indirectly, of any money or other thing of value to anyone as an inducement or reward for favorable action or forbearance from action or the exercise of influence: (a) to any governmental official or employee of any Governmental Entity (including employees of government-owned and government-controlled corporations or agencies); (b) to any political party, official of a political party, or candidate; (c) to an intermediary for payment to any of the foregoing; or (d) to any other Person in a corrupt or improper effort to obtain or retain business or any commercial advantage, such as receiving a permit or license. </w:t>
      </w:r>
    </w:p>
    <w:p>
      <w:pPr>
        <w:pStyle w:val="TextBody"/>
        <w:bidi w:val="0"/>
        <w:spacing w:lineRule="auto" w:line="240" w:before="480" w:after="240"/>
        <w:ind w:left="0" w:right="0" w:hanging="360"/>
        <w:jc w:val="both"/>
        <w:rPr/>
      </w:pPr>
      <w:r>
        <w:rPr>
          <w:rFonts w:ascii="Times New Roman;sans-serif" w:hAnsi="Times New Roman;sans-serif"/>
          <w:b/>
          <w:color w:val="000000"/>
          <w:sz w:val="22"/>
        </w:rPr>
        <w:t>12.    </w:t>
      </w:r>
      <w:r>
        <w:rPr>
          <w:rFonts w:ascii="Times New Roman;sans-serif" w:hAnsi="Times New Roman;sans-serif"/>
          <w:b w:val="false"/>
          <w:color w:val="000000"/>
          <w:sz w:val="22"/>
        </w:rPr>
        <w:t>INTELLECTUAL PROPERTY RIGHTS.</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12.1.    </w:t>
      </w:r>
      <w:r>
        <w:rPr>
          <w:rFonts w:ascii="Times New Roman;sans-serif" w:hAnsi="Times New Roman;sans-serif"/>
          <w:b/>
          <w:color w:val="000000"/>
          <w:sz w:val="22"/>
        </w:rPr>
        <w:t>Senti Intellectual Property</w:t>
      </w:r>
      <w:r>
        <w:rPr>
          <w:rFonts w:ascii="Times New Roman;sans-serif" w:hAnsi="Times New Roman;sans-serif"/>
          <w:b w:val="false"/>
          <w:color w:val="000000"/>
          <w:sz w:val="22"/>
        </w:rPr>
        <w:t xml:space="preserve">.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12.1.1.    </w:t>
      </w:r>
      <w:r>
        <w:rPr>
          <w:rFonts w:ascii="Times New Roman;sans-serif" w:hAnsi="Times New Roman;sans-serif"/>
          <w:b w:val="false"/>
          <w:color w:val="000000"/>
          <w:sz w:val="22"/>
          <w:u w:val="single"/>
        </w:rPr>
        <w:t>Senti IP</w:t>
      </w:r>
      <w:r>
        <w:rPr>
          <w:rFonts w:ascii="Times New Roman;sans-serif" w:hAnsi="Times New Roman;sans-serif"/>
          <w:b w:val="false"/>
          <w:color w:val="000000"/>
          <w:sz w:val="22"/>
        </w:rPr>
        <w:t>. As between the Parties, all rights, title and interests in, to and under Intellectual Property: (a) owned or controlled by Senti or any of its Affiliates as of the Effective Date or (b) created or acquired independently of this Agreement by or on behalf of Senti or its Affiliates (other than by or on behalf of Provider) during the Term (collectively, clauses (a) and (b), “</w:t>
      </w:r>
      <w:r>
        <w:rPr>
          <w:rFonts w:ascii="Times New Roman;sans-serif" w:hAnsi="Times New Roman;sans-serif"/>
          <w:b/>
          <w:color w:val="000000"/>
          <w:sz w:val="22"/>
        </w:rPr>
        <w:t>Senti IP</w:t>
      </w:r>
      <w:r>
        <w:rPr>
          <w:color w:val="000000"/>
        </w:rPr>
        <w:t>”</w:t>
      </w:r>
      <w:r>
        <w:rPr>
          <w:rFonts w:ascii="Times New Roman;sans-serif" w:hAnsi="Times New Roman;sans-serif"/>
          <w:b w:val="false"/>
          <w:color w:val="000000"/>
          <w:sz w:val="22"/>
        </w:rPr>
        <w:t xml:space="preserve">) will remain solely with Senti, and no right or interest therein is transferred or granted to Provider pursuant to this Agreement except as set forth in Section 6.1.8 (Senti Supplies) and Section 12.1.3 (License from Senti).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12.1.2.    </w:t>
      </w:r>
      <w:r>
        <w:rPr>
          <w:rFonts w:ascii="Times New Roman;sans-serif" w:hAnsi="Times New Roman;sans-serif"/>
          <w:b w:val="false"/>
          <w:color w:val="000000"/>
          <w:sz w:val="22"/>
          <w:u w:val="single"/>
        </w:rPr>
        <w:t>Senti Inventions</w:t>
      </w:r>
      <w:r>
        <w:rPr>
          <w:rFonts w:ascii="Times New Roman;sans-serif" w:hAnsi="Times New Roman;sans-serif"/>
          <w:b w:val="false"/>
          <w:color w:val="000000"/>
          <w:sz w:val="22"/>
        </w:rPr>
        <w:t>. Senti will own all rights, title and interests in, to and under any and all Inventions, other than Provider Inventions, that are discovered, first conceived, made, developed or generated by or on behalf of Provider or its Affiliates, whether solely or jointly with Senti or its Affiliates, in performing the activities under this Agreement, including all Intellectual Property in and to any of the foregoing (collectively, “</w:t>
      </w:r>
      <w:r>
        <w:rPr>
          <w:rFonts w:ascii="Times New Roman;sans-serif" w:hAnsi="Times New Roman;sans-serif"/>
          <w:b/>
          <w:color w:val="000000"/>
          <w:sz w:val="22"/>
        </w:rPr>
        <w:t>Senti Inventions</w:t>
      </w:r>
      <w:r>
        <w:rPr>
          <w:color w:val="000000"/>
        </w:rPr>
        <w:t>”</w:t>
      </w:r>
      <w:r>
        <w:rPr>
          <w:rFonts w:ascii="Times New Roman;sans-serif" w:hAnsi="Times New Roman;sans-serif"/>
          <w:b w:val="false"/>
          <w:color w:val="000000"/>
          <w:sz w:val="22"/>
        </w:rPr>
        <w:t xml:space="preserve">). Provider hereby irrevocably assigns and transfers to Senti all of Provider’s rights, title and interests in and to all Senti Inventions. Provider will execute and deliver to Senti, and shall require its Representatives involved in the performance of the Services to execute and deliver to Senti, any assignments or other documents reasonably required to effectuate the foregoing assignment, to perfect, record or evidence Senti’s sole ownership of the Senti Inventions, or to apply for, prosecute, maintain, enforce or defend any patent or other right in the Senti Inventions, at Senti’s request and expense at reasonable rates mutually agreed by the Parties in writing.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12.1.3.    </w:t>
      </w:r>
      <w:r>
        <w:rPr>
          <w:rFonts w:ascii="Times New Roman;sans-serif" w:hAnsi="Times New Roman;sans-serif"/>
          <w:b w:val="false"/>
          <w:color w:val="000000"/>
          <w:sz w:val="22"/>
          <w:u w:val="single"/>
        </w:rPr>
        <w:t>License from Senti</w:t>
      </w:r>
      <w:r>
        <w:rPr>
          <w:rFonts w:ascii="Times New Roman;sans-serif" w:hAnsi="Times New Roman;sans-serif"/>
          <w:b w:val="false"/>
          <w:color w:val="000000"/>
          <w:sz w:val="22"/>
        </w:rPr>
        <w:t>. Senti hereby grants Provider and its Affiliates a non-exclusive, fully-paid, non-transferable (except as provided in Section 17.7 (Assignment)) license (with the right to sublicense solely to permitted subcontractors) under that portion of the Senti IP and Senti Inventions that, in each case, is necessary to perform the Services, solely to perform the Services in accordance with the terms of this Agreement during the Term.</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12.1.4.    </w:t>
      </w:r>
      <w:r>
        <w:rPr>
          <w:rFonts w:ascii="Times New Roman;sans-serif" w:hAnsi="Times New Roman;sans-serif"/>
          <w:b w:val="false"/>
          <w:color w:val="000000"/>
          <w:sz w:val="22"/>
          <w:u w:val="single"/>
        </w:rPr>
        <w:t>Covenant not to sue</w:t>
      </w:r>
      <w:r>
        <w:rPr>
          <w:rFonts w:ascii="Times New Roman;sans-serif" w:hAnsi="Times New Roman;sans-serif"/>
          <w:b w:val="false"/>
          <w:color w:val="000000"/>
          <w:sz w:val="22"/>
        </w:rPr>
        <w:t xml:space="preserve">. Senti hereby agrees not to pursue any claim, demand, action or other proceeding against Provider or its subcontractors to the extent based on any </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346075"/>
                <wp:effectExtent l="0" t="0" r="0" b="0"/>
                <wp:wrapNone/>
                <wp:docPr id="231" name="Frame231"/>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claim that Provider’s (or its subcontractors’) use of Senti IP and Senti Inventions that, in each case, [***]. As used in this Section 12.1.4 (Covenant not to sue), the “</w:t>
      </w:r>
      <w:r>
        <w:rPr>
          <w:rFonts w:ascii="Times New Roman;sans-serif" w:hAnsi="Times New Roman;sans-serif"/>
          <w:b/>
          <w:color w:val="000000"/>
          <w:sz w:val="22"/>
        </w:rPr>
        <w:t>Permitted Services</w:t>
      </w:r>
      <w:r>
        <w:rPr>
          <w:color w:val="000000"/>
        </w:rPr>
        <w:t xml:space="preserve">” </w:t>
      </w:r>
      <w:r>
        <w:rPr>
          <w:rFonts w:ascii="Times New Roman;sans-serif" w:hAnsi="Times New Roman;sans-serif"/>
          <w:b w:val="false"/>
          <w:color w:val="000000"/>
          <w:sz w:val="22"/>
        </w:rPr>
        <w:t>means any services [***] to the extent such services are (i) [***], or (ii) [***] Notwithstanding the foregoing in this Section 12.1.4 (Covenant not to sue), the foregoing covenant not to sue will only apply with respect to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12.2.    </w:t>
      </w:r>
      <w:r>
        <w:rPr>
          <w:rFonts w:ascii="Times New Roman;sans-serif" w:hAnsi="Times New Roman;sans-serif"/>
          <w:b/>
          <w:color w:val="000000"/>
          <w:sz w:val="22"/>
        </w:rPr>
        <w:t>Provider Intellectual Property</w:t>
      </w:r>
      <w:r>
        <w:rPr>
          <w:rFonts w:ascii="Times New Roman;sans-serif" w:hAnsi="Times New Roman;sans-serif"/>
          <w:b w:val="false"/>
          <w:color w:val="000000"/>
          <w:sz w:val="22"/>
        </w:rPr>
        <w:t xml:space="preserve">.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12.2.1.    </w:t>
      </w:r>
      <w:r>
        <w:rPr>
          <w:rFonts w:ascii="Times New Roman;sans-serif" w:hAnsi="Times New Roman;sans-serif"/>
          <w:b w:val="false"/>
          <w:color w:val="000000"/>
          <w:sz w:val="22"/>
          <w:u w:val="single"/>
        </w:rPr>
        <w:t>Provider IP</w:t>
      </w:r>
      <w:r>
        <w:rPr>
          <w:rFonts w:ascii="Times New Roman;sans-serif" w:hAnsi="Times New Roman;sans-serif"/>
          <w:b w:val="false"/>
          <w:color w:val="000000"/>
          <w:sz w:val="22"/>
        </w:rPr>
        <w:t>. As between the Parties, all rights, title and interests in, to and under Intellectual Property owned or controlled by Provider or any of its Affiliates as of the Effective Date, or created or acquired independently of this Agreement by or on behalf of Provider or its Affiliates during the Term (“</w:t>
      </w:r>
      <w:r>
        <w:rPr>
          <w:rFonts w:ascii="Times New Roman;sans-serif" w:hAnsi="Times New Roman;sans-serif"/>
          <w:b/>
          <w:color w:val="000000"/>
          <w:sz w:val="22"/>
        </w:rPr>
        <w:t>Provider IP</w:t>
      </w:r>
      <w:r>
        <w:rPr>
          <w:color w:val="000000"/>
        </w:rPr>
        <w:t>”</w:t>
      </w:r>
      <w:r>
        <w:rPr>
          <w:rFonts w:ascii="Times New Roman;sans-serif" w:hAnsi="Times New Roman;sans-serif"/>
          <w:b w:val="false"/>
          <w:color w:val="000000"/>
          <w:sz w:val="22"/>
        </w:rPr>
        <w:t>) will remain solely with Provider, and no right or interest therein is transferred or granted to Senti hereby except as set forth in Section 12.2.3 (License from Provider). For clarity, any Intellectual Property licensed by Senti to Provider under this Agreement or any other agreement between the Parties will be deemed Senti IP and not Provider IP.</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12.2.2.    </w:t>
      </w:r>
      <w:r>
        <w:rPr>
          <w:rFonts w:ascii="Times New Roman;sans-serif" w:hAnsi="Times New Roman;sans-serif"/>
          <w:b w:val="false"/>
          <w:color w:val="000000"/>
          <w:sz w:val="22"/>
          <w:u w:val="single"/>
        </w:rPr>
        <w:t>Provider Inventions</w:t>
      </w:r>
      <w:r>
        <w:rPr>
          <w:rFonts w:ascii="Times New Roman;sans-serif" w:hAnsi="Times New Roman;sans-serif"/>
          <w:b w:val="false"/>
          <w:color w:val="000000"/>
          <w:sz w:val="22"/>
        </w:rPr>
        <w:t>. Provider shall own all rights, title and interests in, to and under any and all Inventions that are discovered, first conceived, made, developed or generated solely by or on behalf of Provider or its Affiliates in performing the activities under this Agreement, and that (a) [***]; and (b) [***] (collectively, “</w:t>
      </w:r>
      <w:r>
        <w:rPr>
          <w:rFonts w:ascii="Times New Roman;sans-serif" w:hAnsi="Times New Roman;sans-serif"/>
          <w:b/>
          <w:color w:val="000000"/>
          <w:sz w:val="22"/>
        </w:rPr>
        <w:t>Provider Inventions</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12.2.3.    </w:t>
      </w:r>
      <w:r>
        <w:rPr>
          <w:rFonts w:ascii="Times New Roman;sans-serif" w:hAnsi="Times New Roman;sans-serif"/>
          <w:b w:val="false"/>
          <w:color w:val="000000"/>
          <w:sz w:val="22"/>
          <w:u w:val="single"/>
        </w:rPr>
        <w:t>License from Provider</w:t>
      </w:r>
      <w:r>
        <w:rPr>
          <w:rFonts w:ascii="Times New Roman;sans-serif" w:hAnsi="Times New Roman;sans-serif"/>
          <w:b w:val="false"/>
          <w:color w:val="000000"/>
          <w:sz w:val="22"/>
        </w:rPr>
        <w:t xml:space="preserve">. Subject to agreements between Provider and Third Parties (but excluding any subcontractor of Provider) in connection with relevant in-licensed technology, Provider hereby grants to Senti a non-exclusive, fully-paid up, royalty-free, worldwide, non-transferable (except as provided in Section 17.7 (Assignment)), irrevocable, perpetual license, with the right to grant sublicenses through multiple tiers, under the Provider Inventions, Provider IP and Subcontractor IP incorporated into any Product, Deliverable or Manufacturing Process, solely to develop, make, have made, use, sell, offer to sell, have sold, import and otherwise exploit Products and other Deliverables. For the avoidance of doubt, the grant of such license shall be [***]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12.3.    </w:t>
      </w:r>
      <w:r>
        <w:rPr>
          <w:rFonts w:ascii="Times New Roman;sans-serif" w:hAnsi="Times New Roman;sans-serif"/>
          <w:b/>
          <w:color w:val="000000"/>
          <w:sz w:val="22"/>
        </w:rPr>
        <w:t>Technology Transfer to Senti</w:t>
      </w:r>
      <w:r>
        <w:rPr>
          <w:rFonts w:ascii="Times New Roman;sans-serif" w:hAnsi="Times New Roman;sans-serif"/>
          <w:b w:val="false"/>
          <w:color w:val="000000"/>
          <w:sz w:val="22"/>
        </w:rPr>
        <w:t xml:space="preserve">.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12.3.1.    At any time and from time to time during or within [***] after (i) [***], (ii) [***], or (iii) [***] Senti shall have the right, upon written request to Provider, [***], a manufacturing technology transfer to Senti or its designee of the then current Manufacturing Process, including analytical methods and other quality control testing, for the relevant Product [***] with respect to which Provider (or its Affiliate or subcontractor) has performed Services hereunder (a “</w:t>
      </w:r>
      <w:r>
        <w:rPr>
          <w:rFonts w:ascii="Times New Roman;sans-serif" w:hAnsi="Times New Roman;sans-serif"/>
          <w:b/>
          <w:color w:val="000000"/>
          <w:sz w:val="22"/>
        </w:rPr>
        <w:t>Manufacturing Technology Transfer</w:t>
      </w:r>
      <w:r>
        <w:rPr>
          <w:color w:val="000000"/>
        </w:rPr>
        <w:t>”</w:t>
      </w:r>
      <w:r>
        <w:rPr>
          <w:rFonts w:ascii="Times New Roman;sans-serif" w:hAnsi="Times New Roman;sans-serif"/>
          <w:b w:val="false"/>
          <w:color w:val="000000"/>
          <w:sz w:val="22"/>
        </w:rPr>
        <w:t xml:space="preserve">) in accordance with this Section 12.4 (Technology Transfer to Senti). Provider may redact any of its Confidential Information related to the Facility or its other customers from any transferred documents. </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12.3.2.    For any Manufacturing Technology Transfer requested by Senti, the Parties will [***] enter into a mutually agreed technology transfer plan, for Provider to provide to Senti or a Third Party contract manufacturing organization designated by Senti the Manufacturing information, [***]. Following the execution of such plan, the Parties will conduct technology transfer activities in accordance with such plan. Provider will transfer [***] Senti will be responsible for all other reasonable costs incurred by Provider in the conduct of such technology transfer activities, except that if such technology transfer occurs after (i) [***], (ii) [***] or (iii) [***]), Senti will only be responsible for the costs incurred by Provider to perform [***], and Provider will not be responsible for the costs incurred by Senti or Senti’s Third Party designee. </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346075"/>
                <wp:effectExtent l="0" t="0" r="0" b="0"/>
                <wp:wrapNone/>
                <wp:docPr id="232" name="Frame232"/>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12.4.    </w:t>
      </w:r>
      <w:r>
        <w:rPr>
          <w:rFonts w:ascii="Times New Roman;sans-serif" w:hAnsi="Times New Roman;sans-serif"/>
          <w:b/>
          <w:color w:val="000000"/>
          <w:sz w:val="22"/>
        </w:rPr>
        <w:t>Third Party Intellectual Property</w:t>
      </w:r>
      <w:r>
        <w:rPr>
          <w:rFonts w:ascii="Times New Roman;sans-serif" w:hAnsi="Times New Roman;sans-serif"/>
          <w:b w:val="false"/>
          <w:color w:val="000000"/>
          <w:sz w:val="22"/>
        </w:rPr>
        <w:t>. Save as agreed in the relevant SoW, or as agreed by Senti in writing in connection with Senti’s approval of the Product Specifications or Manufacturing Process, Provider shall not knowingly incorporate any Intellectual Property of a Third Party into any Manufacturing Process, Deliverables or Product without Senti’s prior written consent, which may be granted or withheld in Senti’s sole discretion.</w:t>
      </w:r>
    </w:p>
    <w:p>
      <w:pPr>
        <w:pStyle w:val="TextBody"/>
        <w:bidi w:val="0"/>
        <w:spacing w:lineRule="auto" w:line="240" w:before="480" w:after="240"/>
        <w:ind w:left="0" w:right="0" w:hanging="360"/>
        <w:jc w:val="both"/>
        <w:rPr/>
      </w:pPr>
      <w:r>
        <w:rPr>
          <w:rFonts w:ascii="Times New Roman;sans-serif" w:hAnsi="Times New Roman;sans-serif"/>
          <w:b/>
          <w:color w:val="000000"/>
          <w:sz w:val="22"/>
        </w:rPr>
        <w:t>13.    </w:t>
      </w:r>
      <w:r>
        <w:rPr>
          <w:rFonts w:ascii="Times New Roman;sans-serif" w:hAnsi="Times New Roman;sans-serif"/>
          <w:b w:val="false"/>
          <w:color w:val="000000"/>
          <w:sz w:val="22"/>
        </w:rPr>
        <w:t>REPRESENTATIONS, WARRANTIES AND COVENANTS.</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13.1.    </w:t>
      </w:r>
      <w:r>
        <w:rPr>
          <w:rFonts w:ascii="Times New Roman;sans-serif" w:hAnsi="Times New Roman;sans-serif"/>
          <w:b/>
          <w:color w:val="000000"/>
          <w:sz w:val="22"/>
        </w:rPr>
        <w:t>Mutual Representations and Warranties</w:t>
      </w:r>
      <w:r>
        <w:rPr>
          <w:rFonts w:ascii="Times New Roman;sans-serif" w:hAnsi="Times New Roman;sans-serif"/>
          <w:b w:val="false"/>
          <w:color w:val="000000"/>
          <w:sz w:val="22"/>
        </w:rPr>
        <w:t>. Each Party represents and warrants to the other Party that (a) such Party is duly organized, validly existing, and in good standing under the Laws of the place of its establishment or incorporation, (b) such Party has taken all action necessary to authorize it to enter into this Agreement and perform its obligations under this Agreement, (c) this Agreement will constitute the legal, valid and binding obligation of such party, and (d) neither the execution of this Agreement nor the performance of such Party’s obligations hereunder will conflict with, result in a breach of, or constitute a default under any provision of the organizational documents of such Party, or of any Law, authorization or approval of any governmental entity, or of any agreement to which it is a Party or by which it is bound.</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13.2.    </w:t>
      </w:r>
      <w:r>
        <w:rPr>
          <w:rFonts w:ascii="Times New Roman;sans-serif" w:hAnsi="Times New Roman;sans-serif"/>
          <w:b/>
          <w:color w:val="000000"/>
          <w:sz w:val="22"/>
        </w:rPr>
        <w:t>Provider Representations, Warranties and Covenants</w:t>
      </w:r>
      <w:r>
        <w:rPr>
          <w:rFonts w:ascii="Times New Roman;sans-serif" w:hAnsi="Times New Roman;sans-serif"/>
          <w:b w:val="false"/>
          <w:color w:val="000000"/>
          <w:sz w:val="22"/>
        </w:rPr>
        <w:t>. Provider hereby represents, warrants and covenants, as applicable, to Senti that:</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13.2.1.    the Services will be performed in a diligent and professional manner by individuals who are appropriately trained and qualified and in compliance with applicable Laws; </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13.2.2.    each Batch of Product (excluding all Engineering Batches) delivered hereunder will be Manufactured in accordance with the relevant Master Batch Record and Manufactured and stored in compliance with all applicable Laws (including GxP) and subject to Section 9.2, at the time of delivery by Provider, will conform to the applicable Product Specifications, provided that any breach of this Section 13.2.2 shall be resolved in accordance with Section 5.4 (Supply Failure), Section 10.4 (Batch Failure), Section 10.5 (Product Nonconformity) and Section 10.6 (Remedies), and without prejudice to Section 14.1.1, shall not give rise to a separate claim under this Agreement or any relevant SoWs; </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13.2.3.    title to each Batch of Product shall pass to Senti at the time specified in Section 10.13 (Delivery; Risk of Loss; Title), free and clear of all encumbrances;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13.2.4.    Provider’s operations have been conducted and shall be conducted in compliance with applicable financial recordkeeping and reporting requirements of the U.S. Currency and Foreign Transaction Reporting Act of 1970, as amended, the U.S. Money Laundering Control Act of 1986, as amended, the Anti-Money Laundering Act of 2020, as amended, and all money laundering-related laws of other jurisdictions where Provider conducts business or owns assets, and any related or similar Law issued, administered or enforced by any Governmental Entity (collectively, the “</w:t>
      </w:r>
      <w:r>
        <w:rPr>
          <w:rFonts w:ascii="Times New Roman;sans-serif" w:hAnsi="Times New Roman;sans-serif"/>
          <w:b/>
          <w:color w:val="000000"/>
          <w:sz w:val="22"/>
        </w:rPr>
        <w:t>Money Laundering Laws</w:t>
      </w:r>
      <w:r>
        <w:rPr>
          <w:color w:val="000000"/>
        </w:rPr>
        <w:t>”</w:t>
      </w:r>
      <w:r>
        <w:rPr>
          <w:rFonts w:ascii="Times New Roman;sans-serif" w:hAnsi="Times New Roman;sans-serif"/>
          <w:b w:val="false"/>
          <w:color w:val="000000"/>
          <w:sz w:val="22"/>
        </w:rPr>
        <w:t xml:space="preserve">) and Provider will immediately notify Senti of any violation thereof. No proceeding by or before any Governmental Entity involving Provider with respect to the Money Laundering Laws is pending or, to the knowledge of the Provider, is threatened;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13.2.5.    neither Provider nor any of Provider’s Affiliates nor any of their respective directors, officers or employees is subject to any sanction administered by the Office of Foreign Assets Control of the United States Treasury Department (“</w:t>
      </w:r>
      <w:r>
        <w:rPr>
          <w:rFonts w:ascii="Times New Roman;sans-serif" w:hAnsi="Times New Roman;sans-serif"/>
          <w:b/>
          <w:color w:val="000000"/>
          <w:sz w:val="22"/>
        </w:rPr>
        <w:t>U.S. Economic Sanctions</w:t>
      </w:r>
      <w:r>
        <w:rPr>
          <w:color w:val="000000"/>
        </w:rPr>
        <w:t>”</w:t>
      </w:r>
      <w:r>
        <w:rPr>
          <w:rFonts w:ascii="Times New Roman;sans-serif" w:hAnsi="Times New Roman;sans-serif"/>
          <w:b w:val="false"/>
          <w:color w:val="000000"/>
          <w:sz w:val="22"/>
        </w:rPr>
        <w:t xml:space="preserve">), and Provider and its Representations do not and will not make any </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346075"/>
                <wp:effectExtent l="0" t="0" r="0" b="0"/>
                <wp:wrapNone/>
                <wp:docPr id="233" name="Frame233"/>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sales to or engage in business activities with or for the benefit of, and will not use any amounts payable under this Agreement for the purposes of financing the activities of, any persons and countries that are subject to U.S. Economic Sanctions, including any “Specially Designated Nationals and Blocked Persons” as defined therein; and</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13.2.6.    it will not employ or use the services of any individual or entity who is debarred as mandated or authorized by 21 U.S.C. § 335a, and it will promptly notify Senti in writing if any of its employees or any individual or entity that is or has been involved in the performance of Services or that are or have been engaged in the Manufacture of Product become debarred as mandated or authorized by 21 U.S.C. § 335a.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13.3.    </w:t>
      </w:r>
      <w:r>
        <w:rPr>
          <w:rFonts w:ascii="Times New Roman;sans-serif" w:hAnsi="Times New Roman;sans-serif"/>
          <w:b/>
          <w:color w:val="000000"/>
          <w:sz w:val="22"/>
        </w:rPr>
        <w:t>DISCLAIMER</w:t>
      </w:r>
      <w:r>
        <w:rPr>
          <w:rFonts w:ascii="Times New Roman;sans-serif" w:hAnsi="Times New Roman;sans-serif"/>
          <w:b w:val="false"/>
          <w:color w:val="000000"/>
          <w:sz w:val="22"/>
        </w:rPr>
        <w:t xml:space="preserve">. EXCEPT FOR THE EXPRESS WARRANTIES STATED IN THIS AGREEMENT, PROVIDER MAKES NO WARRANTIES OF ANY KIND, EXPRESS OR IMPLIED, INCLUDING WITHOUT LIMITATION, WARRANTIES OF MERCHANTABILITY, FITNESS FOR A PARTICULAR PURPOSE AND NON-INFRINGEMENT.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13.4.    </w:t>
      </w:r>
      <w:r>
        <w:rPr>
          <w:rFonts w:ascii="Times New Roman;sans-serif" w:hAnsi="Times New Roman;sans-serif"/>
          <w:b/>
          <w:color w:val="000000"/>
          <w:sz w:val="22"/>
        </w:rPr>
        <w:t>Senti Representations, Warranties and Covenants</w:t>
      </w:r>
      <w:r>
        <w:rPr>
          <w:rFonts w:ascii="Times New Roman;sans-serif" w:hAnsi="Times New Roman;sans-serif"/>
          <w:b w:val="false"/>
          <w:color w:val="000000"/>
          <w:sz w:val="22"/>
        </w:rPr>
        <w:t>. Senti hereby represents, warrants and covenants, as applicable, to Provider that:</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13.4.1.    for each Project, Senti has (or will have) the right to supply to Provider or allow Provider the use of, for purposes of Provider’s performance of the Services in accordance with this Agreement and the applicable Statement of Work, the Senti Supplies (other than Senti Supplies Manufactured by Provider) Senti Confidential Information and other information that such Statement of Work specifies are to be supplied or provided by Senti to Provider, and any Intellectual Property licensed pursuant to Sections 6.1.8 and 12.1.3 (License from Senti), for use in the performance of the applicable Services in accordance with this Agreement and the applicable Statement of Work; </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13.4.2.    the Senti Supplies (excluding Senti Supplies supplied by Provider), at the time of delivery by Senti to Provider, are conformant with specifications and qualified to be used for Manufacture in accordance with applicable GMPs and applicable Laws, to the extent so specified in the applicable SoW;</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13.4.3.    as of the Effective Date, there are no actual or pending, and Senti has not received any written communication alleging or threatening any, adverse actions, suits, claims or formal investigations by a Governmental Entity, or settlements or judgments, involving the Product or Senti Product, by or against Senti or any of its Affiliates in or before a Governmental Entity, or for product liability involving the use or administration of any Product or Senti Product; </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13.4.4.    as of the Effective Date, there is no litigation pending against Senti or any of its Affiliates that alleges that the making, use, sale, offering for sale or import of a Product infringes, misappropriates or violates the Intellectual Property of any Third Party and Senti has not received any written notice alleging any such infringement, misappropriation or violation;</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13.4.5.    Senti’s operations have been conducted and shall be conducted in compliance with applicable financial recordkeeping and reporting requirements of the Money Laundering Laws and Senti will immediately notify Provider of any violation or potential violation thereof. No proceeding by or before any Governmental Entity involving Senti with respect to the Money Laundering Laws is pending or, to the knowledge of the Senti, is threatened;</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346075"/>
                <wp:effectExtent l="0" t="0" r="0" b="0"/>
                <wp:wrapNone/>
                <wp:docPr id="234" name="Frame234"/>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13.4.6.    neither Senti nor any of Senti’s Affiliates nor any of their respective directors, officers or employees is subject to any U.S. Economic Sanctions and does not and will not make any sales to or engage in business activities with or for the benefit of, and will not use any amounts payable under the proposed agreement/relationship for the purposes of financing the activities of, any persons and countries that are subject to U.S. Economic Sanctions, including any “Specially Designated Nationals and Blocked Persons” as defined therein.</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13.5.    </w:t>
      </w:r>
      <w:r>
        <w:rPr>
          <w:rFonts w:ascii="Times New Roman;sans-serif" w:hAnsi="Times New Roman;sans-serif"/>
          <w:b/>
          <w:color w:val="000000"/>
          <w:sz w:val="22"/>
        </w:rPr>
        <w:t>DISCLAIMER</w:t>
      </w:r>
      <w:r>
        <w:rPr>
          <w:rFonts w:ascii="Times New Roman;sans-serif" w:hAnsi="Times New Roman;sans-serif"/>
          <w:b w:val="false"/>
          <w:color w:val="000000"/>
          <w:sz w:val="22"/>
        </w:rPr>
        <w:t>. EXCEPT FOR THE EXPRESS WARRANTIES STATED IN THIS AGREEMENT, SENTI MAKES NO WARRANTIES OF ANY KIND, EXPRESS OR IMPLIED, INCLUDING WITHOUT LIMITATION, WARRANTIES OF MERCHANTABILITY, FITNESS FOR A PARTICULAR PURPOSE AND NON-INFRINGEMENT.</w:t>
      </w:r>
      <w:r>
        <w:rPr>
          <w:color w:val="000000"/>
        </w:rPr>
        <w:t xml:space="preserve"> </w:t>
      </w:r>
    </w:p>
    <w:p>
      <w:pPr>
        <w:pStyle w:val="TextBody"/>
        <w:bidi w:val="0"/>
        <w:spacing w:lineRule="auto" w:line="240" w:before="480" w:after="240"/>
        <w:ind w:left="0" w:right="0" w:hanging="360"/>
        <w:jc w:val="both"/>
        <w:rPr/>
      </w:pPr>
      <w:r>
        <w:rPr>
          <w:rFonts w:ascii="Times New Roman;sans-serif" w:hAnsi="Times New Roman;sans-serif"/>
          <w:b/>
          <w:color w:val="000000"/>
          <w:sz w:val="22"/>
        </w:rPr>
        <w:t>14.    </w:t>
      </w:r>
      <w:r>
        <w:rPr>
          <w:rFonts w:ascii="Times New Roman;sans-serif" w:hAnsi="Times New Roman;sans-serif"/>
          <w:b w:val="false"/>
          <w:color w:val="000000"/>
          <w:sz w:val="22"/>
        </w:rPr>
        <w:t>INDEMNIFICATION; INSURANCE.</w:t>
      </w:r>
    </w:p>
    <w:p>
      <w:pPr>
        <w:pStyle w:val="TextBody"/>
        <w:bidi w:val="0"/>
        <w:spacing w:lineRule="auto" w:line="240" w:before="0" w:after="240"/>
        <w:ind w:left="0" w:right="0" w:hanging="144"/>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14.1.    Indemnification.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14.1.1.    </w:t>
      </w:r>
      <w:r>
        <w:rPr>
          <w:rFonts w:ascii="Times New Roman;sans-serif" w:hAnsi="Times New Roman;sans-serif"/>
          <w:b w:val="false"/>
          <w:color w:val="000000"/>
          <w:sz w:val="22"/>
          <w:u w:val="single"/>
        </w:rPr>
        <w:t>Provider Indemnification</w:t>
      </w:r>
      <w:r>
        <w:rPr>
          <w:rFonts w:ascii="Times New Roman;sans-serif" w:hAnsi="Times New Roman;sans-serif"/>
          <w:b w:val="false"/>
          <w:color w:val="000000"/>
          <w:sz w:val="22"/>
        </w:rPr>
        <w:t>. Provider will indemnify, defend and hold harmless Senti, its Affiliates, and its and their respective directors, officers, employees, representatives, agents, successors and assigns (collectively, the “</w:t>
      </w:r>
      <w:r>
        <w:rPr>
          <w:rFonts w:ascii="Times New Roman;sans-serif" w:hAnsi="Times New Roman;sans-serif"/>
          <w:b/>
          <w:color w:val="000000"/>
          <w:sz w:val="22"/>
        </w:rPr>
        <w:t>Senti Indemnitees</w:t>
      </w:r>
      <w:r>
        <w:rPr>
          <w:color w:val="000000"/>
        </w:rPr>
        <w:t>”</w:t>
      </w:r>
      <w:r>
        <w:rPr>
          <w:rFonts w:ascii="Times New Roman;sans-serif" w:hAnsi="Times New Roman;sans-serif"/>
          <w:b w:val="false"/>
          <w:color w:val="000000"/>
          <w:sz w:val="22"/>
        </w:rPr>
        <w:t>) from and against any and all losses, damages, liabilities, fees, judgments, taxes, awards, expenses and costs, including reasonable attorneys’ fees (“</w:t>
      </w:r>
      <w:r>
        <w:rPr>
          <w:rFonts w:ascii="Times New Roman;sans-serif" w:hAnsi="Times New Roman;sans-serif"/>
          <w:b/>
          <w:color w:val="000000"/>
          <w:sz w:val="22"/>
        </w:rPr>
        <w:t>Losses</w:t>
      </w:r>
      <w:r>
        <w:rPr>
          <w:color w:val="000000"/>
        </w:rPr>
        <w:t>”</w:t>
      </w:r>
      <w:r>
        <w:rPr>
          <w:rFonts w:ascii="Times New Roman;sans-serif" w:hAnsi="Times New Roman;sans-serif"/>
          <w:b w:val="false"/>
          <w:color w:val="000000"/>
          <w:sz w:val="22"/>
        </w:rPr>
        <w:t>) to which any such Senti Indemnitee may become subject as a result of any claim, demand, action or other proceeding by any Third Party (“</w:t>
      </w:r>
      <w:r>
        <w:rPr>
          <w:rFonts w:ascii="Times New Roman;sans-serif" w:hAnsi="Times New Roman;sans-serif"/>
          <w:b/>
          <w:color w:val="000000"/>
          <w:sz w:val="22"/>
        </w:rPr>
        <w:t>Third Party Claim</w:t>
      </w:r>
      <w:r>
        <w:rPr>
          <w:color w:val="000000"/>
        </w:rPr>
        <w:t>”</w:t>
      </w:r>
      <w:r>
        <w:rPr>
          <w:rFonts w:ascii="Times New Roman;sans-serif" w:hAnsi="Times New Roman;sans-serif"/>
          <w:b w:val="false"/>
          <w:color w:val="000000"/>
          <w:sz w:val="22"/>
        </w:rPr>
        <w:t xml:space="preserve">) to the extent arising out of: (a) any breach of Provider’s representations, warranties or obligations set forth in this Agreement, (b) any negligence or willful misconduct by any Provider Indemnitee, or (c) any claim that the use of any Provider IP or Provider Invention by Provider under this Agreement, or pursuant to the license granted to Senti in this Agreement, infringes, misappropriates or violates the Intellectual Property of any Third Party; in each case ((a)-(c)) except to the extent such Loss arises out of or results from (i) any Senti Indemnitee’s negligence or willful misconduct, (ii) Senti’s breach of this Agreement, or (iii) any issue relating to the Product or Services (a) [***], or (b) [***]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14.1.2.    </w:t>
      </w:r>
      <w:r>
        <w:rPr>
          <w:rFonts w:ascii="Times New Roman;sans-serif" w:hAnsi="Times New Roman;sans-serif"/>
          <w:b w:val="false"/>
          <w:color w:val="000000"/>
          <w:sz w:val="22"/>
          <w:u w:val="single"/>
        </w:rPr>
        <w:t>Senti Indemnification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Senti will indemnify, defend, and hold harmless Provider, its Affiliates, and its and their respective directors, officers, employees, representatives, agents, successors, and assigns (collectively, the “</w:t>
      </w:r>
      <w:r>
        <w:rPr>
          <w:rFonts w:ascii="Times New Roman;sans-serif" w:hAnsi="Times New Roman;sans-serif"/>
          <w:b/>
          <w:color w:val="000000"/>
          <w:sz w:val="22"/>
        </w:rPr>
        <w:t>Provider Indemnitees</w:t>
      </w:r>
      <w:r>
        <w:rPr>
          <w:color w:val="000000"/>
        </w:rPr>
        <w:t>”</w:t>
      </w:r>
      <w:r>
        <w:rPr>
          <w:rFonts w:ascii="Times New Roman;sans-serif" w:hAnsi="Times New Roman;sans-serif"/>
          <w:b w:val="false"/>
          <w:color w:val="000000"/>
          <w:sz w:val="22"/>
        </w:rPr>
        <w:t>) from and against any and all Losses to which any such Provider Indemnitee may become subject as a result of any Third Party Claim to the extent arising out of: (a) any breach of Senti’s representations, warranties, or obligations set forth in this Agreement, (b)any claim that Provider’s use of the Senti IP as expressly authorized in this Agreement, or that the Manufacture of a Product in accordance with the Manufacturing Process transferred by Senti, or prescribed by Senti [***], infringes, misappropriates, or violates the Intellectual Property of any Third Party, (c) the development, manufacture, production, packaging, handling, transport, sale, marketing, promotion, distribution, use, or disposal by or on behalf of Senti of Product supplied by Provider hereunder, including product liability or strict liability, or (d) any negligence or willful misconduct by any Senti Indemnitee; in each case ((a)-(d)) except to the extent that any of the foregoing arises out of or results from (i) any Provider Indemnitee’s negligence or willful misconduct or (ii) Provider’s breach of this Agreement.</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14.1.3.    </w:t>
      </w:r>
      <w:r>
        <w:rPr>
          <w:rFonts w:ascii="Times New Roman;sans-serif" w:hAnsi="Times New Roman;sans-serif"/>
          <w:b w:val="false"/>
          <w:color w:val="000000"/>
          <w:sz w:val="22"/>
          <w:u w:val="single"/>
        </w:rPr>
        <w:t>Indemnification Procedure</w:t>
      </w:r>
      <w:r>
        <w:rPr>
          <w:rFonts w:ascii="Times New Roman;sans-serif" w:hAnsi="Times New Roman;sans-serif"/>
          <w:b w:val="false"/>
          <w:color w:val="000000"/>
          <w:sz w:val="22"/>
        </w:rPr>
        <w:t xml:space="preserve">. All indemnification obligations in this Agreement are conditioned upon the Party seeking indemnification (a) promptly notifying the </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346075"/>
                <wp:effectExtent l="0" t="0" r="0" b="0"/>
                <wp:wrapNone/>
                <wp:docPr id="235" name="Frame235"/>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indemnifying Party of the Third Party Claim for which the indemnifying Party seeks indemnification; </w:t>
      </w:r>
      <w:r>
        <w:rPr>
          <w:rFonts w:ascii="Times New Roman;sans-serif" w:hAnsi="Times New Roman;sans-serif"/>
          <w:b w:val="false"/>
          <w:i/>
          <w:color w:val="000000"/>
          <w:sz w:val="22"/>
        </w:rPr>
        <w:t>provided</w:t>
      </w:r>
      <w:r>
        <w:rPr>
          <w:rFonts w:ascii="Times New Roman;sans-serif" w:hAnsi="Times New Roman;sans-serif"/>
          <w:b w:val="false"/>
          <w:color w:val="000000"/>
          <w:sz w:val="22"/>
        </w:rPr>
        <w:t xml:space="preserve">, that failure to provide such notice within a reasonable period of time shall not relieve the indemnifying Party of any of its indemnification obligations except to the extent the indemnifying Party is prejudiced by such failure, (b) allowing the indemnifying Party, if the indemnifying Party so requests, to conduct and control the defense of such Third Party Claim and any related settlement negotiations at the indemnifying Party’s expense; </w:t>
      </w:r>
      <w:r>
        <w:rPr>
          <w:rFonts w:ascii="Times New Roman;sans-serif" w:hAnsi="Times New Roman;sans-serif"/>
          <w:b w:val="false"/>
          <w:i/>
          <w:color w:val="000000"/>
          <w:sz w:val="22"/>
        </w:rPr>
        <w:t>provided</w:t>
      </w:r>
      <w:r>
        <w:rPr>
          <w:rFonts w:ascii="Times New Roman;sans-serif" w:hAnsi="Times New Roman;sans-serif"/>
          <w:b w:val="false"/>
          <w:color w:val="000000"/>
          <w:sz w:val="22"/>
        </w:rPr>
        <w:t>, that (i) any indemnitee shall have the right to retain its own counsel at its own expense and (ii) no such Third Party Claim will be settled by the indemnifying Party without the indemnified Party’s prior written consent if such settlement imposes any obligations on the indemnitees other than customary mutual general release terms, (c) cooperating with the indemnifying Party in the defense of such Third Party Claim and any related settlement negotiations at the indemnifying Party’s request and expense, and (d) not compromising or settling such Third Party Claim without the prior written consent of the indemnifying Party.</w:t>
      </w:r>
    </w:p>
    <w:p>
      <w:pPr>
        <w:pStyle w:val="TextBody"/>
        <w:bidi w:val="0"/>
        <w:spacing w:lineRule="auto" w:line="240" w:before="0" w:after="240"/>
        <w:ind w:left="0" w:right="0" w:hanging="144"/>
        <w:jc w:val="both"/>
        <w:rPr>
          <w:rFonts w:ascii="Times New Roman;sans-serif" w:hAnsi="Times New Roman;sans-serif"/>
          <w:b w:val="false"/>
          <w:color w:val="000000"/>
          <w:sz w:val="22"/>
        </w:rPr>
      </w:pPr>
      <w:r>
        <w:rPr>
          <w:rFonts w:ascii="Times New Roman;sans-serif" w:hAnsi="Times New Roman;sans-serif"/>
          <w:b w:val="false"/>
          <w:color w:val="000000"/>
          <w:sz w:val="22"/>
        </w:rPr>
        <w:t>14.2.    Insurance.</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14.2.1.    </w:t>
      </w:r>
      <w:r>
        <w:rPr>
          <w:rFonts w:ascii="Times New Roman;sans-serif" w:hAnsi="Times New Roman;sans-serif"/>
          <w:b w:val="false"/>
          <w:color w:val="000000"/>
          <w:sz w:val="22"/>
          <w:u w:val="single"/>
        </w:rPr>
        <w:t>Provider Insurance</w:t>
      </w:r>
      <w:r>
        <w:rPr>
          <w:rFonts w:ascii="Times New Roman;sans-serif" w:hAnsi="Times New Roman;sans-serif"/>
          <w:b w:val="false"/>
          <w:color w:val="000000"/>
          <w:sz w:val="22"/>
        </w:rPr>
        <w:t xml:space="preserve">. Provider will, at its own cost, obtain and maintain throughout the Term and for a period of not less than [***] following the termination or expiration of this Agreement, insurance coverage in amounts appropriate for its activities and obligations under this Agreement, which will include (a) comprehensive general liability insurance (including bodily injury and property damage) with minimum policy limits of liability of no less than [***] per occurrence and [***] in the annual aggregate and (b) workers’ compensation insurance as required by Laws, each with a reputable insurer rated A- or better by A.M. Best. Provider will provide to Senti a certificate of insurance substantiating the existence of the insurance required by this provision within [***] following receipt of any written request therefor by Senti. Provider will provide Senti with written notice at least [***] prior to the cancellation or non-renewal of, or material change in, such insurance.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14.2.2.    </w:t>
      </w:r>
      <w:r>
        <w:rPr>
          <w:rFonts w:ascii="Times New Roman;sans-serif" w:hAnsi="Times New Roman;sans-serif"/>
          <w:b w:val="false"/>
          <w:color w:val="000000"/>
          <w:sz w:val="22"/>
          <w:u w:val="single"/>
        </w:rPr>
        <w:t>Senti Insurance</w:t>
      </w:r>
      <w:r>
        <w:rPr>
          <w:rFonts w:ascii="Times New Roman;sans-serif" w:hAnsi="Times New Roman;sans-serif"/>
          <w:b w:val="false"/>
          <w:color w:val="000000"/>
          <w:sz w:val="22"/>
        </w:rPr>
        <w:t xml:space="preserve">. Senti will, at its own cost, obtain and maintain throughout the Term and for a period of not less than [***] following the termination or expiration of this Agreement, insurance coverage in amounts appropriate for its business and the activities, obligations and products of the type to be developed and manufactured under this Agreement, which will include (a) comprehensive general liability insurance with minimum policy limits of liability of no less than [***] per occurrence and [***] annual aggregate, (b) prior to commencement of any clinical trial with a Product or Senti Product, product liability insurance of at least [***] and (c) worker’s compensation as required by Laws, with insurers rated A- or better by A.M. Best. Provider will be an additional insured on such policy. Senti will provide to Provider a certificate of insurance substantiating the existence of the insurance and additional insured endorsement(s) required by this provision within [***] following the receipt of any request therefor by Provider. Senti will provide Provider with written notice at least [***] prior to the cancellation or non-renewal of, or material change in, such insurance.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14.2.3.    </w:t>
      </w:r>
      <w:r>
        <w:rPr>
          <w:rFonts w:ascii="Times New Roman;sans-serif" w:hAnsi="Times New Roman;sans-serif"/>
          <w:b w:val="false"/>
          <w:color w:val="000000"/>
          <w:sz w:val="22"/>
          <w:u w:val="single"/>
        </w:rPr>
        <w:t>Effect of Insurance</w:t>
      </w:r>
      <w:r>
        <w:rPr>
          <w:rFonts w:ascii="Times New Roman;sans-serif" w:hAnsi="Times New Roman;sans-serif"/>
          <w:b w:val="false"/>
          <w:color w:val="000000"/>
          <w:sz w:val="22"/>
        </w:rPr>
        <w:t xml:space="preserve">. The insurance policies required to be maintained by the either Party under the provisions of this Agreement will not limit or restrict, or increase, either Party’s liabilities under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346075"/>
                <wp:effectExtent l="0" t="0" r="0" b="0"/>
                <wp:wrapNone/>
                <wp:docPr id="236" name="Frame236"/>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480" w:after="240"/>
        <w:ind w:left="0" w:right="0" w:hanging="360"/>
        <w:jc w:val="both"/>
        <w:rPr/>
      </w:pPr>
      <w:r>
        <w:rPr>
          <w:rFonts w:ascii="Times New Roman;sans-serif" w:hAnsi="Times New Roman;sans-serif"/>
          <w:b/>
          <w:color w:val="000000"/>
          <w:sz w:val="22"/>
        </w:rPr>
        <w:t>15.    </w:t>
      </w:r>
      <w:r>
        <w:rPr>
          <w:rFonts w:ascii="Times New Roman;sans-serif" w:hAnsi="Times New Roman;sans-serif"/>
          <w:b w:val="false"/>
          <w:color w:val="000000"/>
          <w:sz w:val="22"/>
        </w:rPr>
        <w:t>TERM AND TERMINATION.</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15.1.    </w:t>
      </w:r>
      <w:r>
        <w:rPr>
          <w:rFonts w:ascii="Times New Roman;sans-serif" w:hAnsi="Times New Roman;sans-serif"/>
          <w:b/>
          <w:color w:val="000000"/>
          <w:sz w:val="22"/>
        </w:rPr>
        <w:t>Term</w:t>
      </w:r>
      <w:r>
        <w:rPr>
          <w:rFonts w:ascii="Times New Roman;sans-serif" w:hAnsi="Times New Roman;sans-serif"/>
          <w:b w:val="false"/>
          <w:color w:val="000000"/>
          <w:sz w:val="22"/>
        </w:rPr>
        <w:t>. This Agreement will commence on the Effective Date and will continue until [***] (“</w:t>
      </w:r>
      <w:r>
        <w:rPr>
          <w:rFonts w:ascii="Times New Roman;sans-serif" w:hAnsi="Times New Roman;sans-serif"/>
          <w:b/>
          <w:color w:val="000000"/>
          <w:sz w:val="22"/>
        </w:rPr>
        <w:t>Term</w:t>
      </w:r>
      <w:r>
        <w:rPr>
          <w:color w:val="000000"/>
        </w:rPr>
        <w:t>”</w:t>
      </w:r>
      <w:r>
        <w:rPr>
          <w:rFonts w:ascii="Times New Roman;sans-serif" w:hAnsi="Times New Roman;sans-serif"/>
          <w:b w:val="false"/>
          <w:color w:val="000000"/>
          <w:sz w:val="22"/>
        </w:rPr>
        <w:t xml:space="preserve">); provided, that if a Statement of Work is ongoing at the end of the Term, this Agreement shall continue in full force and effect, solely with respect to such then-effective Statement of Work, until the completion of the Services and the Parties’ other obligations under such Statement of Work, or the termination of such Statement of Work pursuant to Section 15.2 (Termination).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15.2.    </w:t>
      </w:r>
      <w:r>
        <w:rPr>
          <w:rFonts w:ascii="Times New Roman;sans-serif" w:hAnsi="Times New Roman;sans-serif"/>
          <w:b/>
          <w:color w:val="000000"/>
          <w:sz w:val="22"/>
        </w:rPr>
        <w:t>Termination</w:t>
      </w:r>
      <w:r>
        <w:rPr>
          <w:rFonts w:ascii="Times New Roman;sans-serif" w:hAnsi="Times New Roman;sans-serif"/>
          <w:b w:val="false"/>
          <w:color w:val="000000"/>
          <w:sz w:val="22"/>
        </w:rPr>
        <w:t>.</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15.2.1.    </w:t>
      </w:r>
      <w:r>
        <w:rPr>
          <w:rFonts w:ascii="Times New Roman;sans-serif" w:hAnsi="Times New Roman;sans-serif"/>
          <w:b w:val="false"/>
          <w:color w:val="000000"/>
          <w:sz w:val="22"/>
          <w:u w:val="single"/>
        </w:rPr>
        <w:t>For Cause</w:t>
      </w:r>
      <w:r>
        <w:rPr>
          <w:rFonts w:ascii="Times New Roman;sans-serif" w:hAnsi="Times New Roman;sans-serif"/>
          <w:b w:val="false"/>
          <w:color w:val="000000"/>
          <w:sz w:val="22"/>
        </w:rPr>
        <w:t xml:space="preserve">. This Agreement (including all SoWs hereunder) or the relevant Statement of Work may be terminated by either Party in its sole discretion immediately upon written notice to the other Party, if such other Party or its Affiliate, as applicable, has breached any payment obligation of or has otherwise materially breached this Agreement, or such Statement of Work and failed to remedy such material breach within [***] following receipt of a written notice of such material breach from the non-breaching Party.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15.2.2.    </w:t>
      </w:r>
      <w:r>
        <w:rPr>
          <w:rFonts w:ascii="Times New Roman;sans-serif" w:hAnsi="Times New Roman;sans-serif"/>
          <w:b w:val="false"/>
          <w:color w:val="000000"/>
          <w:sz w:val="22"/>
          <w:u w:val="single"/>
        </w:rPr>
        <w:t>For Insolvency/Bankruptcy</w:t>
      </w:r>
      <w:r>
        <w:rPr>
          <w:rFonts w:ascii="Times New Roman;sans-serif" w:hAnsi="Times New Roman;sans-serif"/>
          <w:b w:val="false"/>
          <w:color w:val="000000"/>
          <w:sz w:val="22"/>
        </w:rPr>
        <w:t xml:space="preserve">. This Agreement (including all Statements of Work) may be terminated by a Party immediately upon written notice to the other Party: (a) upon the appointment of a receiver or custodian to take possession of any or all of the assets of such other Party; (b) upon such other Party making an assignment for the benefit of creditors; (c) if an attachment, execution or other judicial seizure of all or a portion of such other Party’s assets is not discharged within [***]; or (d) if such Party becomes a debtor, either voluntarily or involuntarily, under Title 11 of the United States Code or any other similar law and, in the case of an involuntary proceeding, such proceeding is not dismissed within [***] of the date of filing.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15.2.3.    </w:t>
      </w:r>
      <w:r>
        <w:rPr>
          <w:rFonts w:ascii="Times New Roman;sans-serif" w:hAnsi="Times New Roman;sans-serif"/>
          <w:b w:val="false"/>
          <w:color w:val="000000"/>
          <w:sz w:val="22"/>
          <w:u w:val="single"/>
        </w:rPr>
        <w:t>For Technical Issues</w:t>
      </w:r>
      <w:r>
        <w:rPr>
          <w:rFonts w:ascii="Times New Roman;sans-serif" w:hAnsi="Times New Roman;sans-serif"/>
          <w:b w:val="false"/>
          <w:color w:val="000000"/>
          <w:sz w:val="22"/>
        </w:rPr>
        <w:t>. If an Unforeseen Technical Factor occurs and either Party reasonably believes that Provider will be unable to complete the Services under one or more Statements of Work due to such Unforeseen Technical Factor, such Party shall inform the JPT of such Unforeseen Technical Factor. The JPT shall promptly discuss the Unforeseen Technical Factor in good faith to reach a mutually agreed resolution. If the JPT is unable to reach a consensus, the JPT shall escalate the Unforeseen Technical Factor to the JSC. If the JSC is unable to reach a consensus within [***] after such matter was brought to the JSC for resolution, then the Parties shall escalate the Unforeseen Technical Factor to the Executive Officers. If the Executive Officers are unable to reach a resolution of the Unforeseen Technical Factor within [***], such affected Statement(s) of Work may be terminated by either Party immediately upon written notice to the other Party. “</w:t>
      </w:r>
      <w:r>
        <w:rPr>
          <w:rFonts w:ascii="Times New Roman;sans-serif" w:hAnsi="Times New Roman;sans-serif"/>
          <w:b/>
          <w:color w:val="000000"/>
          <w:sz w:val="22"/>
        </w:rPr>
        <w:t>Unforeseen Technical Factor</w:t>
      </w:r>
      <w:r>
        <w:rPr>
          <w:color w:val="000000"/>
        </w:rPr>
        <w:t xml:space="preserve">” </w:t>
      </w:r>
      <w:r>
        <w:rPr>
          <w:rFonts w:ascii="Times New Roman;sans-serif" w:hAnsi="Times New Roman;sans-serif"/>
          <w:b w:val="false"/>
          <w:color w:val="000000"/>
          <w:sz w:val="22"/>
        </w:rPr>
        <w:t xml:space="preserve">means a technical or scientific event or circumstance (not caused by a breach of Provider of this Agreement) which materially and adversely affects, or is likely to materially or adversely affect, Provider’s performance of the Services under one or more Statements of Work.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15.2.4.    </w:t>
      </w:r>
      <w:r>
        <w:rPr>
          <w:rFonts w:ascii="Times New Roman;sans-serif" w:hAnsi="Times New Roman;sans-serif"/>
          <w:b w:val="false"/>
          <w:color w:val="000000"/>
          <w:sz w:val="22"/>
          <w:u w:val="single"/>
        </w:rPr>
        <w:t>For Impasse</w:t>
      </w:r>
      <w:r>
        <w:rPr>
          <w:rFonts w:ascii="Times New Roman;sans-serif" w:hAnsi="Times New Roman;sans-serif"/>
          <w:b w:val="false"/>
          <w:color w:val="000000"/>
          <w:sz w:val="22"/>
        </w:rPr>
        <w:t>. Either Party may terminate a Statement of Work pursuant to Section 5.7.5 (Impasse).</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15.2.5.    </w:t>
      </w:r>
      <w:r>
        <w:rPr>
          <w:rFonts w:ascii="Times New Roman;sans-serif" w:hAnsi="Times New Roman;sans-serif"/>
          <w:b w:val="false"/>
          <w:color w:val="000000"/>
          <w:sz w:val="22"/>
          <w:u w:val="single"/>
        </w:rPr>
        <w:t>For Catastrophic Failure</w:t>
      </w:r>
      <w:r>
        <w:rPr>
          <w:rFonts w:ascii="Times New Roman;sans-serif" w:hAnsi="Times New Roman;sans-serif"/>
          <w:b w:val="false"/>
          <w:color w:val="000000"/>
          <w:sz w:val="22"/>
        </w:rPr>
        <w:t>. In the event it becomes impracticable or impossible for Provider to perform any of the In-Scope Activities for a continuous period of [***], and [***], then either Party may terminate this Agreement forthwith upon written notice to the other Party. Provider shall [***], and [***] within [***] after termination of this Agreement in accordance with this Section 15.2.5 (Termination; For Catastrophic Failure).</w:t>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346075"/>
                <wp:effectExtent l="0" t="0" r="0" b="0"/>
                <wp:wrapNone/>
                <wp:docPr id="237" name="Frame237"/>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15.2.6.    </w:t>
      </w:r>
      <w:r>
        <w:rPr>
          <w:rFonts w:ascii="Times New Roman;sans-serif" w:hAnsi="Times New Roman;sans-serif"/>
          <w:b w:val="false"/>
          <w:color w:val="000000"/>
          <w:sz w:val="22"/>
          <w:u w:val="single"/>
        </w:rPr>
        <w:t>Mutual Termination</w:t>
      </w:r>
      <w:r>
        <w:rPr>
          <w:rFonts w:ascii="Times New Roman;sans-serif" w:hAnsi="Times New Roman;sans-serif"/>
          <w:b w:val="false"/>
          <w:color w:val="000000"/>
          <w:sz w:val="22"/>
        </w:rPr>
        <w:t>. This Agreement and/or any or all Statements of Work may be terminated by the Parties’ mutual written agreement.</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15.2.7.    </w:t>
      </w:r>
      <w:r>
        <w:rPr>
          <w:rFonts w:ascii="Times New Roman;sans-serif" w:hAnsi="Times New Roman;sans-serif"/>
          <w:b w:val="false"/>
          <w:color w:val="000000"/>
          <w:sz w:val="22"/>
          <w:u w:val="single"/>
        </w:rPr>
        <w:t>For Deferred Consideration</w:t>
      </w:r>
      <w:r>
        <w:rPr>
          <w:rFonts w:ascii="Times New Roman;sans-serif" w:hAnsi="Times New Roman;sans-serif"/>
          <w:b w:val="false"/>
          <w:color w:val="000000"/>
          <w:sz w:val="22"/>
        </w:rPr>
        <w:t>. In the event that Provider fails to make any payment of Deferred Consideration (as defined in the Framework Agreement) to Senti when such payment becomes due and payable on the date that occurs on the later of (x) [***] and (y) [***] Senti shall have the right, but not the obligation, to terminate (i) this Agreement or (ii) the [***] and Sections 2.4 [***] and 2.6 (Change of Control) of this Agreement.</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15.3.    </w:t>
      </w:r>
      <w:r>
        <w:rPr>
          <w:rFonts w:ascii="Times New Roman;sans-serif" w:hAnsi="Times New Roman;sans-serif"/>
          <w:b/>
          <w:color w:val="000000"/>
          <w:sz w:val="22"/>
        </w:rPr>
        <w:t>Effect of Termination</w:t>
      </w:r>
      <w:r>
        <w:rPr>
          <w:rFonts w:ascii="Times New Roman;sans-serif" w:hAnsi="Times New Roman;sans-serif"/>
          <w:b w:val="false"/>
          <w:color w:val="000000"/>
          <w:sz w:val="22"/>
        </w:rPr>
        <w:t xml:space="preserve">. In the event of expiration or termination of this Agreement or any Statement of Work: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15.3.1.    </w:t>
      </w:r>
      <w:r>
        <w:rPr>
          <w:rFonts w:ascii="Times New Roman;sans-serif" w:hAnsi="Times New Roman;sans-serif"/>
          <w:b w:val="false"/>
          <w:color w:val="000000"/>
          <w:sz w:val="22"/>
          <w:u w:val="single"/>
        </w:rPr>
        <w:t>Close-Out Activities</w:t>
      </w:r>
      <w:r>
        <w:rPr>
          <w:rFonts w:ascii="Times New Roman;sans-serif" w:hAnsi="Times New Roman;sans-serif"/>
          <w:b w:val="false"/>
          <w:color w:val="000000"/>
          <w:sz w:val="22"/>
        </w:rPr>
        <w:t>. Provider will promptly cease and refrain from performing any additional Services described in any applicable Statement(s) of Work (including the Manufacturing and supplying of Product) unless otherwise mutually agreed in writing by the Parties and will perform only those services and activities as are necessary or advisable in connection with the close-out of the applicable Statement(s) of Work. Provider will utilize Commercially Reasonable Efforts to mitigate the Out-of-Pocket Costs incurred in connection therewith.</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15.3.2.    </w:t>
      </w:r>
      <w:r>
        <w:rPr>
          <w:rFonts w:ascii="Times New Roman;sans-serif" w:hAnsi="Times New Roman;sans-serif"/>
          <w:b w:val="false"/>
          <w:color w:val="000000"/>
          <w:sz w:val="22"/>
          <w:u w:val="single"/>
        </w:rPr>
        <w:t>Payment on Termination</w:t>
      </w:r>
      <w:r>
        <w:rPr>
          <w:rFonts w:ascii="Times New Roman;sans-serif" w:hAnsi="Times New Roman;sans-serif"/>
          <w:b w:val="false"/>
          <w:color w:val="000000"/>
          <w:sz w:val="22"/>
        </w:rPr>
        <w:t>. Subject to Section 7.1 (Credit) and Section 7.2 (Prepayment), Provider will invoice Senti in respect of (a) Services performed in accordance with the terms and conditions of this Agreement or the applicable Statement of Work up to and including the day of such termination, in full for all completed Services and for partially completed Services a sum calculated on a pro-rata basis having regard to the Service Fee for the partially completed Services (determined in good faith by [***] (b) any non-cancelable Out-of-Pocket Costs incurred by Provider on behalf of Senti pursuant to this Agreement or the applicable Statement of Work that Provider is unable, using Commercially Reasonable Efforts, to allocate to existing work for another customer, and (c) any reasonable costs of close-out activities or other amounts owing to Provider under the terms of this Agreement. All such undisputed amounts due to Provider are due and payable within [***] of receipt by Senti of such invoice. Any disputes relating to such amounts shall be resolved in the same manner as set out in Section 7.6 (Payments and Payment Terms). For clarity, unless the termination is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15.3.3.    </w:t>
      </w:r>
      <w:r>
        <w:rPr>
          <w:rFonts w:ascii="Times New Roman;sans-serif" w:hAnsi="Times New Roman;sans-serif"/>
          <w:b w:val="false"/>
          <w:color w:val="000000"/>
          <w:sz w:val="22"/>
          <w:u w:val="single"/>
        </w:rPr>
        <w:t>Cancellation Fees</w:t>
      </w:r>
      <w:r>
        <w:rPr>
          <w:rFonts w:ascii="Times New Roman;sans-serif" w:hAnsi="Times New Roman;sans-serif"/>
          <w:b w:val="false"/>
          <w:color w:val="000000"/>
          <w:sz w:val="22"/>
        </w:rPr>
        <w:t>. If this Agreement or any Statement of Work is terminated by Provider pursuant to Section 15.2.1 (Termination; For Cause), then, in addition to amounts payable under Section 15.3.2 (Payment on Termination), Senti will also be responsible for Cancellation Fees, as applicable, to the extent not included in the amounts payable under Section 15.3.2 (Payment on Termination). For clarity, no Cancellation Fees shall be payable by Senti if this Agreement or any Statement of Work is terminated by Senti pursuant to Section 15.2.1 (Termination; For Cause) or Section 15.2.2 (Termination; For Insolvency/Bankruptcy).</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15.3.4.    </w:t>
      </w:r>
      <w:r>
        <w:rPr>
          <w:rFonts w:ascii="Times New Roman;sans-serif" w:hAnsi="Times New Roman;sans-serif"/>
          <w:b w:val="false"/>
          <w:color w:val="000000"/>
          <w:sz w:val="22"/>
          <w:u w:val="single"/>
        </w:rPr>
        <w:t>Disposition of Product</w:t>
      </w:r>
      <w:r>
        <w:rPr>
          <w:rFonts w:ascii="Times New Roman;sans-serif" w:hAnsi="Times New Roman;sans-serif"/>
          <w:b w:val="false"/>
          <w:color w:val="000000"/>
          <w:sz w:val="22"/>
        </w:rPr>
        <w:t xml:space="preserve">. Provided that Senti has paid all outstanding invoices for Services with respect to a particular Product in full, Provider will, unless prohibited by applicable Laws, within [***] following the date of expiration or termination of this Agreement or the applicable Statement of Work, provide Senti with all inventory of such Product that has not previously been delivered.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15.3.5.    </w:t>
      </w:r>
      <w:r>
        <w:rPr>
          <w:rFonts w:ascii="Times New Roman;sans-serif" w:hAnsi="Times New Roman;sans-serif"/>
          <w:b w:val="false"/>
          <w:color w:val="000000"/>
          <w:sz w:val="22"/>
          <w:u w:val="single"/>
        </w:rPr>
        <w:t>Return of Senti Supplies</w:t>
      </w:r>
      <w:r>
        <w:rPr>
          <w:rFonts w:ascii="Times New Roman;sans-serif" w:hAnsi="Times New Roman;sans-serif"/>
          <w:b w:val="false"/>
          <w:color w:val="000000"/>
          <w:sz w:val="22"/>
        </w:rPr>
        <w:t>. Provider will, within [***] following the expiration or termination of this Agreement or the applicable Statement of Work, make available for pickup by Senti or destroy, at Senti’s request and expense, all Senti Supplies and all Provider-Supplied Materials.</w:t>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346075"/>
                <wp:effectExtent l="0" t="0" r="0" b="0"/>
                <wp:wrapNone/>
                <wp:docPr id="238" name="Frame238"/>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15.3.6.    </w:t>
      </w:r>
      <w:r>
        <w:rPr>
          <w:rFonts w:ascii="Times New Roman;sans-serif" w:hAnsi="Times New Roman;sans-serif"/>
          <w:b w:val="false"/>
          <w:color w:val="000000"/>
          <w:sz w:val="22"/>
          <w:u w:val="single"/>
        </w:rPr>
        <w:t>Without Liability</w:t>
      </w:r>
      <w:r>
        <w:rPr>
          <w:rFonts w:ascii="Times New Roman;sans-serif" w:hAnsi="Times New Roman;sans-serif"/>
          <w:b w:val="false"/>
          <w:color w:val="000000"/>
          <w:sz w:val="22"/>
        </w:rPr>
        <w:t>. Any termination of this Agreement by either Party in accordance with its terms will be without liability to the other Party for any Losses it may suffer as a consequence of such termination.</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15.3.7.    </w:t>
      </w:r>
      <w:r>
        <w:rPr>
          <w:rFonts w:ascii="Times New Roman;sans-serif" w:hAnsi="Times New Roman;sans-serif"/>
          <w:b w:val="false"/>
          <w:color w:val="000000"/>
          <w:sz w:val="22"/>
          <w:u w:val="single"/>
        </w:rPr>
        <w:t>Return of Confidential Information</w:t>
      </w:r>
      <w:r>
        <w:rPr>
          <w:rFonts w:ascii="Times New Roman;sans-serif" w:hAnsi="Times New Roman;sans-serif"/>
          <w:b w:val="false"/>
          <w:color w:val="000000"/>
          <w:sz w:val="22"/>
        </w:rPr>
        <w:t xml:space="preserve">. The Parties will comply with Section 16.5 (Return of Information).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15.3.8.    </w:t>
      </w:r>
      <w:r>
        <w:rPr>
          <w:rFonts w:ascii="Times New Roman;sans-serif" w:hAnsi="Times New Roman;sans-serif"/>
          <w:b w:val="false"/>
          <w:color w:val="000000"/>
          <w:sz w:val="22"/>
          <w:u w:val="single"/>
        </w:rPr>
        <w:t>Ongoing Stability</w:t>
      </w:r>
      <w:r>
        <w:rPr>
          <w:rFonts w:ascii="Times New Roman;sans-serif" w:hAnsi="Times New Roman;sans-serif"/>
          <w:b w:val="false"/>
          <w:color w:val="000000"/>
          <w:sz w:val="22"/>
        </w:rPr>
        <w:t>. Unless this Agreement and/or the relevant SoW is terminated by Provider pursuant to Section 15.2.1 (Termination; For cause) (in which case clause (b) below shall apply), at Senti’s election, Provider will either (a) continue to perform any ongoing stability testing in accordance with a SoW (where the terms of such SoW, this Agreement, and the Quality Agreement shall continue as between the Parties with respect to such Services only) or (b) ship the stability samples to Senti (or its designee) at Senti’s sole cost.</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15.4.    </w:t>
      </w:r>
      <w:r>
        <w:rPr>
          <w:rFonts w:ascii="Times New Roman;sans-serif" w:hAnsi="Times New Roman;sans-serif"/>
          <w:b/>
          <w:color w:val="000000"/>
          <w:sz w:val="22"/>
        </w:rPr>
        <w:t>Survival</w:t>
      </w:r>
      <w:r>
        <w:rPr>
          <w:rFonts w:ascii="Times New Roman;sans-serif" w:hAnsi="Times New Roman;sans-serif"/>
          <w:b w:val="false"/>
          <w:color w:val="000000"/>
          <w:sz w:val="22"/>
        </w:rPr>
        <w:t xml:space="preserve">. Upon expiration or termination of this Agreement for any reason, the rights and obligations of the Parties under this Agreement will terminate; </w:t>
      </w:r>
      <w:r>
        <w:rPr>
          <w:rFonts w:ascii="Times New Roman;sans-serif" w:hAnsi="Times New Roman;sans-serif"/>
          <w:b w:val="false"/>
          <w:i/>
          <w:color w:val="000000"/>
          <w:sz w:val="22"/>
        </w:rPr>
        <w:t xml:space="preserve">provided, </w:t>
      </w:r>
      <w:r>
        <w:rPr>
          <w:rFonts w:ascii="Times New Roman;sans-serif" w:hAnsi="Times New Roman;sans-serif"/>
          <w:b w:val="false"/>
          <w:color w:val="000000"/>
          <w:sz w:val="22"/>
        </w:rPr>
        <w:t>that such expiration or termination will not release either Party from any liability that already had accrued prior to the effective date of expiration or termination nor from any liability, obligation, or agreement that survives such expiration or termination pursuant to the provisions of this Agreement. [***].</w:t>
      </w:r>
    </w:p>
    <w:p>
      <w:pPr>
        <w:pStyle w:val="TextBody"/>
        <w:bidi w:val="0"/>
        <w:spacing w:lineRule="auto" w:line="240" w:before="480" w:after="240"/>
        <w:ind w:left="0" w:right="0" w:hanging="360"/>
        <w:jc w:val="both"/>
        <w:rPr/>
      </w:pPr>
      <w:r>
        <w:rPr>
          <w:rFonts w:ascii="Times New Roman;sans-serif" w:hAnsi="Times New Roman;sans-serif"/>
          <w:b/>
          <w:color w:val="000000"/>
          <w:sz w:val="22"/>
        </w:rPr>
        <w:t>16.    </w:t>
      </w:r>
      <w:r>
        <w:rPr>
          <w:rFonts w:ascii="Times New Roman;sans-serif" w:hAnsi="Times New Roman;sans-serif"/>
          <w:b w:val="false"/>
          <w:color w:val="000000"/>
          <w:sz w:val="22"/>
        </w:rPr>
        <w:t>CONFIDENTIALITY.</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16.1.    </w:t>
      </w:r>
      <w:r>
        <w:rPr>
          <w:rFonts w:ascii="Times New Roman;sans-serif" w:hAnsi="Times New Roman;sans-serif"/>
          <w:b/>
          <w:color w:val="000000"/>
          <w:sz w:val="22"/>
        </w:rPr>
        <w:t>Scope of Confidential Information</w:t>
      </w:r>
      <w:r>
        <w:rPr>
          <w:rFonts w:ascii="Times New Roman;sans-serif" w:hAnsi="Times New Roman;sans-serif"/>
          <w:b w:val="false"/>
          <w:color w:val="000000"/>
          <w:sz w:val="22"/>
        </w:rPr>
        <w:t>. Subject to Section 16.4 (Ownership of Confidential Information), “</w:t>
      </w:r>
      <w:r>
        <w:rPr>
          <w:rFonts w:ascii="Times New Roman;sans-serif" w:hAnsi="Times New Roman;sans-serif"/>
          <w:b/>
          <w:color w:val="000000"/>
          <w:sz w:val="22"/>
        </w:rPr>
        <w:t>Confidential Information</w:t>
      </w:r>
      <w:r>
        <w:rPr>
          <w:color w:val="000000"/>
        </w:rPr>
        <w:t xml:space="preserve">” </w:t>
      </w:r>
      <w:r>
        <w:rPr>
          <w:rFonts w:ascii="Times New Roman;sans-serif" w:hAnsi="Times New Roman;sans-serif"/>
          <w:b w:val="false"/>
          <w:color w:val="000000"/>
          <w:sz w:val="22"/>
        </w:rPr>
        <w:t>means any and all information (a) disclosed by or on behalf of a Party (the “</w:t>
      </w:r>
      <w:r>
        <w:rPr>
          <w:rFonts w:ascii="Times New Roman;sans-serif" w:hAnsi="Times New Roman;sans-serif"/>
          <w:b/>
          <w:color w:val="000000"/>
          <w:sz w:val="22"/>
        </w:rPr>
        <w:t>Disclosing Party</w:t>
      </w:r>
      <w:r>
        <w:rPr>
          <w:color w:val="000000"/>
        </w:rPr>
        <w:t>”</w:t>
      </w:r>
      <w:r>
        <w:rPr>
          <w:rFonts w:ascii="Times New Roman;sans-serif" w:hAnsi="Times New Roman;sans-serif"/>
          <w:b w:val="false"/>
          <w:color w:val="000000"/>
          <w:sz w:val="22"/>
        </w:rPr>
        <w:t>) to the other Party (the “</w:t>
      </w:r>
      <w:r>
        <w:rPr>
          <w:rFonts w:ascii="Times New Roman;sans-serif" w:hAnsi="Times New Roman;sans-serif"/>
          <w:b/>
          <w:color w:val="000000"/>
          <w:sz w:val="22"/>
        </w:rPr>
        <w:t>Receiving Party</w:t>
      </w:r>
      <w:r>
        <w:rPr>
          <w:color w:val="000000"/>
        </w:rPr>
        <w:t>”</w:t>
      </w:r>
      <w:r>
        <w:rPr>
          <w:rFonts w:ascii="Times New Roman;sans-serif" w:hAnsi="Times New Roman;sans-serif"/>
          <w:b w:val="false"/>
          <w:color w:val="000000"/>
          <w:sz w:val="22"/>
        </w:rPr>
        <w:t xml:space="preserve">) or any of its Representatives hereunder or (b) created in the performance of Services; in each case (i) whether tangible or intangible, (ii) whether written, electronic, oral, visual (e.g., obtained by observation at a site visit) or in any other form or medium and (iii) whether or not marked with a legend such as “Confidential” or “Proprietary”. For the avoidance of doubt, the term “Confidential Information” shall be construed as “the Disclosing Party’s Confidential Information.”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16.1.1.    </w:t>
      </w:r>
      <w:r>
        <w:rPr>
          <w:rFonts w:ascii="Times New Roman;sans-serif" w:hAnsi="Times New Roman;sans-serif"/>
          <w:b w:val="false"/>
          <w:color w:val="000000"/>
          <w:sz w:val="22"/>
          <w:u w:val="single"/>
        </w:rPr>
        <w:t>Inclusions</w:t>
      </w:r>
      <w:r>
        <w:rPr>
          <w:rFonts w:ascii="Times New Roman;sans-serif" w:hAnsi="Times New Roman;sans-serif"/>
          <w:b w:val="false"/>
          <w:color w:val="000000"/>
          <w:sz w:val="22"/>
        </w:rPr>
        <w:t>. Confidential Information includes (a) in the case of Senti as the Disclosing Party, all information that is specific to one or more Products and Senti Inventions, (b) in the case of Provider as the Disclosing party, all Provider Inventions and Provider IP, (c) the Disclosing Party’s plans and pricing, product costs, finances, marketing plans, business opportunities, research and development activities, technical and scientific information, data, specifications, formulae, models, processes, business strategies, customer and vendor information, and non-public Intellectual Property (e.g., know-how and trade secrets), (d) the existence and terms of this Agreement (with both Parties being deemed the Receiving Party with respect thereto), and (e) without prejudice to clauses (a) and (b) above, any copies, summaries and other analyses of other Confidential Information prepared by or for the Receiving Party or any of its Representatives.</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16.1.2.    </w:t>
      </w:r>
      <w:r>
        <w:rPr>
          <w:rFonts w:ascii="Times New Roman;sans-serif" w:hAnsi="Times New Roman;sans-serif"/>
          <w:b w:val="false"/>
          <w:color w:val="000000"/>
          <w:sz w:val="22"/>
          <w:u w:val="single"/>
        </w:rPr>
        <w:t>Exclusions</w:t>
      </w:r>
      <w:r>
        <w:rPr>
          <w:rFonts w:ascii="Times New Roman;sans-serif" w:hAnsi="Times New Roman;sans-serif"/>
          <w:b w:val="false"/>
          <w:color w:val="000000"/>
          <w:sz w:val="22"/>
        </w:rPr>
        <w:t>. Confidential Information excludes information that the Receiving Party can prove by competent evidence:</w:t>
      </w:r>
    </w:p>
    <w:p>
      <w:pPr>
        <w:pStyle w:val="TextBody"/>
        <w:bidi w:val="0"/>
        <w:spacing w:lineRule="auto" w:line="240" w:before="24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    is or hereafter becomes part of the public domain by public use, publication or general knowledge through no breach of this Section 16 (Confidentiality) by the Receiving Party or any of its Representatives;</w:t>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346075"/>
                <wp:effectExtent l="0" t="0" r="0" b="0"/>
                <wp:wrapNone/>
                <wp:docPr id="239" name="Frame239"/>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was already in the possession of the Receiving Party or any of its Affiliates at the time of disclosure hereunder and not subject to existing confidentiality obligations; provided that the exception set forth in this Section 16.1.2(b) shall not apply to Provider as the deemed Receiving Party with respect to items created in the performance of the Services deemed to be Confidential Information of Senti; </w:t>
      </w:r>
    </w:p>
    <w:p>
      <w:pPr>
        <w:pStyle w:val="TextBody"/>
        <w:bidi w:val="0"/>
        <w:spacing w:lineRule="auto" w:line="240" w:before="24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    was received by the Receiving Party or any of its Affiliates from a Third Party lawfully in possession thereof without restriction on disclosure or use and without breach of any obligation of confidentiality owed to the Disclosing Party; or</w:t>
      </w:r>
    </w:p>
    <w:p>
      <w:pPr>
        <w:pStyle w:val="TextBody"/>
        <w:bidi w:val="0"/>
        <w:spacing w:lineRule="auto" w:line="240" w:before="24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(d)    is independently discovered or developed by the Receiving Party or any of its Representatives outside of the scope of the activities under this Agreement and without reference to or reliance on any Confidential Information.</w:t>
      </w:r>
    </w:p>
    <w:p>
      <w:pPr>
        <w:pStyle w:val="TextBody"/>
        <w:bidi w:val="0"/>
        <w:spacing w:lineRule="auto" w:line="240"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For the avoidance of doubt, Confidential Information shall not be deemed to be in the public domain or in the prior possession of a Person where it is merely embraced by or contained in more general information that is in the public domain or in such Person’s possession. Any combination of features or disclosures shall not be deemed to fall within the foregoing exclusions merely because individual features are published or available to the general public or in the rightful possession of the Receiving Party unless the combination itself and principle of operation are published or available to the general public or in the rightful possession of the Receiving Party.</w:t>
      </w:r>
    </w:p>
    <w:p>
      <w:pPr>
        <w:pStyle w:val="TextBody"/>
        <w:bidi w:val="0"/>
        <w:spacing w:before="120" w:after="283"/>
        <w:jc w:val="both"/>
        <w:rPr/>
      </w:pPr>
      <w:r>
        <w:rPr/>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16.2.    </w:t>
      </w:r>
      <w:r>
        <w:rPr>
          <w:rFonts w:ascii="Times New Roman;sans-serif" w:hAnsi="Times New Roman;sans-serif"/>
          <w:b/>
          <w:color w:val="000000"/>
          <w:sz w:val="22"/>
        </w:rPr>
        <w:t>Confidentiality and Non-Use</w:t>
      </w:r>
      <w:r>
        <w:rPr>
          <w:rFonts w:ascii="Times New Roman;sans-serif" w:hAnsi="Times New Roman;sans-serif"/>
          <w:b w:val="false"/>
          <w:color w:val="000000"/>
          <w:sz w:val="22"/>
        </w:rPr>
        <w:t xml:space="preserve">. The Receiving Party will, during the Term and for a period of [***] thereafter, keep confidential and not use, directly or indirectly, for any purpose other than performing its obligations or exercising its rights or as expressly permitted under this Agreement, or publish or otherwise disclose or provide to any Third Party, any Confidential Information, except as expressly permitted by this Section 16 (Confidentiality);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for Confidential Information that is a trade secret under Laws and identified as such by the Disclosing Party, such obligations shall survive until such Confidential Information is no longer a trade secret. Further, the Receiving Party shall (a) protect Confidential Information with the same degree of care that it uses to protect its own confidential information of a similar nature, but no less than a reasonable degree of care, (b) comply with all Laws relating to Confidential Information, including in respect of data privacy and the export of information outside of national borders, (c) not remove or obscure any copyright or trademark notice, proprietary legend, indication of confidentiality or other restrictive notation on any Confidential Information, and (d) promptly notify the Disclosing Party of any actual or suspected disclosure, use or loss of Confidential Information in contravention of this Agreement, including a description of the circumstances, persons and entities involved, steps taken to mitigate resulting damage, and steps taken to prevent any further such disclosure, use or loss. This Section 16.2 (Confidentiality and Non-Use) shall not apply to any Confidential Information that Provider receives under the terms of the License Agreement or Framework Agreement.</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16.3.    </w:t>
      </w:r>
      <w:r>
        <w:rPr>
          <w:rFonts w:ascii="Times New Roman;sans-serif" w:hAnsi="Times New Roman;sans-serif"/>
          <w:b/>
          <w:color w:val="000000"/>
          <w:sz w:val="22"/>
        </w:rPr>
        <w:t>Permitted Disclosures</w:t>
      </w:r>
      <w:r>
        <w:rPr>
          <w:rFonts w:ascii="Times New Roman;sans-serif" w:hAnsi="Times New Roman;sans-serif"/>
          <w:b w:val="false"/>
          <w:color w:val="000000"/>
          <w:sz w:val="22"/>
        </w:rPr>
        <w:t xml:space="preserve">. The Receiving Party may disclose Confidential Information as follows: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 xml:space="preserve">16.3.1.    to those of its Representatives and professional advisors (including accountants and lawyers) who (a) are bound by written obligations (or professional or ethical duties) of confidentiality and non-use no less stringent than the terms contained in this Section 16 (Confidentiality),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with respect to Third Party </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346075"/>
                <wp:effectExtent l="0" t="0" r="0" b="0"/>
                <wp:wrapNone/>
                <wp:docPr id="240" name="Frame240"/>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subcontractors and professional advisors, the duration of the confidentiality term may be shorter than that set forth herein if such shorter term is consistent with industry standards, (b) have a definitive need to know such Confidential Information in connection with the Receiving Party’s performance of its obligations or exercise of its rights hereunder and (c) have been advised of the Receiving Party’s obligations under this Section 16 (Confidentiality); </w:t>
      </w:r>
      <w:r>
        <w:rPr>
          <w:rFonts w:ascii="Times New Roman;sans-serif" w:hAnsi="Times New Roman;sans-serif"/>
          <w:b w:val="false"/>
          <w:i/>
          <w:color w:val="000000"/>
          <w:sz w:val="22"/>
        </w:rPr>
        <w:t>provided</w:t>
      </w:r>
      <w:r>
        <w:rPr>
          <w:rFonts w:ascii="Times New Roman;sans-serif" w:hAnsi="Times New Roman;sans-serif"/>
          <w:b w:val="false"/>
          <w:color w:val="000000"/>
          <w:sz w:val="22"/>
        </w:rPr>
        <w:t>, that the Receiving Party shall be liable for any breach of this Section 16 (Confidentiality) caused by any of its Representatives or professional advisors (or any act or omission that would be a breach if such Representative or professional advisors was a party hereto);</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16.3.2.    with respect to the existence and terms of this Agreement only, to its current or prospective bona fide investors, underwriters, lenders, insurers, brokers, partners, licensees or acquirers and their legal counsel and other professional advisors as part of their due diligence investigations who are (a) informed of the confidential nature of such information and (b) bound by written obligations (or professional or ethical duties) of confidentiality and non-use at least as protective of Confidential Information as the terms of this Section 16 (Confidentiality) (except of shorter duration if customary for the context of such disclosure); </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16.3.3.    in the case of Senti as the Receiving Party, to Regulatory Authorities as reasonably necessary to obtain and maintain Regulatory Approvals and to comply with Senti’s or its Affiliates’ obligations under Laws as the sponsor of any regulatory filing or with respect to any clinical trial conducted by or on behalf of Senti, and to Third Parties in connection with Senti’s exercise of its rights hereunder or development of Products or Senti Products, provided that such Third Parties are bound by written obligations of confidentiality and non-use no less stringent than the terms contained in this Section 16 (Confidentiality), and to [***]; and</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 xml:space="preserve">16.3.4.    directly in response to a valid order of a court of competent jurisdiction or other Governmental Entity having competent jurisdiction and to the extent required by Laws or by the listing standards, agreements, rules or regulations of the United States Securities and Exchange Commission or similar regulatory authority in a country other than the United States or of any stock exchange or listing entity on which any securities of the Receiving Party or any of its Affiliates are listed; </w:t>
      </w:r>
      <w:r>
        <w:rPr>
          <w:rFonts w:ascii="Times New Roman;sans-serif" w:hAnsi="Times New Roman;sans-serif"/>
          <w:b w:val="false"/>
          <w:i/>
          <w:color w:val="000000"/>
          <w:sz w:val="22"/>
        </w:rPr>
        <w:t>provided</w:t>
      </w:r>
      <w:r>
        <w:rPr>
          <w:rFonts w:ascii="Times New Roman;sans-serif" w:hAnsi="Times New Roman;sans-serif"/>
          <w:b w:val="false"/>
          <w:color w:val="000000"/>
          <w:sz w:val="22"/>
        </w:rPr>
        <w:t xml:space="preserve">, that the Receiving Party will (a) first give the Disclosing Party written notice of such order or requirements and any respective timing constraints to the extent legally permissible, (b) at the Disclosing Party’s request and expense, reasonably cooperate with the Disclosing Party in any efforts to contest such order or requirement or seek legal protection, including through a protective order and (c) limit the disclosure to only the information reasonably required to be disclosed by such order, standard, rule or agreement. </w:t>
      </w:r>
    </w:p>
    <w:p>
      <w:pPr>
        <w:pStyle w:val="TextBody"/>
        <w:bidi w:val="0"/>
        <w:spacing w:lineRule="auto" w:line="240" w:before="0" w:after="240"/>
        <w:ind w:left="0" w:right="0" w:hanging="864"/>
        <w:jc w:val="both"/>
        <w:rPr>
          <w:rFonts w:ascii="Times New Roman;sans-serif" w:hAnsi="Times New Roman;sans-serif"/>
          <w:b w:val="false"/>
          <w:color w:val="000000"/>
          <w:sz w:val="22"/>
        </w:rPr>
      </w:pPr>
      <w:r>
        <w:rPr>
          <w:rFonts w:ascii="Times New Roman;sans-serif" w:hAnsi="Times New Roman;sans-serif"/>
          <w:b w:val="false"/>
          <w:color w:val="000000"/>
          <w:sz w:val="22"/>
        </w:rPr>
        <w:t>16.3.5.    Notwithstanding this Section 16.3 (Permitted Disclosures), Confidential Information that is permitted or required to be disclosed will remain otherwise subject to the confidentiality and non-use provisions of Section 16.2 (Confidentiality and Non-Use).</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16.4.    </w:t>
      </w:r>
      <w:r>
        <w:rPr>
          <w:rFonts w:ascii="Times New Roman;sans-serif" w:hAnsi="Times New Roman;sans-serif"/>
          <w:b/>
          <w:color w:val="000000"/>
          <w:sz w:val="22"/>
        </w:rPr>
        <w:t>Ownership of Confidential Information</w:t>
      </w:r>
      <w:r>
        <w:rPr>
          <w:rFonts w:ascii="Times New Roman;sans-serif" w:hAnsi="Times New Roman;sans-serif"/>
          <w:b w:val="false"/>
          <w:color w:val="000000"/>
          <w:sz w:val="22"/>
        </w:rPr>
        <w:t xml:space="preserve">. Except as specifically provided in this Agreement, nothing contained in this Agreement will be construed as granting or conferring any rights by license or otherwise in any Confidential Information of the Disclosing Party disclosed to the Receiving Party. All disclosed Confidential Information will remain the property of the Disclosing Party. Notwithstanding the foregoing, Confidential Information created in the performance of Services shall be subject to the allocation of ownership provisions of Section 12 (Intellectual Property Rights), and the Party deemed the owner of Intellectual Property pursuant to such Section shall also be </w:t>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346075"/>
                <wp:effectExtent l="0" t="0" r="0" b="0"/>
                <wp:wrapNone/>
                <wp:docPr id="241" name="Frame241"/>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deemed the Disclosing Party thereof for purposes of this Section 16 (Confidentiality). Accordingly, any Manufacturing Process, Master Batch Records, and Deliverables, but excluding any Provider Operating Documents, Provider IP or Provider Inventions included in any of the foregoing, shall be deemed Senti’s Confidential Information</w:t>
      </w:r>
      <w:r>
        <w:rPr>
          <w:rFonts w:ascii="Times New Roman;sans-serif" w:hAnsi="Times New Roman;sans-serif"/>
          <w:b w:val="false"/>
          <w:i/>
          <w:color w:val="000000"/>
          <w:sz w:val="22"/>
        </w:rPr>
        <w:t>.</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16.5.    </w:t>
      </w:r>
      <w:r>
        <w:rPr>
          <w:rFonts w:ascii="Times New Roman;sans-serif" w:hAnsi="Times New Roman;sans-serif"/>
          <w:b/>
          <w:color w:val="000000"/>
          <w:sz w:val="22"/>
        </w:rPr>
        <w:t>Return of Information</w:t>
      </w:r>
      <w:r>
        <w:rPr>
          <w:rFonts w:ascii="Times New Roman;sans-serif" w:hAnsi="Times New Roman;sans-serif"/>
          <w:b w:val="false"/>
          <w:color w:val="000000"/>
          <w:sz w:val="22"/>
        </w:rPr>
        <w:t>. Upon expiration or termination of this Agreement or any Statement of Work, or upon the Disclosing Party’s earlier written request, the Receiving Party shall immediately cease using all applicable Confidential Information of the other Party (except to the extent it has a surviving right of use thereto) and promptly either, as directed by the Disclosing Party, return it to the Disclosing Party or destroy it (and certify as to such destruction), including all portions of copies, summaries and other analyses. Notwithstanding the foregoing, (a) the Receiving Party may retain a single copy of such Confidential Information in the files of its legal counsel for the sole purpose of ensuring compliance with such Party’s obligations hereunder, (b) the Receiving Party may retain a copy of such Confidential Information to exercise any rights hereunder that survive expiration or termination of this Agreement or as necessary for regulatory compliance or insurance purposes, (c) the Receiving Party is not required to return or destroy any Confidential Information if doing so would violate (or result in the violation of) any Laws, (d) the Receiving Party shall not be required to expunge any minutes or written consents of its board of directors (or equivalent governance body), and (e) to the extent that the Receiving Party’s standard computer back-up or archiving procedures create copies of Confidential Information, the Receiving Party may retain such copies for the period it normally archives backed-up computer records, so long as such copies are not readily accessible and are not used or consulted for any purpose other than disaster recovery. Any Confidential Information retained pursuant to the foregoing sentence shall remain subject to this Section 16 (Confidentiality) until destroyed or no longer deemed Confidential Information based on Section 16.1.2 (Exclusions).</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16.6.    </w:t>
      </w:r>
      <w:r>
        <w:rPr>
          <w:rFonts w:ascii="Times New Roman;sans-serif" w:hAnsi="Times New Roman;sans-serif"/>
          <w:b/>
          <w:color w:val="000000"/>
          <w:sz w:val="22"/>
        </w:rPr>
        <w:t>Injunctive Relief</w:t>
      </w:r>
      <w:r>
        <w:rPr>
          <w:rFonts w:ascii="Times New Roman;sans-serif" w:hAnsi="Times New Roman;sans-serif"/>
          <w:b w:val="false"/>
          <w:color w:val="000000"/>
          <w:sz w:val="22"/>
        </w:rPr>
        <w:t xml:space="preserve">. The Parties acknowledge and agree that, due to the unique nature of the Confidential Information, the breach of this Section 16 (Confidentiality) by the Receiving Party may cause irreparable damage to the Disclosing Party for which monetary damages would be inadequate. Accordingly, the Disclosing Party shall have available to it the right to seek injunctive relief or other remedies in connection with a threatened or actual breach of any of the Receiving Party’s obligations under this Section 16 (Confidentiality), and the Parties waive the requirement of any bond being posted as security in any application for such relief.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16.7.    </w:t>
      </w:r>
      <w:r>
        <w:rPr>
          <w:rFonts w:ascii="Times New Roman;sans-serif" w:hAnsi="Times New Roman;sans-serif"/>
          <w:b/>
          <w:color w:val="000000"/>
          <w:sz w:val="22"/>
        </w:rPr>
        <w:t xml:space="preserve">Public Disclosure. </w:t>
      </w:r>
      <w:r>
        <w:rPr>
          <w:rFonts w:ascii="Times New Roman;sans-serif" w:hAnsi="Times New Roman;sans-serif"/>
          <w:b w:val="false"/>
          <w:color w:val="000000"/>
          <w:sz w:val="22"/>
        </w:rPr>
        <w:t xml:space="preserve">Notwithstanding anything herein to the contrary, each Party hereby agrees with the other Party that no press release or similar public announcement or communication shall, at any time, be made by it or caused to be made by it concerning the execution or performance of this Agreement unless it shall have consulted the other Party in advance with respect thereto and such other Party consents in writing to such release, announcement or communication; </w:t>
      </w:r>
      <w:r>
        <w:rPr>
          <w:rFonts w:ascii="Times New Roman;sans-serif" w:hAnsi="Times New Roman;sans-serif"/>
          <w:b w:val="false"/>
          <w:i/>
          <w:color w:val="000000"/>
          <w:sz w:val="22"/>
        </w:rPr>
        <w:t>provided</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however</w:t>
      </w:r>
      <w:r>
        <w:rPr>
          <w:rFonts w:ascii="Times New Roman;sans-serif" w:hAnsi="Times New Roman;sans-serif"/>
          <w:b w:val="false"/>
          <w:color w:val="000000"/>
          <w:sz w:val="22"/>
        </w:rPr>
        <w:t xml:space="preserve">, the provisions of this Section 16.7 (Public Disclosure) shall not prohibit any such press release or similar public announcement or communication required to comply with the requirements of any Laws or the rules and regulations of each stock exchange upon which the securities of such Party or any of its Affiliates are listed, if any (in which case such Party shall notify the other Party promptly and shall use commercially reasonable efforts to provide the other Party with a copy of the contemplated disclosure prior to submission or release, as the case may be). Neither Party shall be required to obtain the consent of the other Party to publish or disclose any information that has already been publicly disclosed by either Party in accordance with this Section 16.7 (Public Disclosure), provided that such information remains relevant and accurate as of such disclosure. </w:t>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346075"/>
                <wp:effectExtent l="0" t="0" r="0" b="0"/>
                <wp:wrapNone/>
                <wp:docPr id="242" name="Frame242"/>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480" w:after="240"/>
        <w:ind w:left="0" w:right="0" w:hanging="360"/>
        <w:jc w:val="both"/>
        <w:rPr/>
      </w:pPr>
      <w:r>
        <w:rPr>
          <w:rFonts w:ascii="Times New Roman;sans-serif" w:hAnsi="Times New Roman;sans-serif"/>
          <w:b/>
          <w:color w:val="000000"/>
          <w:sz w:val="22"/>
        </w:rPr>
        <w:t>17.    </w:t>
      </w:r>
      <w:r>
        <w:rPr>
          <w:rFonts w:ascii="Times New Roman;sans-serif" w:hAnsi="Times New Roman;sans-serif"/>
          <w:b w:val="false"/>
          <w:color w:val="000000"/>
          <w:sz w:val="22"/>
        </w:rPr>
        <w:t>MISCELLANEOUS.</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17.1.    </w:t>
      </w:r>
      <w:r>
        <w:rPr>
          <w:rFonts w:ascii="Times New Roman;sans-serif" w:hAnsi="Times New Roman;sans-serif"/>
          <w:b w:val="false"/>
          <w:color w:val="000000"/>
          <w:sz w:val="22"/>
          <w:u w:val="single"/>
        </w:rPr>
        <w:t>No Consequential Damages</w:t>
      </w:r>
      <w:r>
        <w:rPr>
          <w:rFonts w:ascii="Times New Roman;sans-serif" w:hAnsi="Times New Roman;sans-serif"/>
          <w:b w:val="false"/>
          <w:color w:val="000000"/>
          <w:sz w:val="22"/>
        </w:rPr>
        <w:t xml:space="preserve">. NOTWITHSTANDING ANYTHING TO THE CONTRARY HEREIN, NEITHER PARTY WILL BE LIABLE TO THE OTHER PARTY FOR PUNITIVE, MULTIPLIED, EXEMPLARY, INDIRECT, CONSEQUENTIAL, OR SPECIAL DAMAGES, OR ANY LOSS OF FUTURE REVENUE, INCOME, OR PROFITS, THAT ARISE OUT OF OR RELATE TO THIS AGREEMENT, REGARDLESS OF WHETHER ARISING FROM BREACH OF CONTRACT, WARRANTY, TORT, STRICT LIABILITY, OR OTHERWISE, EVEN IF THAT PARTY IS ADVISED OF THE POSSIBILITY OF SUCH LOSSES OR IF SUCH LOSSES COULD HAVE BEEN REASONABLY FORESEEN; </w:t>
      </w:r>
      <w:r>
        <w:rPr>
          <w:rFonts w:ascii="Times New Roman;sans-serif" w:hAnsi="Times New Roman;sans-serif"/>
          <w:b w:val="false"/>
          <w:i/>
          <w:color w:val="000000"/>
          <w:sz w:val="22"/>
        </w:rPr>
        <w:t>PROVIDED</w:t>
      </w:r>
      <w:r>
        <w:rPr>
          <w:rFonts w:ascii="Times New Roman;sans-serif" w:hAnsi="Times New Roman;sans-serif"/>
          <w:b w:val="false"/>
          <w:color w:val="000000"/>
          <w:sz w:val="22"/>
        </w:rPr>
        <w:t xml:space="preserve">, THAT THIS SECTION 17.1 (NO CONSEQUENTIAL DAMAGES) SHALL NOT SERVE AS A LIMITATION WITH RESPECT TO LIABILITIES FOR (A) ANY INDEMNIFYING PARTY’S INDEMNIFICATION OBLIGATIONS UNDER SECTION 14.2 (INDEMNIFICATION), (B) A PARTY’S GROSS NEGLIGENCE OR WILLFUL MISCONDUCT, OR (C) A PARTY’S BREACH OF ITS CONFIDENTIALITY AND NON-USE OBLIGATIONS UNDER THIS AGREEMENT.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17.2.    </w:t>
      </w:r>
      <w:r>
        <w:rPr>
          <w:rFonts w:ascii="Times New Roman;sans-serif" w:hAnsi="Times New Roman;sans-serif"/>
          <w:b/>
          <w:color w:val="000000"/>
          <w:sz w:val="22"/>
        </w:rPr>
        <w:t>Maximum Liability</w:t>
      </w:r>
      <w:r>
        <w:rPr>
          <w:rFonts w:ascii="Times New Roman;sans-serif" w:hAnsi="Times New Roman;sans-serif"/>
          <w:b w:val="false"/>
          <w:color w:val="000000"/>
          <w:sz w:val="22"/>
        </w:rPr>
        <w:t xml:space="preserve">. Subject to Section 17.3 (Exceptions), each Party’s entire liability arising from or relating to this Agreement or any SoW, or the subject thereof, under any legal theory (whether in contract, tort or otherwise), shall not exceed (a) [***] and (b) [***] The foregoing limitation will not limit Senti’s payment obligations under Section 7 (Pricing and Payments).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17.3.    </w:t>
      </w:r>
      <w:r>
        <w:rPr>
          <w:rFonts w:ascii="Times New Roman;sans-serif" w:hAnsi="Times New Roman;sans-serif"/>
          <w:b/>
          <w:color w:val="000000"/>
          <w:sz w:val="22"/>
        </w:rPr>
        <w:t>Exceptions</w:t>
      </w:r>
      <w:r>
        <w:rPr>
          <w:rFonts w:ascii="Times New Roman;sans-serif" w:hAnsi="Times New Roman;sans-serif"/>
          <w:b w:val="false"/>
          <w:color w:val="000000"/>
          <w:sz w:val="22"/>
        </w:rPr>
        <w:t>. Nothing in this Agreement excludes or limits the liability of any Party in respect of (i) death or personal injury caused by negligence; (ii) the indemnities given pursuant to Section 14.1 (Indemnification); (iii) any liability which may not otherwise be so limited or excluded under applicable Laws; (iv) gross negligence or willful misconduct; or (v) breach of any confidentiality or non-use obligations under this Agreement.</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17.4.    </w:t>
      </w:r>
      <w:r>
        <w:rPr>
          <w:rFonts w:ascii="Times New Roman;sans-serif" w:hAnsi="Times New Roman;sans-serif"/>
          <w:b/>
          <w:color w:val="000000"/>
          <w:sz w:val="22"/>
        </w:rPr>
        <w:t>Technology Transfers under SoWs</w:t>
      </w:r>
      <w:r>
        <w:rPr>
          <w:rFonts w:ascii="Times New Roman;sans-serif" w:hAnsi="Times New Roman;sans-serif"/>
          <w:b w:val="false"/>
          <w:color w:val="000000"/>
          <w:sz w:val="22"/>
        </w:rPr>
        <w:t xml:space="preserve">. Notwithstanding anything to the contrary, in no event shall Provider be liable for any breach of this Agreement, any SoWs or the Quality Agreement to the extent that such breach results from a non-compliance by Senti with its obligations to timely transfer technology to Provider in accordance with any applicable SoWs, and to the extent such failure to timely transfer such technology is not attributable to any acts, omissions or delays in acting by Provider or any of its personnel or subcontractors.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17.5.    </w:t>
      </w:r>
      <w:r>
        <w:rPr>
          <w:rFonts w:ascii="Times New Roman;sans-serif" w:hAnsi="Times New Roman;sans-serif"/>
          <w:b/>
          <w:color w:val="000000"/>
          <w:sz w:val="22"/>
        </w:rPr>
        <w:t>Entire Agreement</w:t>
      </w:r>
      <w:r>
        <w:rPr>
          <w:rFonts w:ascii="Times New Roman;sans-serif" w:hAnsi="Times New Roman;sans-serif"/>
          <w:b w:val="false"/>
          <w:color w:val="000000"/>
          <w:sz w:val="22"/>
        </w:rPr>
        <w:t xml:space="preserve">. This Agreement, together with the Framework Agreement, Quality Agreement, and other Ancillary Agreements, constitutes the entire agreement between the Parties with respect to its subject matter, and supersedes all previous agreements between the Parties, written and oral, in respect of its subject matter.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17.6.    </w:t>
      </w:r>
      <w:r>
        <w:rPr>
          <w:rFonts w:ascii="Times New Roman;sans-serif" w:hAnsi="Times New Roman;sans-serif"/>
          <w:b/>
          <w:color w:val="000000"/>
          <w:sz w:val="22"/>
        </w:rPr>
        <w:t>Amendment; Waiver</w:t>
      </w:r>
      <w:r>
        <w:rPr>
          <w:rFonts w:ascii="Times New Roman;sans-serif" w:hAnsi="Times New Roman;sans-serif"/>
          <w:b w:val="false"/>
          <w:color w:val="000000"/>
          <w:sz w:val="22"/>
        </w:rPr>
        <w:t xml:space="preserve">. Any provision of this Agreement may be amended or waived if, and only if, such amendment or waiver is in writing and signed (a) in the case of an amendment, by an authorized representative of each of Provider and Senti and (b) in the case of a waiver, by an authorized representative of the Party against whom the waiver is to be effective. No waiver by any Party of any provision of this Agreement or any default, misrepresentation, or breach of warranty or covenant hereunder, whether intentional or not, shall be valid unless the same shall be in writing and signed by the Party making such waiver, nor shall such waiver be deemed to extend to any prior or subsequent default, misrepresentation, or breach of warranty or covenant hereunder or affect in any way any rights arising by virtue of any prior or subsequent such occurrence. No failure or delay by any Party in exercising any right, power or privilege hereunder </w:t>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346075"/>
                <wp:effectExtent l="0" t="0" r="0" b="0"/>
                <wp:wrapNone/>
                <wp:docPr id="243" name="Frame243"/>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shall operate as a waiver thereof, nor shall any single or partial exercise thereof preclude any other or further exercise thereof or the exercise of any other right, power or privilege.</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17.7.    </w:t>
      </w:r>
      <w:r>
        <w:rPr>
          <w:rFonts w:ascii="Times New Roman;sans-serif" w:hAnsi="Times New Roman;sans-serif"/>
          <w:b/>
          <w:color w:val="000000"/>
          <w:sz w:val="22"/>
        </w:rPr>
        <w:t>Assignment</w:t>
      </w:r>
      <w:r>
        <w:rPr>
          <w:rFonts w:ascii="Times New Roman;sans-serif" w:hAnsi="Times New Roman;sans-serif"/>
          <w:b w:val="false"/>
          <w:color w:val="000000"/>
          <w:sz w:val="22"/>
        </w:rPr>
        <w:t xml:space="preserve">. Subject to Section 2.6 (Change of Control), this Agreement and all provisions hereof will be binding upon and will inure to the benefit of the Parties hereto and their respective successors and permitted assigns. Neither Party will have the right to assign or transfer this Agreement, or any rights or obligations hereunder, in whole or in part, without the express written consent of the other Party, which consent shall not be unreasonably withheld, conditioned or delayed; except that (a) a Party may, without such consent, but with written notice promptly thereafter, novate and assign or otherwise transfer the rights and obligations under this Agreement to a successor in interest to or an acquirer of all or substantially all of the business or assets of such Party; provided that in such event [***], and (b) Senti may assign a Statement of Work pursuant to Section 2.5 ([***]). Except to the extent otherwise expressly provided herein (e.g., rights conferred to indemnitees), this Agreement shall not confer any rights or remedies upon any Person other than the Parties and their respective successors and permitted assigns. Any purported assignment in breach of this Section 17.7 (Assignment) will be void. </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17.8.    </w:t>
      </w:r>
      <w:r>
        <w:rPr>
          <w:rFonts w:ascii="Times New Roman;sans-serif" w:hAnsi="Times New Roman;sans-serif"/>
          <w:b/>
          <w:color w:val="000000"/>
          <w:sz w:val="22"/>
        </w:rPr>
        <w:t>Force Majeure</w:t>
      </w:r>
      <w:r>
        <w:rPr>
          <w:rFonts w:ascii="Times New Roman;sans-serif" w:hAnsi="Times New Roman;sans-serif"/>
          <w:b w:val="false"/>
          <w:color w:val="000000"/>
          <w:sz w:val="22"/>
        </w:rPr>
        <w:t>. Except as to payments required under this Agreement, neither Party will be liable for damages for, nor will this Agreement be terminable or cancelable, in whole or in part, by reason of, any interruption of, delay, failure or default in such Party’s performance hereunder if such interruption, delay, failure or default is caused by events beyond such Party’s reasonable control, including fire, flood, earthquake, natural disaster, weather-related event, pandemic and other acts of God; failure of public utilities; regulation or law or other action or failure to act of any Governmental Entity; war, hostilities, terrorist activities, insurrection or civil commotion (each, a “</w:t>
      </w:r>
      <w:r>
        <w:rPr>
          <w:rFonts w:ascii="Times New Roman;sans-serif" w:hAnsi="Times New Roman;sans-serif"/>
          <w:b/>
          <w:color w:val="000000"/>
          <w:sz w:val="22"/>
        </w:rPr>
        <w:t>Force Majeure</w:t>
      </w:r>
      <w:r>
        <w:rPr>
          <w:color w:val="000000"/>
        </w:rPr>
        <w:t>”</w:t>
      </w:r>
      <w:r>
        <w:rPr>
          <w:rFonts w:ascii="Times New Roman;sans-serif" w:hAnsi="Times New Roman;sans-serif"/>
          <w:b w:val="false"/>
          <w:color w:val="000000"/>
          <w:sz w:val="22"/>
        </w:rPr>
        <w:t xml:space="preserve">). The non-performing Party is excused from performance to the extent and for the duration of the event; </w:t>
      </w:r>
      <w:r>
        <w:rPr>
          <w:rFonts w:ascii="Times New Roman;sans-serif" w:hAnsi="Times New Roman;sans-serif"/>
          <w:b w:val="false"/>
          <w:i/>
          <w:color w:val="000000"/>
          <w:sz w:val="22"/>
        </w:rPr>
        <w:t>provided</w:t>
      </w:r>
      <w:r>
        <w:rPr>
          <w:rFonts w:ascii="Times New Roman;sans-serif" w:hAnsi="Times New Roman;sans-serif"/>
          <w:b w:val="false"/>
          <w:color w:val="000000"/>
          <w:sz w:val="22"/>
        </w:rPr>
        <w:t>, that it first notifies the other Party in writing of the event and that it uses Commercially Reasonable Efforts to mitigate the effect and duration of the event. If the non-performing Party is not able to perform its obligations for [***] then the Parties will discuss and negotiate in good faith any required modifications to this Agreement or an applicable Statement of Work.</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17.9.    </w:t>
      </w:r>
      <w:r>
        <w:rPr>
          <w:rFonts w:ascii="Times New Roman;sans-serif" w:hAnsi="Times New Roman;sans-serif"/>
          <w:b/>
          <w:color w:val="000000"/>
          <w:sz w:val="22"/>
        </w:rPr>
        <w:t>Notices</w:t>
      </w:r>
      <w:r>
        <w:rPr>
          <w:rFonts w:ascii="Times New Roman;sans-serif" w:hAnsi="Times New Roman;sans-serif"/>
          <w:b w:val="false"/>
          <w:color w:val="000000"/>
          <w:sz w:val="22"/>
        </w:rPr>
        <w:t>. Subject to Section 4 (Project Management) with respect to the exchange of routine information relative to the status of each Project, and Section 7.5 (Invoices) with respect to invoicing, all notices, requests, claims, demands and other communications under this Agreement must be in writing and will be deemed to have been duly given (a) when received, if delivered personally, (b) when transmitted, if sent by email (with confirmation of successful transmission and with a duplicate copy directed pursuant to one of the methods set forth in clause (c) or (d) below), (c) upon receipt, if sent by registered or certified mail (postage prepaid, return receipt requested), and (d) the day after it is sent, if sent for next-day delivery to a domestic address by overnight mail or courier, to the Parties at the following addresses:</w:t>
      </w:r>
    </w:p>
    <w:p>
      <w:pPr>
        <w:pStyle w:val="TextBody"/>
        <w:bidi w:val="0"/>
        <w:spacing w:lineRule="auto" w:line="240"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Provider: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GeneFab, LLC</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1430 Harbor Bay Parkway</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Alameda, CA 94502</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Attn: Phillip Lee</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Email: [***]</w:t>
      </w:r>
    </w:p>
    <w:p>
      <w:pPr>
        <w:pStyle w:val="TextBody"/>
        <w:bidi w:val="0"/>
        <w:spacing w:lineRule="auto" w:line="240"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With a copy to: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Morrison &amp; Foerster LLP</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33/F, Edinburgh Tower, Landmark</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15 Queen's Road Central</w:t>
      </w:r>
    </w:p>
    <w:p>
      <w:pPr>
        <w:pStyle w:val="TextBody"/>
        <w:bidi w:val="0"/>
        <w:spacing w:lineRule="auto" w:line="240"/>
        <w:jc w:val="both"/>
        <w:rPr>
          <w:rFonts w:ascii="Times New Roman;sans-serif" w:hAnsi="Times New Roman;sans-serif"/>
          <w:b w:val="false"/>
          <w:color w:val="000000"/>
          <w:sz w:val="22"/>
        </w:rPr>
      </w:pPr>
      <w:r>
        <w:rPr>
          <w:rFonts w:ascii="Times New Roman;sans-serif" w:hAnsi="Times New Roman;sans-serif"/>
          <w:b w:val="false"/>
          <w:color w:val="000000"/>
          <w:sz w:val="22"/>
        </w:rPr>
        <w:t>Hong Kong</w:t>
      </w: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346075"/>
                <wp:effectExtent l="0" t="0" r="0" b="0"/>
                <wp:wrapNone/>
                <wp:docPr id="244" name="Frame244"/>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Attn: Marcia Ellis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Email: [***]</w:t>
      </w:r>
    </w:p>
    <w:p>
      <w:pPr>
        <w:pStyle w:val="TextBody"/>
        <w:bidi w:val="0"/>
        <w:spacing w:lineRule="auto" w:line="240"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For Senti:</w:t>
      </w:r>
    </w:p>
    <w:p>
      <w:pPr>
        <w:pStyle w:val="TextBody"/>
        <w:bidi w:val="0"/>
        <w:spacing w:lineRule="auto" w:line="240"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Senti Biosciences, Inc.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2 Corporate Drive, First Floor,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South San Francisco, CA 94080</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Attn: Tim Lu</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Email: [***]</w:t>
      </w:r>
    </w:p>
    <w:p>
      <w:pPr>
        <w:pStyle w:val="TextBody"/>
        <w:bidi w:val="0"/>
        <w:spacing w:before="0" w:after="0"/>
        <w:jc w:val="both"/>
        <w:rPr/>
      </w:pPr>
      <w:r>
        <w:rPr/>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17.10.    </w:t>
      </w:r>
      <w:r>
        <w:rPr>
          <w:rFonts w:ascii="Times New Roman;sans-serif" w:hAnsi="Times New Roman;sans-serif"/>
          <w:b/>
          <w:color w:val="000000"/>
          <w:sz w:val="22"/>
        </w:rPr>
        <w:t>Governing Law; Dispute Resolution</w:t>
      </w:r>
      <w:r>
        <w:rPr>
          <w:rFonts w:ascii="Times New Roman;sans-serif" w:hAnsi="Times New Roman;sans-serif"/>
          <w:b w:val="false"/>
          <w:color w:val="000000"/>
          <w:sz w:val="22"/>
        </w:rPr>
        <w:t xml:space="preserve">.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17.10.1.    </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This Agreement, including all issues and questions concerning the application, construction, validity, interpretation, and enforceability of this Agreement, shall be governed by and construed in accordance with the internal laws of the State of Delaware, without regard to its conflict of laws provisions.</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17.10.2.    </w:t>
      </w:r>
      <w:r>
        <w:rPr>
          <w:rFonts w:ascii="Times New Roman;sans-serif" w:hAnsi="Times New Roman;sans-serif"/>
          <w:b w:val="false"/>
          <w:color w:val="000000"/>
          <w:sz w:val="22"/>
          <w:u w:val="single"/>
        </w:rPr>
        <w:t>Dispute Resolution</w:t>
      </w:r>
      <w:r>
        <w:rPr>
          <w:rFonts w:ascii="Times New Roman;sans-serif" w:hAnsi="Times New Roman;sans-serif"/>
          <w:b w:val="false"/>
          <w:color w:val="000000"/>
          <w:sz w:val="22"/>
        </w:rPr>
        <w:t>. Exclusive of disputes relating to quality matters, which will be governed by Section 10.7 (Disputes as to Failed Batches or Product Conformity), if the JPT raises an issue to the Parties for resolution, or in the event of any dispute, controversy, difference, or claim arising out of, relating to, or in connection with this Agreement or a Statement of Work (including any questions regarding its existence, validity, or termination, the scope or applicability of this agreement to arbitrate, or any dispute regarding non-contractual obligations arising out of or relating to this Agreement or Statement of Work (a “</w:t>
      </w:r>
      <w:r>
        <w:rPr>
          <w:rFonts w:ascii="Times New Roman;sans-serif" w:hAnsi="Times New Roman;sans-serif"/>
          <w:b/>
          <w:color w:val="000000"/>
          <w:sz w:val="22"/>
        </w:rPr>
        <w:t>Dispute</w:t>
      </w:r>
      <w:r>
        <w:rPr>
          <w:color w:val="000000"/>
        </w:rPr>
        <w:t>”</w:t>
      </w:r>
      <w:r>
        <w:rPr>
          <w:rFonts w:ascii="Times New Roman;sans-serif" w:hAnsi="Times New Roman;sans-serif"/>
          <w:b w:val="false"/>
          <w:color w:val="000000"/>
          <w:sz w:val="22"/>
        </w:rPr>
        <w:t xml:space="preserve">), the Parties shall use the following procedure in good faith: </w:t>
      </w:r>
    </w:p>
    <w:p>
      <w:pPr>
        <w:pStyle w:val="TextBody"/>
        <w:bidi w:val="0"/>
        <w:spacing w:lineRule="auto" w:line="240" w:before="0" w:after="240"/>
        <w:ind w:left="0" w:right="0" w:hanging="1224"/>
        <w:jc w:val="both"/>
        <w:rPr/>
      </w:pPr>
      <w:r>
        <w:rPr>
          <w:rFonts w:ascii="Times New Roman;sans-serif" w:hAnsi="Times New Roman;sans-serif"/>
          <w:b w:val="false"/>
          <w:color w:val="000000"/>
          <w:sz w:val="22"/>
        </w:rPr>
        <w:t>17.10.2(a)    </w:t>
      </w:r>
      <w:r>
        <w:rPr>
          <w:rFonts w:ascii="Times New Roman;sans-serif" w:hAnsi="Times New Roman;sans-serif"/>
          <w:b w:val="false"/>
          <w:color w:val="000000"/>
          <w:sz w:val="22"/>
          <w:u w:val="single"/>
        </w:rPr>
        <w:t>Escalation</w:t>
      </w:r>
      <w:r>
        <w:rPr>
          <w:rFonts w:ascii="Times New Roman;sans-serif" w:hAnsi="Times New Roman;sans-serif"/>
          <w:b w:val="false"/>
          <w:color w:val="000000"/>
          <w:sz w:val="22"/>
        </w:rPr>
        <w:t>. A meeting of the Executive Officers, which may be either in-person or via teleconference, shall be held within [***] after either Party gives written notice of a Dispute to the other Party. The Executive Officers shall negotiate in good faith and use reasonable efforts to resolve the Dispute.</w:t>
      </w:r>
    </w:p>
    <w:p>
      <w:pPr>
        <w:pStyle w:val="TextBody"/>
        <w:bidi w:val="0"/>
        <w:spacing w:lineRule="auto" w:line="240" w:before="0" w:after="240"/>
        <w:ind w:left="0" w:right="0" w:hanging="1224"/>
        <w:jc w:val="both"/>
        <w:rPr/>
      </w:pPr>
      <w:r>
        <w:rPr>
          <w:rFonts w:ascii="Times New Roman;sans-serif" w:hAnsi="Times New Roman;sans-serif"/>
          <w:b w:val="false"/>
          <w:color w:val="000000"/>
          <w:sz w:val="22"/>
        </w:rPr>
        <w:t>17.10.2(b)    </w:t>
      </w:r>
      <w:r>
        <w:rPr>
          <w:rFonts w:ascii="Times New Roman;sans-serif" w:hAnsi="Times New Roman;sans-serif"/>
          <w:b w:val="false"/>
          <w:color w:val="000000"/>
          <w:sz w:val="22"/>
          <w:u w:val="single"/>
        </w:rPr>
        <w:t>Dispute Resolution</w:t>
      </w:r>
      <w:r>
        <w:rPr>
          <w:rFonts w:ascii="Times New Roman;sans-serif" w:hAnsi="Times New Roman;sans-serif"/>
          <w:b w:val="false"/>
          <w:color w:val="000000"/>
          <w:sz w:val="22"/>
        </w:rPr>
        <w:t xml:space="preserve">. If the Executive Officers are unable to resolve the Dispute within [***] after notice of the Dispute, then the Dispute shall be referred to and finally resolved by arbitration administered by the International Centre for Dispute Resolution (“ICDR”) in accordance with its International Arbitration Rules in effect at the time of the arbitration, which rules are deemed to be incorporated by reference into this clause, except as they are modified herein. The seat, or legal place, of arbitration shall be New York, New York, United States of America. The arbitration proceedings shall be conducted in English. The arbitral tribunal shall consist of three arbitrators. The tribunal shall award to the prevailing party its costs and expenses of the arbitration, including its reasonable legal fees and other costs of legal representation, fees paid to the arbitrators, and any administrative fees paid to the ICDR, as determined by the arbitral tribunal. Judgement upon the award may be entered into any court having jurisdiction of the award or having jurisdiction over the relevant party or its assets. The parties agree that the arbitration shall be kept confidential. The existence of the arbitration, any non-public information provided in the arbitration, and any submissions, orders, or awards made in the arbitration (together, the “Arbitration Confidential Information”) shall not be disclosed to any non-party except the arbitral tribunal, the ICDR, the parties, their counsel, experts, witnesses, accountants, and auditors, potential third-party funders, and any other person necessary to the conduct of the arbitration. Notwithstanding the foregoing, a party may disclose Arbitration Confidential Information to the extent required to protect or pursue a legal right or interest of the party in legal proceedings before a </w:t>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346075"/>
                <wp:effectExtent l="0" t="0" r="0" b="0"/>
                <wp:wrapNone/>
                <wp:docPr id="245" name="Frame245"/>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court or other authority, or to enforce or challenge an award in </w:t>
      </w:r>
      <w:r>
        <w:rPr>
          <w:rFonts w:ascii="Times New Roman;sans-serif" w:hAnsi="Times New Roman;sans-serif"/>
          <w:b w:val="false"/>
          <w:i/>
          <w:color w:val="000000"/>
          <w:sz w:val="22"/>
        </w:rPr>
        <w:t>bona fide</w:t>
      </w:r>
      <w:r>
        <w:rPr>
          <w:color w:val="000000"/>
        </w:rPr>
        <w:t xml:space="preserve"> </w:t>
      </w:r>
      <w:r>
        <w:rPr>
          <w:rFonts w:ascii="Times New Roman;sans-serif" w:hAnsi="Times New Roman;sans-serif"/>
          <w:b w:val="false"/>
          <w:color w:val="000000"/>
          <w:sz w:val="22"/>
        </w:rPr>
        <w:t xml:space="preserve">legal proceedings. This confidentiality provision survives termination of this Agreement and of any arbitration brought pursuant to this Agreement. Notwithstanding Section 17.10.1, the arbitration and this agreement to arbitrate shall be governed by Title 9 (Arbitration) of the United States Code. </w:t>
      </w:r>
    </w:p>
    <w:p>
      <w:pPr>
        <w:pStyle w:val="TextBody"/>
        <w:bidi w:val="0"/>
        <w:spacing w:lineRule="auto" w:line="240" w:before="0" w:after="240"/>
        <w:ind w:left="0" w:right="0" w:hanging="1224"/>
        <w:jc w:val="both"/>
        <w:rPr/>
      </w:pPr>
      <w:r>
        <w:rPr>
          <w:rFonts w:ascii="Times New Roman;sans-serif" w:hAnsi="Times New Roman;sans-serif"/>
          <w:b w:val="false"/>
          <w:color w:val="000000"/>
          <w:sz w:val="22"/>
        </w:rPr>
        <w:t>17.10.2(c)    </w:t>
      </w:r>
      <w:r>
        <w:rPr>
          <w:rFonts w:ascii="Times New Roman;sans-serif" w:hAnsi="Times New Roman;sans-serif"/>
          <w:b w:val="false"/>
          <w:color w:val="000000"/>
          <w:sz w:val="22"/>
          <w:u w:val="single"/>
        </w:rPr>
        <w:t>Temporary Injunctive Relief</w:t>
      </w:r>
      <w:r>
        <w:rPr>
          <w:rFonts w:ascii="Times New Roman;sans-serif" w:hAnsi="Times New Roman;sans-serif"/>
          <w:b w:val="false"/>
          <w:color w:val="000000"/>
          <w:sz w:val="22"/>
        </w:rPr>
        <w:t xml:space="preserve">. Notwithstanding anything to the contrary in this Agreement, either Party may, at any time and without waiving any remedy under this Agreement, seek from any court having jurisdiction any temporary injunctive or provisional relief necessary to protect the rights or property of that Party. </w:t>
      </w:r>
    </w:p>
    <w:p>
      <w:pPr>
        <w:pStyle w:val="TextBody"/>
        <w:bidi w:val="0"/>
        <w:spacing w:lineRule="auto" w:line="240" w:before="0" w:after="240"/>
        <w:ind w:left="0" w:right="0" w:hanging="144"/>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17.11.    Interpretation.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17.11.1.    </w:t>
      </w:r>
      <w:r>
        <w:rPr>
          <w:rFonts w:ascii="Times New Roman;sans-serif" w:hAnsi="Times New Roman;sans-serif"/>
          <w:b w:val="false"/>
          <w:color w:val="000000"/>
          <w:sz w:val="22"/>
          <w:u w:val="single"/>
        </w:rPr>
        <w:t>Headings</w:t>
      </w:r>
      <w:r>
        <w:rPr>
          <w:rFonts w:ascii="Times New Roman;sans-serif" w:hAnsi="Times New Roman;sans-serif"/>
          <w:b w:val="false"/>
          <w:color w:val="000000"/>
          <w:sz w:val="22"/>
        </w:rPr>
        <w:t xml:space="preserve">. All headings in this Agreement are for convenience purposes only, do not constitute a part of this Agreement and will not be deemed to limit or affect the meaning or interpretation of any of the provisions hereof.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17.11.2.    </w:t>
      </w:r>
      <w:r>
        <w:rPr>
          <w:rFonts w:ascii="Times New Roman;sans-serif" w:hAnsi="Times New Roman;sans-serif"/>
          <w:b w:val="false"/>
          <w:color w:val="000000"/>
          <w:sz w:val="22"/>
          <w:u w:val="single"/>
        </w:rPr>
        <w:t>Persons</w:t>
      </w:r>
      <w:r>
        <w:rPr>
          <w:rFonts w:ascii="Times New Roman;sans-serif" w:hAnsi="Times New Roman;sans-serif"/>
          <w:b w:val="false"/>
          <w:color w:val="000000"/>
          <w:sz w:val="22"/>
        </w:rPr>
        <w:t>. References in this Agreement to a Person include its successors and permitted assigns. Words of one gender include each other gender.</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17.11.3.    </w:t>
      </w:r>
      <w:r>
        <w:rPr>
          <w:rFonts w:ascii="Times New Roman;sans-serif" w:hAnsi="Times New Roman;sans-serif"/>
          <w:b w:val="false"/>
          <w:color w:val="000000"/>
          <w:sz w:val="22"/>
          <w:u w:val="single"/>
        </w:rPr>
        <w:t>Law</w:t>
      </w:r>
      <w:r>
        <w:rPr>
          <w:rFonts w:ascii="Times New Roman;sans-serif" w:hAnsi="Times New Roman;sans-serif"/>
          <w:b w:val="false"/>
          <w:color w:val="000000"/>
          <w:sz w:val="22"/>
        </w:rPr>
        <w:t>. References in this Agreement to an agreement or Law include such agreement or Law as amended, restated, supplemented or otherwise modified from time to time unless otherwise specified.</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17.11.4.    </w:t>
      </w:r>
      <w:r>
        <w:rPr>
          <w:rFonts w:ascii="Times New Roman;sans-serif" w:hAnsi="Times New Roman;sans-serif"/>
          <w:b w:val="false"/>
          <w:color w:val="000000"/>
          <w:sz w:val="22"/>
          <w:u w:val="single"/>
        </w:rPr>
        <w:t>Cross-References</w:t>
      </w:r>
      <w:r>
        <w:rPr>
          <w:rFonts w:ascii="Times New Roman;sans-serif" w:hAnsi="Times New Roman;sans-serif"/>
          <w:b w:val="false"/>
          <w:color w:val="000000"/>
          <w:sz w:val="22"/>
        </w:rPr>
        <w:t>. When a reference is made in this Agreement to a Section, Exhibit, Schedule, Recital or Preamble, such reference is to a Section, Exhibit, Schedule, Recital or Preamble of or to this Agreement unless otherwise indicated. Likewise, the words “hereof,” “herein,” “hereto” and “hereunder,” and words of similar import, when used in this Agreement, shall refer to this Agreement as a whole, and not to any particular provision of this Agreement.</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17.11.5.    </w:t>
      </w:r>
      <w:r>
        <w:rPr>
          <w:rFonts w:ascii="Times New Roman;sans-serif" w:hAnsi="Times New Roman;sans-serif"/>
          <w:b w:val="false"/>
          <w:color w:val="000000"/>
          <w:sz w:val="22"/>
          <w:u w:val="single"/>
        </w:rPr>
        <w:t>Certain Words</w:t>
      </w:r>
      <w:r>
        <w:rPr>
          <w:rFonts w:ascii="Times New Roman;sans-serif" w:hAnsi="Times New Roman;sans-serif"/>
          <w:b w:val="false"/>
          <w:color w:val="000000"/>
          <w:sz w:val="22"/>
        </w:rPr>
        <w:t xml:space="preserve">. The word “including” means “including without limitation” and the words “include” and “includes” have corresponding meanings. Except where the context otherwise requires, the word “or” will be interpreted in the inclusive sense, commonly associated with the term “and/or.” The word “will” will be construed to have the same meaning and effect as the word “shall” (and vice versa). </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17.11.6.    </w:t>
      </w:r>
      <w:r>
        <w:rPr>
          <w:rFonts w:ascii="Times New Roman;sans-serif" w:hAnsi="Times New Roman;sans-serif"/>
          <w:b w:val="false"/>
          <w:color w:val="000000"/>
          <w:sz w:val="22"/>
          <w:u w:val="single"/>
        </w:rPr>
        <w:t>Singular/Plural</w:t>
      </w:r>
      <w:r>
        <w:rPr>
          <w:rFonts w:ascii="Times New Roman;sans-serif" w:hAnsi="Times New Roman;sans-serif"/>
          <w:b w:val="false"/>
          <w:color w:val="000000"/>
          <w:sz w:val="22"/>
        </w:rPr>
        <w:t>. Terms defined or used in the singular have a comparable meaning when used in the plural, and vice versa.</w:t>
      </w:r>
    </w:p>
    <w:p>
      <w:pPr>
        <w:pStyle w:val="TextBody"/>
        <w:bidi w:val="0"/>
        <w:spacing w:lineRule="auto" w:line="240" w:before="0" w:after="240"/>
        <w:ind w:left="0" w:right="0" w:hanging="864"/>
        <w:jc w:val="both"/>
        <w:rPr/>
      </w:pPr>
      <w:r>
        <w:rPr>
          <w:rFonts w:ascii="Times New Roman;sans-serif" w:hAnsi="Times New Roman;sans-serif"/>
          <w:b w:val="false"/>
          <w:color w:val="000000"/>
          <w:sz w:val="22"/>
        </w:rPr>
        <w:t>17.11.7.    </w:t>
      </w:r>
      <w:r>
        <w:rPr>
          <w:rFonts w:ascii="Times New Roman;sans-serif" w:hAnsi="Times New Roman;sans-serif"/>
          <w:b w:val="false"/>
          <w:color w:val="000000"/>
          <w:sz w:val="22"/>
          <w:u w:val="single"/>
        </w:rPr>
        <w:t>Drafting</w:t>
      </w:r>
      <w:r>
        <w:rPr>
          <w:rFonts w:ascii="Times New Roman;sans-serif" w:hAnsi="Times New Roman;sans-serif"/>
          <w:b w:val="false"/>
          <w:color w:val="000000"/>
          <w:sz w:val="22"/>
        </w:rPr>
        <w:t>. The Parties are sophisticated, have had the opportunity to consult legal counsel with respect to this transaction, and hereby waive any presumptions of any statutory or common law rule relating to the interpretation of contracts against the drafter.</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17.12.    </w:t>
      </w:r>
      <w:r>
        <w:rPr>
          <w:rFonts w:ascii="Times New Roman;sans-serif" w:hAnsi="Times New Roman;sans-serif"/>
          <w:b/>
          <w:color w:val="000000"/>
          <w:sz w:val="22"/>
        </w:rPr>
        <w:t>Independent Contractors</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Parties are independent contractors and not employees, agents, partners or joint venturers of or with each other. Neither Party may represent, bind, or act on behalf of the other Party.</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17.13.    </w:t>
      </w:r>
      <w:r>
        <w:rPr>
          <w:rFonts w:ascii="Times New Roman;sans-serif" w:hAnsi="Times New Roman;sans-serif"/>
          <w:b/>
          <w:color w:val="000000"/>
          <w:sz w:val="22"/>
        </w:rPr>
        <w:t>Severability</w:t>
      </w:r>
      <w:r>
        <w:rPr>
          <w:rFonts w:ascii="Times New Roman;sans-serif" w:hAnsi="Times New Roman;sans-serif"/>
          <w:b w:val="false"/>
          <w:color w:val="000000"/>
          <w:sz w:val="22"/>
        </w:rPr>
        <w:t xml:space="preserve">. The provisions of this Agreement shall be deemed severable and the invalidity or unenforceability of any provision shall not affect the validity or enforceability of the other provisions hereof. If any term or other provision of this Agreement, or the application thereof to any Person or any circumstance, is invalid, illegal or unenforceable, (a) a suitable and equitable provision shall be substituted therefor </w:t>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346075"/>
                <wp:effectExtent l="0" t="0" r="0" b="0"/>
                <wp:wrapNone/>
                <wp:docPr id="246" name="Frame246"/>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order to carry out, so far as may be valid and enforceable, the intent and purpose of such invalid or unenforceable provision and (b) the remainder of this Agreement and the application of such provision to other Persons or circumstances shall not be affected by such invalidity, illegality or unenforceability, nor shall such invalidity, illegality or unenforceability affect the validity or enforceability of such provision, or the application thereof, in any other jurisdiction.</w:t>
      </w:r>
    </w:p>
    <w:p>
      <w:pPr>
        <w:pStyle w:val="TextBody"/>
        <w:bidi w:val="0"/>
        <w:spacing w:lineRule="auto" w:line="240" w:before="0" w:after="240"/>
        <w:ind w:left="0" w:right="0" w:hanging="144"/>
        <w:jc w:val="both"/>
        <w:rPr/>
      </w:pPr>
      <w:r>
        <w:rPr>
          <w:rFonts w:ascii="Times New Roman;sans-serif" w:hAnsi="Times New Roman;sans-serif"/>
          <w:b w:val="false"/>
          <w:color w:val="000000"/>
          <w:sz w:val="22"/>
        </w:rPr>
        <w:t>17.14.    </w:t>
      </w:r>
      <w:r>
        <w:rPr>
          <w:rFonts w:ascii="Times New Roman;sans-serif" w:hAnsi="Times New Roman;sans-serif"/>
          <w:b/>
          <w:color w:val="000000"/>
          <w:sz w:val="22"/>
        </w:rPr>
        <w:t>Counterparts</w:t>
      </w:r>
      <w:r>
        <w:rPr>
          <w:rFonts w:ascii="Times New Roman;sans-serif" w:hAnsi="Times New Roman;sans-serif"/>
          <w:b w:val="false"/>
          <w:color w:val="000000"/>
          <w:sz w:val="22"/>
        </w:rPr>
        <w:t>. This Agreement may be signed in any number of counterparts, each and every one of which shall be considered one and the same agreement and shall become effective when a counterpart hereof shall have been signed by each Party and delivered to the other Party, notwithstanding variations in format or file designation which may result from the electronic transmission, storage and printing of copies of this Agreement from separate computers or printers. Delivery of an executed counterpart of a signature page to this Agreement by e-mail of a .pdf attachment shall be effective as delivery of a manually executed counterpart of this Agreement. Electronic signatures, facsimile signatures and signatures transmitted via PDF will be treated as original signatures.</w:t>
      </w:r>
    </w:p>
    <w:p>
      <w:pPr>
        <w:pStyle w:val="TextBody"/>
        <w:bidi w:val="0"/>
        <w:spacing w:lineRule="auto" w:line="240" w:before="120" w:after="283"/>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Follows.]</w:t>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346075"/>
                <wp:effectExtent l="0" t="0" r="0" b="0"/>
                <wp:wrapNone/>
                <wp:docPr id="247" name="Frame247"/>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48</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120" w:after="283"/>
        <w:jc w:val="both"/>
        <w:rPr/>
      </w:pPr>
      <w:r>
        <w:rPr/>
      </w:r>
    </w:p>
    <w:p>
      <w:pPr>
        <w:pStyle w:val="TextBody"/>
        <w:bidi w:val="0"/>
        <w:spacing w:lineRule="auto" w:line="240" w:before="120" w:after="283"/>
        <w:jc w:val="both"/>
        <w:rPr/>
      </w:pPr>
      <w:r>
        <w:rPr>
          <w:color w:val="000000"/>
        </w:rPr>
        <w:t>    </w:t>
      </w:r>
      <w:r>
        <w:rPr>
          <w:rFonts w:ascii="Times New Roman;sans-serif" w:hAnsi="Times New Roman;sans-serif"/>
          <w:b/>
          <w:color w:val="000000"/>
          <w:sz w:val="22"/>
        </w:rPr>
        <w:t>IN WITNESS WHEREOF</w:t>
      </w:r>
      <w:r>
        <w:rPr>
          <w:rFonts w:ascii="Times New Roman;sans-serif" w:hAnsi="Times New Roman;sans-serif"/>
          <w:b w:val="false"/>
          <w:color w:val="000000"/>
          <w:sz w:val="22"/>
        </w:rPr>
        <w:t xml:space="preserve">, each Party has caused this Agreement to be executed by its duly authorized representative as of the Effective Date. </w:t>
      </w:r>
    </w:p>
    <w:p>
      <w:pPr>
        <w:pStyle w:val="TextBody"/>
        <w:bidi w:val="0"/>
        <w:spacing w:before="0" w:after="2"/>
        <w:jc w:val="both"/>
        <w:rPr/>
      </w:pPr>
      <w:r>
        <w:rPr/>
      </w:r>
    </w:p>
    <w:p>
      <w:pPr>
        <w:pStyle w:val="TextBody"/>
        <w:bidi w:val="0"/>
        <w:spacing w:before="120" w:after="283"/>
        <w:jc w:val="both"/>
        <w:rPr/>
      </w:pPr>
      <w:r>
        <w:rPr/>
      </w:r>
    </w:p>
    <w:tbl>
      <w:tblPr>
        <w:tblW w:w="6939" w:type="dxa"/>
        <w:jc w:val="left"/>
        <w:tblInd w:w="0" w:type="dxa"/>
        <w:tblLayout w:type="fixed"/>
        <w:tblCellMar>
          <w:top w:w="28" w:type="dxa"/>
          <w:left w:w="28" w:type="dxa"/>
          <w:bottom w:w="28" w:type="dxa"/>
          <w:right w:w="28" w:type="dxa"/>
        </w:tblCellMar>
      </w:tblPr>
      <w:tblGrid>
        <w:gridCol w:w="264"/>
        <w:gridCol w:w="232"/>
        <w:gridCol w:w="238"/>
        <w:gridCol w:w="709"/>
        <w:gridCol w:w="709"/>
        <w:gridCol w:w="711"/>
        <w:gridCol w:w="109"/>
        <w:gridCol w:w="109"/>
        <w:gridCol w:w="109"/>
        <w:gridCol w:w="238"/>
        <w:gridCol w:w="238"/>
        <w:gridCol w:w="243"/>
        <w:gridCol w:w="887"/>
        <w:gridCol w:w="887"/>
        <w:gridCol w:w="1256"/>
      </w:tblGrid>
      <w:tr>
        <w:trPr/>
        <w:tc>
          <w:tcPr>
            <w:tcW w:w="2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color w:val="000000"/>
                <w:sz w:val="22"/>
              </w:rPr>
            </w:pPr>
            <w:r>
              <w:rPr>
                <w:rFonts w:ascii="Times New Roman;sans-serif" w:hAnsi="Times New Roman;sans-serif"/>
                <w:b/>
                <w:color w:val="000000"/>
                <w:sz w:val="22"/>
              </w:rPr>
              <w:t>GENEFAB,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color w:val="000000"/>
                <w:sz w:val="22"/>
              </w:rPr>
            </w:pPr>
            <w:r>
              <w:rPr>
                <w:rFonts w:ascii="Times New Roman;sans-serif" w:hAnsi="Times New Roman;sans-serif"/>
                <w:b/>
                <w:color w:val="000000"/>
                <w:sz w:val="22"/>
              </w:rPr>
              <w:t>SENTI BIOSCIENCES, INC.</w:t>
            </w:r>
          </w:p>
        </w:tc>
      </w:tr>
      <w:tr>
        <w:trPr/>
        <w:tc>
          <w:tcPr>
            <w:tcW w:w="734" w:type="dxa"/>
            <w:gridSpan w:val="3"/>
            <w:tcBorders/>
            <w:tcMar>
              <w:top w:w="0" w:type="dxa"/>
              <w:left w:w="0" w:type="dxa"/>
              <w:bottom w:w="0" w:type="dxa"/>
              <w:right w:w="0" w:type="dxa"/>
            </w:tcMar>
            <w:vAlign w:val="center"/>
          </w:tcPr>
          <w:p>
            <w:pPr>
              <w:pStyle w:val="TableContents"/>
              <w:bidi w:val="0"/>
              <w:spacing w:before="120" w:after="160"/>
              <w:jc w:val="left"/>
              <w:rPr/>
            </w:pPr>
            <w:r>
              <w:rPr/>
            </w:r>
          </w:p>
          <w:p>
            <w:pPr>
              <w:pStyle w:val="TableContents"/>
              <w:bidi w:val="0"/>
              <w:spacing w:before="120" w:after="160"/>
              <w:jc w:val="left"/>
              <w:rPr/>
            </w:pPr>
            <w:r>
              <w:rPr/>
            </w:r>
          </w:p>
          <w:p>
            <w:pPr>
              <w:pStyle w:val="TableContents"/>
              <w:bidi w:val="0"/>
              <w:spacing w:before="120" w:after="160"/>
              <w:jc w:val="left"/>
              <w:rPr/>
            </w:pPr>
            <w:r>
              <w:rPr/>
            </w:r>
          </w:p>
          <w:p>
            <w:pPr>
              <w:pStyle w:val="TableContents"/>
              <w:bidi w:val="0"/>
              <w:spacing w:before="120" w:after="160"/>
              <w:jc w:val="both"/>
              <w:rPr/>
            </w:pPr>
            <w:r>
              <w:rPr/>
            </w:r>
          </w:p>
        </w:tc>
        <w:tc>
          <w:tcPr>
            <w:tcW w:w="2129" w:type="dxa"/>
            <w:gridSpan w:val="3"/>
            <w:tcBorders/>
            <w:tcMar>
              <w:top w:w="0" w:type="dxa"/>
              <w:left w:w="0" w:type="dxa"/>
              <w:bottom w:w="0" w:type="dxa"/>
              <w:right w:w="0" w:type="dxa"/>
            </w:tcMar>
            <w:vAlign w:val="center"/>
          </w:tcPr>
          <w:p>
            <w:pPr>
              <w:pStyle w:val="TableContents"/>
              <w:bidi w:val="0"/>
              <w:spacing w:lineRule="auto" w:line="300" w:before="120" w:after="160"/>
              <w:jc w:val="both"/>
              <w:rPr>
                <w:rFonts w:ascii="Times New Roman;sans-serif" w:hAnsi="Times New Roman;sans-serif"/>
                <w:b w:val="false"/>
                <w:color w:val="000000"/>
                <w:sz w:val="22"/>
              </w:rPr>
            </w:pPr>
            <w:r>
              <w:rPr>
                <w:rFonts w:ascii="Times New Roman;sans-serif" w:hAnsi="Times New Roman;sans-serif"/>
                <w:b w:val="false"/>
                <w:color w:val="000000"/>
                <w:sz w:val="22"/>
              </w:rPr>
              <w:t>By its sole member:</w:t>
            </w:r>
          </w:p>
          <w:p>
            <w:pPr>
              <w:pStyle w:val="TableContents"/>
              <w:bidi w:val="0"/>
              <w:spacing w:lineRule="auto" w:line="300" w:before="120" w:after="160"/>
              <w:jc w:val="both"/>
              <w:rPr>
                <w:rFonts w:ascii="Times New Roman;sans-serif" w:hAnsi="Times New Roman;sans-serif"/>
                <w:b/>
                <w:color w:val="000000"/>
                <w:sz w:val="22"/>
              </w:rPr>
            </w:pPr>
            <w:r>
              <w:rPr>
                <w:rFonts w:ascii="Times New Roman;sans-serif" w:hAnsi="Times New Roman;sans-serif"/>
                <w:b/>
                <w:color w:val="000000"/>
                <w:sz w:val="22"/>
              </w:rPr>
              <w:t>VALERE BIO,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120" w:after="160"/>
              <w:jc w:val="both"/>
              <w:rPr/>
            </w:pPr>
            <w:r>
              <w:rPr/>
            </w:r>
          </w:p>
          <w:p>
            <w:pPr>
              <w:pStyle w:val="TableContents"/>
              <w:bidi w:val="0"/>
              <w:spacing w:before="120" w:after="160"/>
              <w:jc w:val="both"/>
              <w:rPr/>
            </w:pPr>
            <w:r>
              <w:rPr/>
            </w:r>
          </w:p>
          <w:p>
            <w:pPr>
              <w:pStyle w:val="TableContents"/>
              <w:bidi w:val="0"/>
              <w:spacing w:before="120" w:after="160"/>
              <w:jc w:val="both"/>
              <w:rPr/>
            </w:pPr>
            <w:r>
              <w:rPr/>
            </w:r>
          </w:p>
          <w:p>
            <w:pPr>
              <w:pStyle w:val="TableContents"/>
              <w:bidi w:val="0"/>
              <w:spacing w:before="120" w:after="160"/>
              <w:jc w:val="both"/>
              <w:rPr/>
            </w:pPr>
            <w:r>
              <w:rPr/>
            </w:r>
          </w:p>
        </w:tc>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12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2"/>
              </w:rPr>
            </w:pPr>
            <w:r>
              <w:rPr>
                <w:rFonts w:ascii="Times New Roman;sans-serif" w:hAnsi="Times New Roman;sans-serif"/>
                <w:b w:val="false"/>
                <w:color w:val="000000"/>
                <w:sz w:val="22"/>
              </w:rPr>
              <w:t>/s/ Donald Tang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300" w:before="120" w:after="160"/>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030"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/s/ Tim Lu</w:t>
            </w:r>
          </w:p>
        </w:tc>
      </w:tr>
      <w:tr>
        <w:trPr/>
        <w:tc>
          <w:tcPr>
            <w:tcW w:w="734"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Donald Tang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Tim Lu, M.D., Ph.D.</w:t>
            </w:r>
          </w:p>
        </w:tc>
      </w:tr>
      <w:tr>
        <w:trPr/>
        <w:tc>
          <w:tcPr>
            <w:tcW w:w="734"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2129"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President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030"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tc>
      </w:tr>
    </w:tbl>
    <w:p>
      <w:pPr>
        <w:pStyle w:val="TextBody"/>
        <w:bidi w:val="0"/>
        <w:spacing w:before="12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346075"/>
                <wp:effectExtent l="0" t="0" r="0" b="0"/>
                <wp:wrapNone/>
                <wp:docPr id="248" name="Frame248"/>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120"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A</w:t>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40" w:before="12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346075"/>
                <wp:effectExtent l="0" t="0" r="0" b="0"/>
                <wp:wrapNone/>
                <wp:docPr id="249" name="Frame249"/>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50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50</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120"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B</w:t>
      </w:r>
    </w:p>
    <w:p>
      <w:pPr>
        <w:pStyle w:val="TextBody"/>
        <w:bidi w:val="0"/>
        <w:spacing w:before="120" w:after="283"/>
        <w:jc w:val="center"/>
        <w:rPr/>
      </w:pPr>
      <w:r>
        <w:rPr/>
      </w:r>
    </w:p>
    <w:p>
      <w:pPr>
        <w:pStyle w:val="TextBody"/>
        <w:bidi w:val="0"/>
        <w:spacing w:lineRule="auto" w:line="240" w:before="12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120" w:after="283"/>
        <w:jc w:val="left"/>
        <w:rPr/>
      </w:pPr>
      <w:r>
        <w:rPr/>
      </w:r>
    </w:p>
    <w:p>
      <w:pPr>
        <w:pStyle w:val="TextBody"/>
        <w:bidi w:val="0"/>
        <w:spacing w:before="12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346075"/>
                <wp:effectExtent l="0" t="0" r="0" b="0"/>
                <wp:wrapNone/>
                <wp:docPr id="250" name="Frame250"/>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51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51</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120"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C</w:t>
      </w:r>
    </w:p>
    <w:p>
      <w:pPr>
        <w:pStyle w:val="TextBody"/>
        <w:bidi w:val="0"/>
        <w:spacing w:before="120" w:after="283"/>
        <w:jc w:val="center"/>
        <w:rPr/>
      </w:pPr>
      <w:r>
        <w:rPr/>
      </w:r>
    </w:p>
    <w:p>
      <w:pPr>
        <w:pStyle w:val="TextBody"/>
        <w:bidi w:val="0"/>
        <w:spacing w:lineRule="auto" w:line="240" w:before="12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120" w:after="283"/>
        <w:jc w:val="left"/>
        <w:rPr/>
      </w:pPr>
      <w:r>
        <w:rPr/>
      </w:r>
    </w:p>
    <w:p>
      <w:pPr>
        <w:pStyle w:val="TextBody"/>
        <w:bidi w:val="0"/>
        <w:spacing w:before="12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346075"/>
                <wp:effectExtent l="0" t="0" r="0" b="0"/>
                <wp:wrapNone/>
                <wp:docPr id="251" name="Frame251"/>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52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52</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120"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D</w:t>
      </w:r>
    </w:p>
    <w:p>
      <w:pPr>
        <w:pStyle w:val="TextBody"/>
        <w:bidi w:val="0"/>
        <w:spacing w:before="120" w:after="283"/>
        <w:jc w:val="center"/>
        <w:rPr/>
      </w:pPr>
      <w:r>
        <w:rPr/>
      </w:r>
    </w:p>
    <w:p>
      <w:pPr>
        <w:pStyle w:val="TextBody"/>
        <w:bidi w:val="0"/>
        <w:spacing w:lineRule="auto" w:line="240" w:before="12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120" w:after="283"/>
        <w:jc w:val="center"/>
        <w:rPr/>
      </w:pPr>
      <w:r>
        <w:rPr/>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346075"/>
                <wp:effectExtent l="0" t="0" r="0" b="0"/>
                <wp:wrapNone/>
                <wp:docPr id="252" name="Frame252"/>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53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53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E</w:t>
      </w:r>
    </w:p>
    <w:p>
      <w:pPr>
        <w:pStyle w:val="TextBody"/>
        <w:bidi w:val="0"/>
        <w:spacing w:before="120" w:after="283"/>
        <w:jc w:val="center"/>
        <w:rPr/>
      </w:pPr>
      <w:r>
        <w:rPr/>
      </w:r>
    </w:p>
    <w:p>
      <w:pPr>
        <w:pStyle w:val="TextBody"/>
        <w:bidi w:val="0"/>
        <w:spacing w:lineRule="auto" w:line="240" w:before="120" w:after="283"/>
        <w:jc w:val="left"/>
        <w:rPr>
          <w:color w:val="000000"/>
        </w:rPr>
      </w:pPr>
      <w:r>
        <w:rPr>
          <w:color w:val="000000"/>
        </w:rPr>
        <w:t>        </w:t>
      </w:r>
    </w:p>
    <w:p>
      <w:pPr>
        <w:pStyle w:val="TextBody"/>
        <w:bidi w:val="0"/>
        <w:spacing w:lineRule="auto" w:line="240" w:before="120" w:after="283"/>
        <w:jc w:val="center"/>
        <w:rPr>
          <w:rFonts w:ascii="Times New Roman;sans-serif" w:hAnsi="Times New Roman;sans-serif"/>
          <w:b/>
          <w:color w:val="000000"/>
          <w:sz w:val="22"/>
        </w:rPr>
      </w:pPr>
      <w:r>
        <w:rPr>
          <w:rFonts w:ascii="Times New Roman;sans-serif" w:hAnsi="Times New Roman;sans-serif"/>
          <w:b/>
          <w:color w:val="000000"/>
          <w:sz w:val="22"/>
        </w:rPr>
        <w:t>[***]</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346075"/>
                <wp:effectExtent l="0" t="0" r="0" b="0"/>
                <wp:wrapNone/>
                <wp:docPr id="253" name="Frame253"/>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54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54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120"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F</w:t>
      </w:r>
    </w:p>
    <w:p>
      <w:pPr>
        <w:pStyle w:val="TextBody"/>
        <w:bidi w:val="0"/>
        <w:spacing w:before="0" w:after="0"/>
        <w:jc w:val="center"/>
        <w:rPr/>
      </w:pPr>
      <w:r>
        <w:rPr/>
      </w:r>
    </w:p>
    <w:p>
      <w:pPr>
        <w:pStyle w:val="TextBody"/>
        <w:bidi w:val="0"/>
        <w:spacing w:lineRule="auto" w:line="300" w:before="0" w:after="2"/>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12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346075"/>
                <wp:effectExtent l="0" t="0" r="0" b="0"/>
                <wp:wrapNone/>
                <wp:docPr id="254" name="Frame254"/>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55</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120"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G</w:t>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300" w:before="0" w:after="160"/>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12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10.4</w:t>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346075"/>
                <wp:effectExtent l="0" t="0" r="0" b="0"/>
                <wp:wrapNone/>
                <wp:docPr id="255" name="Frame255"/>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56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56</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pStyle w:val="TextBody"/>
        <w:bidi w:val="0"/>
        <w:spacing w:before="0" w:after="0"/>
        <w:jc w:val="left"/>
        <w:rPr/>
      </w:pPr>
      <w:r>
        <w:rPr/>
      </w:r>
    </w:p>
    <w:p>
      <w:pPr>
        <w:pStyle w:val="TextBody"/>
        <w:bidi w:val="0"/>
        <w:spacing w:before="100" w:after="240"/>
        <w:jc w:val="center"/>
        <w:rPr/>
      </w:pPr>
      <w:r>
        <w:rPr/>
      </w:r>
    </w:p>
    <w:p>
      <w:pPr>
        <w:pStyle w:val="TextBody"/>
        <w:bidi w:val="0"/>
        <w:spacing w:lineRule="auto" w:line="240" w:before="2" w:after="2"/>
        <w:jc w:val="center"/>
        <w:rPr>
          <w:rFonts w:ascii="Times New Roman;sans-serif" w:hAnsi="Times New Roman;sans-serif"/>
          <w:b/>
          <w:color w:val="000000"/>
          <w:sz w:val="22"/>
          <w:u w:val="single"/>
        </w:rPr>
      </w:pPr>
      <w:r>
        <w:rPr>
          <w:rFonts w:ascii="Times New Roman;sans-serif" w:hAnsi="Times New Roman;sans-serif"/>
          <w:b/>
          <w:color w:val="000000"/>
          <w:sz w:val="22"/>
          <w:u w:val="single"/>
        </w:rPr>
        <w:t>SUBLEASE AGREEMENT</w:t>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THIS SUBLEASE AGREEMENT (this “</w:t>
      </w:r>
      <w:r>
        <w:rPr>
          <w:rFonts w:ascii="Times New Roman;sans-serif" w:hAnsi="Times New Roman;sans-serif"/>
          <w:b/>
          <w:i/>
          <w:color w:val="000000"/>
          <w:sz w:val="22"/>
        </w:rPr>
        <w:t>Sublease</w:t>
      </w:r>
      <w:r>
        <w:rPr>
          <w:color w:val="000000"/>
        </w:rPr>
        <w:t>”</w:t>
      </w:r>
      <w:r>
        <w:rPr>
          <w:rFonts w:ascii="Times New Roman;sans-serif" w:hAnsi="Times New Roman;sans-serif"/>
          <w:b w:val="false"/>
          <w:color w:val="000000"/>
          <w:sz w:val="22"/>
        </w:rPr>
        <w:t>) is made and entered into this 7th day of August, 2023 (the “</w:t>
      </w:r>
      <w:r>
        <w:rPr>
          <w:rFonts w:ascii="Times New Roman;sans-serif" w:hAnsi="Times New Roman;sans-serif"/>
          <w:b/>
          <w:i/>
          <w:color w:val="000000"/>
          <w:sz w:val="22"/>
        </w:rPr>
        <w:t>Effective Date</w:t>
      </w:r>
      <w:r>
        <w:rPr>
          <w:color w:val="000000"/>
        </w:rPr>
        <w:t>”</w:t>
      </w:r>
      <w:r>
        <w:rPr>
          <w:rFonts w:ascii="Times New Roman;sans-serif" w:hAnsi="Times New Roman;sans-serif"/>
          <w:b w:val="false"/>
          <w:color w:val="000000"/>
          <w:sz w:val="22"/>
        </w:rPr>
        <w:t xml:space="preserve">), by and between the </w:t>
      </w:r>
      <w:r>
        <w:rPr>
          <w:rFonts w:ascii="Times New Roman;sans-serif" w:hAnsi="Times New Roman;sans-serif"/>
          <w:b/>
          <w:color w:val="000000"/>
          <w:sz w:val="22"/>
        </w:rPr>
        <w:t>SENTI BIOSCIENCES, INC</w:t>
      </w:r>
      <w:r>
        <w:rPr>
          <w:rFonts w:ascii="Times New Roman;sans-serif" w:hAnsi="Times New Roman;sans-serif"/>
          <w:b w:val="false"/>
          <w:color w:val="000000"/>
          <w:sz w:val="22"/>
        </w:rPr>
        <w:t>., a Delaware corporation (hereinafter referred to as the “</w:t>
      </w:r>
      <w:r>
        <w:rPr>
          <w:rFonts w:ascii="Times New Roman;sans-serif" w:hAnsi="Times New Roman;sans-serif"/>
          <w:b/>
          <w:i/>
          <w:color w:val="000000"/>
          <w:sz w:val="22"/>
        </w:rPr>
        <w:t>Sublandlord</w:t>
      </w:r>
      <w:r>
        <w:rPr>
          <w:color w:val="000000"/>
        </w:rPr>
        <w:t>”</w:t>
      </w:r>
      <w:r>
        <w:rPr>
          <w:rFonts w:ascii="Times New Roman;sans-serif" w:hAnsi="Times New Roman;sans-serif"/>
          <w:b w:val="false"/>
          <w:color w:val="000000"/>
          <w:sz w:val="22"/>
        </w:rPr>
        <w:t xml:space="preserve">) and </w:t>
      </w:r>
      <w:r>
        <w:rPr>
          <w:rFonts w:ascii="Times New Roman;sans-serif" w:hAnsi="Times New Roman;sans-serif"/>
          <w:b/>
          <w:color w:val="000000"/>
          <w:sz w:val="22"/>
        </w:rPr>
        <w:t>GENEFAB, LLC</w:t>
      </w:r>
      <w:r>
        <w:rPr>
          <w:rFonts w:ascii="Times New Roman;sans-serif" w:hAnsi="Times New Roman;sans-serif"/>
          <w:b w:val="false"/>
          <w:color w:val="000000"/>
          <w:sz w:val="22"/>
        </w:rPr>
        <w:t>, a Delaware limited liability company (hereinafter referred to as the “</w:t>
      </w:r>
      <w:r>
        <w:rPr>
          <w:rFonts w:ascii="Times New Roman;sans-serif" w:hAnsi="Times New Roman;sans-serif"/>
          <w:b/>
          <w:i/>
          <w:color w:val="000000"/>
          <w:sz w:val="22"/>
        </w:rPr>
        <w:t>Subtenant</w:t>
      </w:r>
      <w:r>
        <w:rPr>
          <w:color w:val="000000"/>
        </w:rPr>
        <w:t>”</w:t>
      </w:r>
      <w:r>
        <w:rPr>
          <w:rFonts w:ascii="Times New Roman;sans-serif" w:hAnsi="Times New Roman;sans-serif"/>
          <w:b w:val="false"/>
          <w:color w:val="000000"/>
          <w:sz w:val="22"/>
        </w:rPr>
        <w:t>) (each a “</w:t>
      </w:r>
      <w:r>
        <w:rPr>
          <w:rFonts w:ascii="Times New Roman;sans-serif" w:hAnsi="Times New Roman;sans-serif"/>
          <w:b/>
          <w:i/>
          <w:color w:val="000000"/>
          <w:sz w:val="22"/>
        </w:rPr>
        <w:t>Party</w:t>
      </w:r>
      <w:r>
        <w:rPr>
          <w:color w:val="000000"/>
        </w:rPr>
        <w:t>”</w:t>
      </w:r>
      <w:r>
        <w:rPr>
          <w:rFonts w:ascii="Times New Roman;sans-serif" w:hAnsi="Times New Roman;sans-serif"/>
          <w:b w:val="false"/>
          <w:color w:val="000000"/>
          <w:sz w:val="22"/>
        </w:rPr>
        <w:t>, and together, the “</w:t>
      </w:r>
      <w:r>
        <w:rPr>
          <w:rFonts w:ascii="Times New Roman;sans-serif" w:hAnsi="Times New Roman;sans-serif"/>
          <w:b/>
          <w:i/>
          <w:color w:val="000000"/>
          <w:sz w:val="22"/>
        </w:rPr>
        <w:t>Parties</w:t>
      </w:r>
      <w:r>
        <w:rPr>
          <w:color w:val="000000"/>
        </w:rPr>
        <w:t>”</w:t>
      </w:r>
      <w:r>
        <w:rPr>
          <w:rFonts w:ascii="Times New Roman;sans-serif" w:hAnsi="Times New Roman;sans-serif"/>
          <w:b w:val="false"/>
          <w:color w:val="000000"/>
          <w:sz w:val="22"/>
        </w:rPr>
        <w:t>).</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W I T N E S S E T H:</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WHEREAS, pursuant to that certain Research and Development and Laboratory Lease Agreement between 1430 South Loop Owner, LLC, a Delaware limited liability company (the “</w:t>
      </w:r>
      <w:r>
        <w:rPr>
          <w:rFonts w:ascii="Times New Roman;sans-serif" w:hAnsi="Times New Roman;sans-serif"/>
          <w:b/>
          <w:i/>
          <w:color w:val="000000"/>
          <w:sz w:val="22"/>
        </w:rPr>
        <w:t>Prime Landlord</w:t>
      </w:r>
      <w:r>
        <w:rPr>
          <w:color w:val="000000"/>
        </w:rPr>
        <w:t>”</w:t>
      </w:r>
      <w:r>
        <w:rPr>
          <w:rFonts w:ascii="Times New Roman;sans-serif" w:hAnsi="Times New Roman;sans-serif"/>
          <w:b w:val="false"/>
          <w:color w:val="000000"/>
          <w:sz w:val="22"/>
        </w:rPr>
        <w:t>) and Sublandlord, dated as of June 3, 2021, as amended by that certain Letter Amendment by and between Prime Landlord and Sublandlord dated as of June 3, 2021 (collectively, the “</w:t>
      </w:r>
      <w:r>
        <w:rPr>
          <w:rFonts w:ascii="Times New Roman;sans-serif" w:hAnsi="Times New Roman;sans-serif"/>
          <w:b/>
          <w:i/>
          <w:color w:val="000000"/>
          <w:sz w:val="22"/>
        </w:rPr>
        <w:t>Prime Lease</w:t>
      </w:r>
      <w:r>
        <w:rPr>
          <w:color w:val="000000"/>
        </w:rPr>
        <w:t>”</w:t>
      </w:r>
      <w:r>
        <w:rPr>
          <w:rFonts w:ascii="Times New Roman;sans-serif" w:hAnsi="Times New Roman;sans-serif"/>
          <w:b w:val="false"/>
          <w:color w:val="000000"/>
          <w:sz w:val="22"/>
        </w:rPr>
        <w:t>), Sublandlord leases approximately 91,910 rentable square feet (the “</w:t>
      </w:r>
      <w:r>
        <w:rPr>
          <w:rFonts w:ascii="Times New Roman;sans-serif" w:hAnsi="Times New Roman;sans-serif"/>
          <w:b/>
          <w:i/>
          <w:color w:val="000000"/>
          <w:sz w:val="22"/>
        </w:rPr>
        <w:t>Premises</w:t>
      </w:r>
      <w:r>
        <w:rPr>
          <w:color w:val="000000"/>
        </w:rPr>
        <w:t>”</w:t>
      </w:r>
      <w:r>
        <w:rPr>
          <w:rFonts w:ascii="Times New Roman;sans-serif" w:hAnsi="Times New Roman;sans-serif"/>
          <w:b w:val="false"/>
          <w:color w:val="000000"/>
          <w:sz w:val="22"/>
        </w:rPr>
        <w:t>) consisting of the entire rentable area of the building commonly known as 1430 Harbor Bay Parkway, Alameda, CA (the “</w:t>
      </w:r>
      <w:r>
        <w:rPr>
          <w:rFonts w:ascii="Times New Roman;sans-serif" w:hAnsi="Times New Roman;sans-serif"/>
          <w:b/>
          <w:i/>
          <w:color w:val="000000"/>
          <w:sz w:val="22"/>
        </w:rPr>
        <w:t>Building</w:t>
      </w:r>
      <w:r>
        <w:rPr>
          <w:color w:val="000000"/>
        </w:rPr>
        <w:t>”</w:t>
      </w:r>
      <w:r>
        <w:rPr>
          <w:rFonts w:ascii="Times New Roman;sans-serif" w:hAnsi="Times New Roman;sans-serif"/>
          <w:b w:val="false"/>
          <w:color w:val="000000"/>
          <w:sz w:val="22"/>
        </w:rPr>
        <w:t>); and</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WHEREAS, pursuant to that certain Framework Agreement by and between Sublandlord, Valere Bio, Inc., and Subtenant, dated as of August 7, 2023 (the “</w:t>
      </w:r>
      <w:r>
        <w:rPr>
          <w:rFonts w:ascii="Times New Roman;sans-serif" w:hAnsi="Times New Roman;sans-serif"/>
          <w:b/>
          <w:i/>
          <w:color w:val="000000"/>
          <w:sz w:val="22"/>
        </w:rPr>
        <w:t>Framework Agreement</w:t>
      </w:r>
      <w:r>
        <w:rPr>
          <w:color w:val="000000"/>
        </w:rPr>
        <w:t>”</w:t>
      </w:r>
      <w:r>
        <w:rPr>
          <w:rFonts w:ascii="Times New Roman;sans-serif" w:hAnsi="Times New Roman;sans-serif"/>
          <w:b w:val="false"/>
          <w:color w:val="000000"/>
          <w:sz w:val="22"/>
        </w:rPr>
        <w:t xml:space="preserve">), Sublandlord agreed to sublease to Subtenant and Subtenant agreed to Sublease from Sublandlord, the entirety of the Premises, the outline of which is shown on the plan set forth on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attached hereto and made a part hereof subject to and conditioned upon receipt of required consents from Prime Landlord and, to the extent applicable, the Current Holder (as hereinafter defined); and</w:t>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WHEREAS, as of the Effective Date, Prime Landlord has [***]; and</w:t>
      </w:r>
    </w:p>
    <w:p>
      <w:pPr>
        <w:pStyle w:val="TextBody"/>
        <w:bidi w:val="0"/>
        <w:spacing w:before="0" w:after="0"/>
        <w:jc w:val="left"/>
        <w:rPr/>
      </w:pPr>
      <w:r>
        <w:rPr/>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 xml:space="preserve">WHEREAS, Subtenant has a need to commence business operations in a portion of the Premises as soon as possible and Sublandlord has communicated the same to Prime Landlord. Prime Landlord has agreed, subject to the terms and conditions in the Prime Landlord’s Consent (as hereinafter defined), to consent to the subleasing of the Initial Sublease Premises (as hereinafter defined). Upon the satisfaction of the Must-Take Sublease Premises Conditions (as hereinafter defined), the Initial Sublease Premises will expand to include the Must-Take Sublease Premises and, thereafter, the Subleased Premises (as defined in the Basic Sublease Provisions) will comprise the entirety of the Premises.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Subtenant desires to sublease from Sublandlord the Subleased Premises, upon the terms and conditions set forth in this Sublease.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for and in consideration set forth herein, and of other good and valuable consideration, the receipt and sufficiency of which are hereby acknowledged, the undersigned Parties, and their successors and assigns, hereby agree as follows: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1.    </w:t>
      </w:r>
      <w:r>
        <w:rPr>
          <w:rFonts w:ascii="Times New Roman;sans-serif" w:hAnsi="Times New Roman;sans-serif"/>
          <w:b w:val="false"/>
          <w:color w:val="000000"/>
          <w:sz w:val="22"/>
          <w:u w:val="single"/>
        </w:rPr>
        <w:t>Basic Sublease Provisions</w:t>
      </w:r>
      <w:r>
        <w:rPr>
          <w:rFonts w:ascii="Times New Roman;sans-serif" w:hAnsi="Times New Roman;sans-serif"/>
          <w:b w:val="false"/>
          <w:color w:val="000000"/>
          <w:sz w:val="22"/>
        </w:rPr>
        <w:t>. The information set forth in this section (the “</w:t>
      </w:r>
      <w:r>
        <w:rPr>
          <w:rFonts w:ascii="Times New Roman;sans-serif" w:hAnsi="Times New Roman;sans-serif"/>
          <w:b/>
          <w:i/>
          <w:color w:val="000000"/>
          <w:sz w:val="22"/>
        </w:rPr>
        <w:t>Basic Sublease Provisions</w:t>
      </w:r>
      <w:r>
        <w:rPr>
          <w:color w:val="000000"/>
        </w:rPr>
        <w:t>”</w:t>
      </w:r>
      <w:r>
        <w:rPr>
          <w:rFonts w:ascii="Times New Roman;sans-serif" w:hAnsi="Times New Roman;sans-serif"/>
          <w:b w:val="false"/>
          <w:color w:val="000000"/>
          <w:sz w:val="22"/>
        </w:rPr>
        <w:t xml:space="preserve">) is intended to supplement and/or summarize the provisions set forth in the balance of this Sublease. Each reference in this Sublease to any of the terms set forth below shall mean the respective information set forth next to such term as amplified, construed or supplemented by the particular Section(s) of the Sublease pertaining to such information. Unless otherwise expressly defined in this Sublease, the capitalized terms in the left column immediately below shall have the meaning (and are hereby defined as) set forth in the column immediately to the right of the applicable capitalized term.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56" name="Frame2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89"/>
        <w:gridCol w:w="343"/>
        <w:gridCol w:w="343"/>
        <w:gridCol w:w="321"/>
        <w:gridCol w:w="246"/>
        <w:gridCol w:w="248"/>
        <w:gridCol w:w="2685"/>
        <w:gridCol w:w="2324"/>
        <w:gridCol w:w="3306"/>
      </w:tblGrid>
      <w:tr>
        <w:trPr/>
        <w:tc>
          <w:tcPr>
            <w:tcW w:w="38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3306" w:type="dxa"/>
            <w:tcBorders/>
            <w:vAlign w:val="center"/>
          </w:tcPr>
          <w:p>
            <w:pPr>
              <w:pStyle w:val="TableContents"/>
              <w:bidi w:val="0"/>
              <w:spacing w:before="0" w:after="283"/>
              <w:jc w:val="left"/>
              <w:rPr>
                <w:sz w:val="4"/>
                <w:szCs w:val="4"/>
              </w:rPr>
            </w:pPr>
            <w:r>
              <w:rPr>
                <w:sz w:val="4"/>
                <w:szCs w:val="4"/>
              </w:rPr>
            </w:r>
          </w:p>
        </w:tc>
      </w:tr>
      <w:tr>
        <w:trPr/>
        <w:tc>
          <w:tcPr>
            <w:tcW w:w="1890"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2"/>
                <w:u w:val="single"/>
              </w:rPr>
              <w:t>Prime Landlord</w:t>
            </w:r>
            <w:r>
              <w:rPr>
                <w:rFonts w:ascii="Times New Roman;sans-serif" w:hAnsi="Times New Roman;sans-serif"/>
                <w:b w:val="false"/>
                <w:color w:val="000000"/>
                <w:sz w:val="22"/>
              </w:rPr>
              <w:t>:</w:t>
            </w:r>
          </w:p>
        </w:tc>
        <w:tc>
          <w:tcPr>
            <w:tcW w:w="8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1430 SOUTH LOOP OWNER, LLC</w:t>
            </w:r>
          </w:p>
        </w:tc>
      </w:tr>
      <w:tr>
        <w:trPr/>
        <w:tc>
          <w:tcPr>
            <w:tcW w:w="1890" w:type="dxa"/>
            <w:gridSpan w:val="6"/>
            <w:tcBorders/>
            <w:tcMar>
              <w:top w:w="0" w:type="dxa"/>
              <w:left w:w="0" w:type="dxa"/>
              <w:bottom w:w="0" w:type="dxa"/>
              <w:right w:w="0" w:type="dxa"/>
            </w:tcMar>
            <w:vAlign w:val="center"/>
          </w:tcPr>
          <w:p>
            <w:pPr>
              <w:pStyle w:val="TableContents"/>
              <w:bidi w:val="0"/>
              <w:spacing w:lineRule="auto" w:line="240" w:before="0" w:after="0"/>
              <w:ind w:left="0" w:right="0" w:hanging="288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Prime Landlord’s</w:t>
            </w:r>
          </w:p>
          <w:p>
            <w:pPr>
              <w:pStyle w:val="TableContents"/>
              <w:bidi w:val="0"/>
              <w:spacing w:lineRule="auto" w:line="240" w:before="0" w:after="0"/>
              <w:jc w:val="left"/>
              <w:rPr/>
            </w:pPr>
            <w:r>
              <w:rPr>
                <w:rFonts w:ascii="Times New Roman;sans-serif" w:hAnsi="Times New Roman;sans-serif"/>
                <w:b w:val="false"/>
                <w:color w:val="000000"/>
                <w:sz w:val="22"/>
                <w:u w:val="single"/>
              </w:rPr>
              <w:t>Address for Notices</w:t>
            </w:r>
            <w:r>
              <w:rPr>
                <w:rFonts w:ascii="Times New Roman;sans-serif" w:hAnsi="Times New Roman;sans-serif"/>
                <w:b w:val="false"/>
                <w:color w:val="000000"/>
                <w:sz w:val="22"/>
              </w:rPr>
              <w:t>:</w:t>
            </w:r>
          </w:p>
        </w:tc>
        <w:tc>
          <w:tcPr>
            <w:tcW w:w="83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San Francisco, CA 94111</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Attn: Tawni Sullivan</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Email: [***]</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With a copy to:</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1340 South Loop Owner, LLC</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Dallas, TX 75201</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Attn: North South Loop Asset Manager</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Telephone: [***]</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And a copy to:</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Shartsis Friese LLP</w:t>
            </w:r>
          </w:p>
          <w:p>
            <w:pPr>
              <w:pStyle w:val="TableContents"/>
              <w:bidi w:val="0"/>
              <w:spacing w:lineRule="auto" w:line="240" w:before="0" w:after="0"/>
              <w:jc w:val="left"/>
              <w:rPr/>
            </w:pPr>
            <w:r>
              <w:rPr>
                <w:rFonts w:ascii="Times New Roman;sans-serif" w:hAnsi="Times New Roman;sans-serif"/>
                <w:b w:val="false"/>
                <w:color w:val="000000"/>
                <w:sz w:val="22"/>
              </w:rPr>
              <w:t>One Maritime Plaza, 18</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Floor</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San Francisco, CA 94111</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Atten: Scott Schneider</w:t>
            </w:r>
          </w:p>
        </w:tc>
      </w:tr>
      <w:tr>
        <w:trPr/>
        <w:tc>
          <w:tcPr>
            <w:tcW w:w="1890" w:type="dxa"/>
            <w:gridSpan w:val="6"/>
            <w:tcBorders/>
            <w:tcMar>
              <w:top w:w="0" w:type="dxa"/>
              <w:left w:w="0" w:type="dxa"/>
              <w:bottom w:w="0" w:type="dxa"/>
              <w:right w:w="0" w:type="dxa"/>
            </w:tcMar>
            <w:vAlign w:val="center"/>
          </w:tcPr>
          <w:p>
            <w:pPr>
              <w:pStyle w:val="TableContents"/>
              <w:bidi w:val="0"/>
              <w:spacing w:lineRule="auto" w:line="240" w:before="0" w:after="0"/>
              <w:ind w:left="0" w:right="0" w:hanging="2880"/>
              <w:jc w:val="left"/>
              <w:rPr/>
            </w:pPr>
            <w:r>
              <w:rPr>
                <w:rFonts w:ascii="Times New Roman;sans-serif" w:hAnsi="Times New Roman;sans-serif"/>
                <w:b w:val="false"/>
                <w:color w:val="000000"/>
                <w:sz w:val="22"/>
                <w:u w:val="single"/>
              </w:rPr>
              <w:t>Sublandlord</w:t>
            </w:r>
            <w:r>
              <w:rPr>
                <w:rFonts w:ascii="Times New Roman;sans-serif" w:hAnsi="Times New Roman;sans-serif"/>
                <w:b w:val="false"/>
                <w:color w:val="000000"/>
                <w:sz w:val="22"/>
              </w:rPr>
              <w:t>:</w:t>
            </w:r>
          </w:p>
        </w:tc>
        <w:tc>
          <w:tcPr>
            <w:tcW w:w="8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2880"/>
              <w:jc w:val="left"/>
              <w:rPr>
                <w:rFonts w:ascii="Times New Roman;sans-serif" w:hAnsi="Times New Roman;sans-serif"/>
                <w:b w:val="false"/>
                <w:color w:val="000000"/>
                <w:sz w:val="22"/>
              </w:rPr>
            </w:pPr>
            <w:r>
              <w:rPr>
                <w:rFonts w:ascii="Times New Roman;sans-serif" w:hAnsi="Times New Roman;sans-serif"/>
                <w:b w:val="false"/>
                <w:color w:val="000000"/>
                <w:sz w:val="22"/>
              </w:rPr>
              <w:t>SENTI BIOSCIENCES, INC.</w:t>
            </w:r>
          </w:p>
        </w:tc>
      </w:tr>
      <w:tr>
        <w:trPr/>
        <w:tc>
          <w:tcPr>
            <w:tcW w:w="1890" w:type="dxa"/>
            <w:gridSpan w:val="6"/>
            <w:tcBorders/>
            <w:tcMar>
              <w:top w:w="0" w:type="dxa"/>
              <w:left w:w="0" w:type="dxa"/>
              <w:bottom w:w="0" w:type="dxa"/>
              <w:right w:w="0" w:type="dxa"/>
            </w:tcMar>
            <w:vAlign w:val="center"/>
          </w:tcPr>
          <w:p>
            <w:pPr>
              <w:pStyle w:val="TableContents"/>
              <w:bidi w:val="0"/>
              <w:spacing w:lineRule="auto" w:line="240" w:before="0" w:after="0"/>
              <w:ind w:left="0" w:right="0" w:hanging="288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Sublandlord’s</w:t>
            </w:r>
          </w:p>
          <w:p>
            <w:pPr>
              <w:pStyle w:val="TableContents"/>
              <w:bidi w:val="0"/>
              <w:spacing w:lineRule="auto" w:line="240" w:before="0" w:after="0"/>
              <w:ind w:left="0" w:right="0" w:hanging="288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Address for</w:t>
            </w:r>
          </w:p>
          <w:p>
            <w:pPr>
              <w:pStyle w:val="TableContents"/>
              <w:bidi w:val="0"/>
              <w:spacing w:lineRule="auto" w:line="240" w:before="0" w:after="0"/>
              <w:ind w:left="0" w:right="0" w:hanging="2880"/>
              <w:jc w:val="left"/>
              <w:rPr/>
            </w:pP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w:t>
            </w:r>
          </w:p>
        </w:tc>
        <w:tc>
          <w:tcPr>
            <w:tcW w:w="83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Senti Biosciences, Inc.</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Two Corporate Drive</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South San Francisco, CA 94080</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Attn: Facilities Manager</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Telephone: [***]</w:t>
            </w:r>
          </w:p>
        </w:tc>
      </w:tr>
      <w:tr>
        <w:trPr/>
        <w:tc>
          <w:tcPr>
            <w:tcW w:w="1890" w:type="dxa"/>
            <w:gridSpan w:val="6"/>
            <w:tcBorders/>
            <w:tcMar>
              <w:top w:w="0" w:type="dxa"/>
              <w:left w:w="0" w:type="dxa"/>
              <w:bottom w:w="0" w:type="dxa"/>
              <w:right w:w="0" w:type="dxa"/>
            </w:tcMar>
            <w:vAlign w:val="center"/>
          </w:tcPr>
          <w:p>
            <w:pPr>
              <w:pStyle w:val="TableContents"/>
              <w:bidi w:val="0"/>
              <w:spacing w:before="0" w:after="0"/>
              <w:ind w:left="0" w:right="0" w:hanging="2880"/>
              <w:jc w:val="left"/>
              <w:rPr/>
            </w:pPr>
            <w:r>
              <w:rPr/>
            </w:r>
          </w:p>
        </w:tc>
        <w:tc>
          <w:tcPr>
            <w:tcW w:w="8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2880"/>
              <w:jc w:val="left"/>
              <w:rPr>
                <w:rFonts w:ascii="Times New Roman;sans-serif" w:hAnsi="Times New Roman;sans-serif"/>
                <w:b w:val="false"/>
                <w:color w:val="000000"/>
                <w:sz w:val="22"/>
              </w:rPr>
            </w:pPr>
            <w:r>
              <w:rPr>
                <w:rFonts w:ascii="Times New Roman;sans-serif" w:hAnsi="Times New Roman;sans-serif"/>
                <w:b w:val="false"/>
                <w:color w:val="000000"/>
                <w:sz w:val="22"/>
              </w:rPr>
              <w:t>with a copy to:</w:t>
            </w:r>
          </w:p>
          <w:p>
            <w:pPr>
              <w:pStyle w:val="TableContents"/>
              <w:bidi w:val="0"/>
              <w:spacing w:lineRule="auto" w:line="240" w:before="0" w:after="0"/>
              <w:ind w:left="0" w:right="0" w:hanging="2880"/>
              <w:jc w:val="left"/>
              <w:rPr>
                <w:rFonts w:ascii="Times New Roman;sans-serif" w:hAnsi="Times New Roman;sans-serif"/>
                <w:b w:val="false"/>
                <w:color w:val="000000"/>
                <w:sz w:val="22"/>
              </w:rPr>
            </w:pPr>
            <w:r>
              <w:rPr>
                <w:rFonts w:ascii="Times New Roman;sans-serif" w:hAnsi="Times New Roman;sans-serif"/>
                <w:b w:val="false"/>
                <w:color w:val="000000"/>
                <w:sz w:val="22"/>
              </w:rPr>
              <w:t>Cooley LLP</w:t>
            </w:r>
          </w:p>
          <w:p>
            <w:pPr>
              <w:pStyle w:val="TableContents"/>
              <w:bidi w:val="0"/>
              <w:spacing w:lineRule="auto" w:line="240" w:before="0" w:after="0"/>
              <w:ind w:left="0" w:right="0" w:hanging="2880"/>
              <w:jc w:val="left"/>
              <w:rPr/>
            </w:pPr>
            <w:r>
              <w:rPr>
                <w:rFonts w:ascii="Times New Roman;sans-serif" w:hAnsi="Times New Roman;sans-serif"/>
                <w:b w:val="false"/>
                <w:color w:val="000000"/>
                <w:sz w:val="22"/>
              </w:rPr>
              <w:t>101 California Street, 5</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Floor</w:t>
            </w:r>
          </w:p>
          <w:p>
            <w:pPr>
              <w:pStyle w:val="TableContents"/>
              <w:bidi w:val="0"/>
              <w:spacing w:lineRule="auto" w:line="240" w:before="0" w:after="0"/>
              <w:ind w:left="0" w:right="0" w:hanging="2880"/>
              <w:jc w:val="left"/>
              <w:rPr>
                <w:rFonts w:ascii="Times New Roman;sans-serif" w:hAnsi="Times New Roman;sans-serif"/>
                <w:b w:val="false"/>
                <w:color w:val="000000"/>
                <w:sz w:val="22"/>
              </w:rPr>
            </w:pPr>
            <w:r>
              <w:rPr>
                <w:rFonts w:ascii="Times New Roman;sans-serif" w:hAnsi="Times New Roman;sans-serif"/>
                <w:b w:val="false"/>
                <w:color w:val="000000"/>
                <w:sz w:val="22"/>
              </w:rPr>
              <w:t>San Francisco, CA 94111</w:t>
            </w:r>
          </w:p>
          <w:p>
            <w:pPr>
              <w:pStyle w:val="TableContents"/>
              <w:bidi w:val="0"/>
              <w:spacing w:lineRule="auto" w:line="240" w:before="0" w:after="0"/>
              <w:ind w:left="0" w:right="0" w:hanging="2880"/>
              <w:jc w:val="left"/>
              <w:rPr>
                <w:rFonts w:ascii="Times New Roman;sans-serif" w:hAnsi="Times New Roman;sans-serif"/>
                <w:b w:val="false"/>
                <w:color w:val="000000"/>
                <w:sz w:val="22"/>
              </w:rPr>
            </w:pPr>
            <w:r>
              <w:rPr>
                <w:rFonts w:ascii="Times New Roman;sans-serif" w:hAnsi="Times New Roman;sans-serif"/>
                <w:b w:val="false"/>
                <w:color w:val="000000"/>
                <w:sz w:val="22"/>
              </w:rPr>
              <w:t>Attn: Rachel Antoinette Boyce</w:t>
            </w:r>
          </w:p>
        </w:tc>
      </w:tr>
      <w:tr>
        <w:trPr/>
        <w:tc>
          <w:tcPr>
            <w:tcW w:w="1890" w:type="dxa"/>
            <w:gridSpan w:val="6"/>
            <w:tcBorders/>
            <w:tcMar>
              <w:top w:w="0" w:type="dxa"/>
              <w:left w:w="0" w:type="dxa"/>
              <w:bottom w:w="0" w:type="dxa"/>
              <w:right w:w="0" w:type="dxa"/>
            </w:tcMar>
            <w:vAlign w:val="center"/>
          </w:tcPr>
          <w:p>
            <w:pPr>
              <w:pStyle w:val="TableContents"/>
              <w:bidi w:val="0"/>
              <w:spacing w:lineRule="auto" w:line="240" w:before="0" w:after="0"/>
              <w:ind w:left="0" w:right="0" w:hanging="2880"/>
              <w:jc w:val="left"/>
              <w:rPr/>
            </w:pPr>
            <w:r>
              <w:rPr>
                <w:rFonts w:ascii="Times New Roman;sans-serif" w:hAnsi="Times New Roman;sans-serif"/>
                <w:b w:val="false"/>
                <w:color w:val="000000"/>
                <w:sz w:val="22"/>
                <w:u w:val="single"/>
              </w:rPr>
              <w:t>Subtenant</w:t>
            </w:r>
            <w:r>
              <w:rPr>
                <w:rFonts w:ascii="Times New Roman;sans-serif" w:hAnsi="Times New Roman;sans-serif"/>
                <w:b w:val="false"/>
                <w:color w:val="000000"/>
                <w:sz w:val="22"/>
              </w:rPr>
              <w:t>:</w:t>
            </w:r>
          </w:p>
        </w:tc>
        <w:tc>
          <w:tcPr>
            <w:tcW w:w="8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GENEFAB, LLC</w:t>
            </w:r>
          </w:p>
        </w:tc>
      </w:tr>
      <w:tr>
        <w:trPr/>
        <w:tc>
          <w:tcPr>
            <w:tcW w:w="1890" w:type="dxa"/>
            <w:gridSpan w:val="6"/>
            <w:tcBorders/>
            <w:tcMar>
              <w:top w:w="0" w:type="dxa"/>
              <w:left w:w="0" w:type="dxa"/>
              <w:bottom w:w="0" w:type="dxa"/>
              <w:right w:w="0" w:type="dxa"/>
            </w:tcMar>
            <w:vAlign w:val="center"/>
          </w:tcPr>
          <w:p>
            <w:pPr>
              <w:pStyle w:val="TableContents"/>
              <w:bidi w:val="0"/>
              <w:spacing w:lineRule="auto" w:line="240" w:before="0" w:after="0"/>
              <w:ind w:left="0" w:right="0" w:hanging="288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Subtenant’s Address</w:t>
            </w:r>
          </w:p>
          <w:p>
            <w:pPr>
              <w:pStyle w:val="TableContents"/>
              <w:bidi w:val="0"/>
              <w:spacing w:lineRule="auto" w:line="240" w:before="0" w:after="0"/>
              <w:ind w:left="0" w:right="0" w:hanging="2880"/>
              <w:jc w:val="left"/>
              <w:rPr/>
            </w:pPr>
            <w:r>
              <w:rPr>
                <w:rFonts w:ascii="Times New Roman;sans-serif" w:hAnsi="Times New Roman;sans-serif"/>
                <w:b w:val="false"/>
                <w:color w:val="000000"/>
                <w:sz w:val="22"/>
                <w:u w:val="single"/>
              </w:rPr>
              <w:t>for Notices</w:t>
            </w:r>
            <w:r>
              <w:rPr>
                <w:rFonts w:ascii="Times New Roman;sans-serif" w:hAnsi="Times New Roman;sans-serif"/>
                <w:b w:val="false"/>
                <w:color w:val="000000"/>
                <w:sz w:val="22"/>
              </w:rPr>
              <w:t>:</w:t>
            </w:r>
          </w:p>
        </w:tc>
        <w:tc>
          <w:tcPr>
            <w:tcW w:w="83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At the Premises</w:t>
            </w:r>
          </w:p>
          <w:p>
            <w:pPr>
              <w:pStyle w:val="TableContents"/>
              <w:bidi w:val="0"/>
              <w:spacing w:lineRule="auto" w:line="240" w:before="0" w:after="0"/>
              <w:ind w:left="0" w:right="0" w:hanging="2880"/>
              <w:jc w:val="left"/>
              <w:rPr>
                <w:rFonts w:ascii="Times New Roman;sans-serif" w:hAnsi="Times New Roman;sans-serif"/>
                <w:b w:val="false"/>
                <w:color w:val="000000"/>
                <w:sz w:val="22"/>
              </w:rPr>
            </w:pPr>
            <w:r>
              <w:rPr>
                <w:rFonts w:ascii="Times New Roman;sans-serif" w:hAnsi="Times New Roman;sans-serif"/>
                <w:b w:val="false"/>
                <w:color w:val="000000"/>
                <w:sz w:val="22"/>
              </w:rPr>
              <w:t>Attn: Phillip Lee</w:t>
            </w:r>
          </w:p>
        </w:tc>
      </w:tr>
      <w:tr>
        <w:trPr/>
        <w:tc>
          <w:tcPr>
            <w:tcW w:w="1890" w:type="dxa"/>
            <w:gridSpan w:val="6"/>
            <w:tcBorders/>
            <w:tcMar>
              <w:top w:w="0" w:type="dxa"/>
              <w:left w:w="0" w:type="dxa"/>
              <w:bottom w:w="0" w:type="dxa"/>
              <w:right w:w="0" w:type="dxa"/>
            </w:tcMar>
            <w:vAlign w:val="center"/>
          </w:tcPr>
          <w:p>
            <w:pPr>
              <w:pStyle w:val="TableContents"/>
              <w:bidi w:val="0"/>
              <w:spacing w:lineRule="auto" w:line="240" w:before="0" w:after="0"/>
              <w:ind w:left="0" w:right="0" w:hanging="2880"/>
              <w:jc w:val="left"/>
              <w:rPr/>
            </w:pPr>
            <w:r>
              <w:rPr>
                <w:rFonts w:ascii="Times New Roman;sans-serif" w:hAnsi="Times New Roman;sans-serif"/>
                <w:b w:val="false"/>
                <w:color w:val="000000"/>
                <w:sz w:val="22"/>
                <w:u w:val="single"/>
              </w:rPr>
              <w:t>Subleased Premises</w:t>
            </w:r>
            <w:r>
              <w:rPr>
                <w:rFonts w:ascii="Times New Roman;sans-serif" w:hAnsi="Times New Roman;sans-serif"/>
                <w:b w:val="false"/>
                <w:color w:val="000000"/>
                <w:sz w:val="22"/>
              </w:rPr>
              <w:t>:</w:t>
            </w:r>
          </w:p>
        </w:tc>
        <w:tc>
          <w:tcPr>
            <w:tcW w:w="83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From the Commencement Date until the day immediately prior to the earlier of (a) the Must-Take Commencement Date and (b) the Expiration Date: the Initial Sublease Premises </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From the Must-Take Commencement Date until the Expiration Date: the entirety of the Premises</w:t>
            </w:r>
          </w:p>
        </w:tc>
      </w:tr>
      <w:tr>
        <w:trPr/>
        <w:tc>
          <w:tcPr>
            <w:tcW w:w="1890" w:type="dxa"/>
            <w:gridSpan w:val="6"/>
            <w:tcBorders/>
            <w:tcMar>
              <w:top w:w="0" w:type="dxa"/>
              <w:left w:w="0" w:type="dxa"/>
              <w:bottom w:w="0" w:type="dxa"/>
              <w:right w:w="0" w:type="dxa"/>
            </w:tcMar>
            <w:vAlign w:val="center"/>
          </w:tcPr>
          <w:p>
            <w:pPr>
              <w:pStyle w:val="TableContents"/>
              <w:bidi w:val="0"/>
              <w:spacing w:lineRule="auto" w:line="240" w:before="0" w:after="0"/>
              <w:ind w:left="0" w:right="0" w:hanging="2880"/>
              <w:jc w:val="left"/>
              <w:rPr/>
            </w:pPr>
            <w:r>
              <w:rPr>
                <w:rFonts w:ascii="Times New Roman;sans-serif" w:hAnsi="Times New Roman;sans-serif"/>
                <w:b w:val="false"/>
                <w:color w:val="000000"/>
                <w:sz w:val="22"/>
                <w:u w:val="single"/>
              </w:rPr>
              <w:t>Building</w:t>
            </w:r>
            <w:r>
              <w:rPr>
                <w:rFonts w:ascii="Times New Roman;sans-serif" w:hAnsi="Times New Roman;sans-serif"/>
                <w:b w:val="false"/>
                <w:color w:val="000000"/>
                <w:sz w:val="22"/>
              </w:rPr>
              <w:t>:</w:t>
            </w:r>
          </w:p>
        </w:tc>
        <w:tc>
          <w:tcPr>
            <w:tcW w:w="8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2880"/>
              <w:jc w:val="left"/>
              <w:rPr>
                <w:rFonts w:ascii="Times New Roman;sans-serif" w:hAnsi="Times New Roman;sans-serif"/>
                <w:b w:val="false"/>
                <w:color w:val="000000"/>
                <w:sz w:val="22"/>
              </w:rPr>
            </w:pPr>
            <w:r>
              <w:rPr>
                <w:rFonts w:ascii="Times New Roman;sans-serif" w:hAnsi="Times New Roman;sans-serif"/>
                <w:b w:val="false"/>
                <w:color w:val="000000"/>
                <w:sz w:val="22"/>
              </w:rPr>
              <w:t>1430 Harbor Bay Parkway, Alameda, CA</w:t>
            </w:r>
          </w:p>
        </w:tc>
      </w:tr>
      <w:tr>
        <w:trPr/>
        <w:tc>
          <w:tcPr>
            <w:tcW w:w="1890" w:type="dxa"/>
            <w:gridSpan w:val="6"/>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pPr>
            <w:r>
              <w:rPr>
                <w:rFonts w:ascii="Times New Roman;sans-serif" w:hAnsi="Times New Roman;sans-serif"/>
                <w:b w:val="false"/>
                <w:color w:val="000000"/>
                <w:sz w:val="22"/>
                <w:u w:val="single"/>
              </w:rPr>
              <w:t>Base Rent</w:t>
            </w:r>
            <w:r>
              <w:rPr>
                <w:rFonts w:ascii="Times New Roman;sans-serif" w:hAnsi="Times New Roman;sans-serif"/>
                <w:b w:val="false"/>
                <w:color w:val="000000"/>
                <w:sz w:val="22"/>
              </w:rPr>
              <w:t>:</w:t>
            </w:r>
          </w:p>
        </w:tc>
        <w:tc>
          <w:tcPr>
            <w:tcW w:w="831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Base Rent due under the Prime Lease </w:t>
            </w:r>
          </w:p>
        </w:tc>
      </w:tr>
      <w:tr>
        <w:trPr/>
        <w:tc>
          <w:tcPr>
            <w:tcW w:w="1890"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2"/>
                <w:u w:val="single"/>
              </w:rPr>
              <w:t>Commencement Date</w:t>
            </w:r>
            <w:r>
              <w:rPr>
                <w:rFonts w:ascii="Times New Roman;sans-serif" w:hAnsi="Times New Roman;sans-serif"/>
                <w:b w:val="false"/>
                <w:color w:val="000000"/>
                <w:sz w:val="22"/>
              </w:rPr>
              <w:t>:</w:t>
            </w:r>
          </w:p>
        </w:tc>
        <w:tc>
          <w:tcPr>
            <w:tcW w:w="8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latest to occur of (i) Initial Closing (as defined in the Framework Agreement), and (ii) the date of Prime Landlord’s Consent (herein defined)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257" name="Frame2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- 2 -</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98"/>
        <w:gridCol w:w="520"/>
        <w:gridCol w:w="475"/>
        <w:gridCol w:w="384"/>
        <w:gridCol w:w="384"/>
        <w:gridCol w:w="391"/>
        <w:gridCol w:w="2150"/>
        <w:gridCol w:w="2150"/>
        <w:gridCol w:w="3053"/>
      </w:tblGrid>
      <w:tr>
        <w:trPr/>
        <w:tc>
          <w:tcPr>
            <w:tcW w:w="6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3053" w:type="dxa"/>
            <w:tcBorders/>
            <w:vAlign w:val="center"/>
          </w:tcPr>
          <w:p>
            <w:pPr>
              <w:pStyle w:val="TableContents"/>
              <w:bidi w:val="0"/>
              <w:spacing w:before="0" w:after="283"/>
              <w:jc w:val="left"/>
              <w:rPr>
                <w:sz w:val="4"/>
                <w:szCs w:val="4"/>
              </w:rPr>
            </w:pPr>
            <w:r>
              <w:rPr>
                <w:sz w:val="4"/>
                <w:szCs w:val="4"/>
              </w:rPr>
            </w:r>
          </w:p>
        </w:tc>
      </w:tr>
      <w:tr>
        <w:trPr/>
        <w:tc>
          <w:tcPr>
            <w:tcW w:w="285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Must-Take Commencement Date</w:t>
            </w:r>
          </w:p>
          <w:p>
            <w:pPr>
              <w:pStyle w:val="TableContents"/>
              <w:bidi w:val="0"/>
              <w:spacing w:before="0" w:after="0"/>
              <w:jc w:val="left"/>
              <w:rPr/>
            </w:pPr>
            <w:r>
              <w:rPr/>
            </w:r>
          </w:p>
          <w:p>
            <w:pPr>
              <w:pStyle w:val="TableContents"/>
              <w:bidi w:val="0"/>
              <w:spacing w:lineRule="auto" w:line="240" w:before="0" w:after="0"/>
              <w:jc w:val="left"/>
              <w:rPr/>
            </w:pPr>
            <w:r>
              <w:rPr>
                <w:rFonts w:ascii="Times New Roman;sans-serif" w:hAnsi="Times New Roman;sans-serif"/>
                <w:b w:val="false"/>
                <w:color w:val="000000"/>
                <w:sz w:val="22"/>
                <w:u w:val="single"/>
              </w:rPr>
              <w:t>Expiration Date</w:t>
            </w:r>
            <w:r>
              <w:rPr>
                <w:rFonts w:ascii="Times New Roman;sans-serif" w:hAnsi="Times New Roman;sans-serif"/>
                <w:b w:val="false"/>
                <w:color w:val="000000"/>
                <w:sz w:val="22"/>
              </w:rPr>
              <w:t>:</w:t>
            </w:r>
          </w:p>
        </w:tc>
        <w:tc>
          <w:tcPr>
            <w:tcW w:w="735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date all of the Must-Take Sublease Premises Conditions have been satisfied</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expiration date of the Prime Lease, which the parties agree to be [***] subject to earlier termination in accordance with the terms of this Sublease.</w:t>
            </w:r>
          </w:p>
        </w:tc>
      </w:tr>
      <w:tr>
        <w:trPr/>
        <w:tc>
          <w:tcPr>
            <w:tcW w:w="169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2"/>
                <w:u w:val="single"/>
              </w:rPr>
              <w:t>Subtenant’s Insurance</w:t>
            </w:r>
            <w:r>
              <w:rPr>
                <w:rFonts w:ascii="Times New Roman;sans-serif" w:hAnsi="Times New Roman;sans-serif"/>
                <w:b w:val="false"/>
                <w:color w:val="000000"/>
                <w:sz w:val="22"/>
              </w:rPr>
              <w:t>:</w:t>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both"/>
              <w:rPr>
                <w:rFonts w:ascii="Times New Roman;sans-serif" w:hAnsi="Times New Roman;sans-serif"/>
                <w:b w:val="false"/>
                <w:color w:val="000000"/>
                <w:sz w:val="22"/>
              </w:rPr>
            </w:pPr>
            <w:r>
              <w:rPr>
                <w:rFonts w:ascii="Times New Roman;sans-serif" w:hAnsi="Times New Roman;sans-serif"/>
                <w:b w:val="false"/>
                <w:color w:val="000000"/>
                <w:sz w:val="22"/>
              </w:rPr>
              <w:t>As specified for “Tenant” in Article 11 of the Prime Lease</w:t>
            </w:r>
          </w:p>
        </w:tc>
      </w:tr>
    </w:tbl>
    <w:p>
      <w:pPr>
        <w:pStyle w:val="TextBody"/>
        <w:bidi w:val="0"/>
        <w:spacing w:before="0" w:after="240"/>
        <w:ind w:left="0" w:right="0" w:firstLine="720"/>
        <w:jc w:val="both"/>
        <w:rPr/>
      </w:pPr>
      <w:r>
        <w:rPr/>
      </w:r>
    </w:p>
    <w:p>
      <w:pPr>
        <w:pStyle w:val="TextBody"/>
        <w:bidi w:val="0"/>
        <w:spacing w:lineRule="auto" w:line="240" w:before="0" w:after="2"/>
        <w:ind w:left="0" w:right="0" w:firstLine="720"/>
        <w:jc w:val="both"/>
        <w:rPr/>
      </w:pPr>
      <w:r>
        <w:rPr>
          <w:rFonts w:ascii="Times New Roman;sans-serif" w:hAnsi="Times New Roman;sans-serif"/>
          <w:b w:val="false"/>
          <w:color w:val="000000"/>
          <w:sz w:val="22"/>
        </w:rPr>
        <w:t>2.    </w:t>
      </w:r>
      <w:r>
        <w:rPr>
          <w:rFonts w:ascii="Times New Roman;sans-serif" w:hAnsi="Times New Roman;sans-serif"/>
          <w:b w:val="false"/>
          <w:color w:val="000000"/>
          <w:sz w:val="22"/>
          <w:u w:val="single"/>
        </w:rPr>
        <w:t>Effectiveness Contingent Upon Prime Landlord’s Consent</w:t>
      </w:r>
      <w:r>
        <w:rPr>
          <w:rFonts w:ascii="Times New Roman;sans-serif" w:hAnsi="Times New Roman;sans-serif"/>
          <w:b w:val="false"/>
          <w:color w:val="000000"/>
          <w:sz w:val="22"/>
        </w:rPr>
        <w:t>. Sublandlord and Subtenant expressly acknowledge and agree that this Sublease is subject to Prime Landlord’s written consent and that this Sublease shall not be effective unless and until Prime Landlord shall have consented in writing to this Sublease (“</w:t>
      </w:r>
      <w:r>
        <w:rPr>
          <w:rFonts w:ascii="Times New Roman;sans-serif" w:hAnsi="Times New Roman;sans-serif"/>
          <w:b/>
          <w:i/>
          <w:color w:val="000000"/>
          <w:sz w:val="22"/>
        </w:rPr>
        <w:t>Prime Landlord’s Consent</w:t>
      </w:r>
      <w:r>
        <w:rPr>
          <w:color w:val="000000"/>
        </w:rPr>
        <w:t>”</w:t>
      </w:r>
      <w:r>
        <w:rPr>
          <w:rFonts w:ascii="Times New Roman;sans-serif" w:hAnsi="Times New Roman;sans-serif"/>
          <w:b w:val="false"/>
          <w:color w:val="000000"/>
          <w:sz w:val="22"/>
        </w:rPr>
        <w:t xml:space="preserve">). Subtenant and Sublandlord hereby acknowledge and agree that the transaction contemplated by this Sublease shall in no circumstances be deemed an assignment of Sublandlord’s interest in the Prime Lease to Subtenant. Subtenant and Sublandlord each waive any right to assert that the Sublease constitutes an assignment of Sublandlord’s interest in the Prime Lease to Subtenant. In the event Sublandlord or Subtenant shall make any such assertion, the party which made such assertion shall indemnify and hold harmless the other party and Prime Landlord from and against any and all reasonable costs, expenses, losses, liabilities and claims (including, without limitation, attorneys’ fees) incurred by the other party and Prime Landlord in connection with such assertion. </w:t>
      </w:r>
    </w:p>
    <w:p>
      <w:pPr>
        <w:pStyle w:val="TextBody"/>
        <w:bidi w:val="0"/>
        <w:spacing w:before="0" w:after="240"/>
        <w:ind w:left="0" w:right="0" w:firstLine="720"/>
        <w:jc w:val="both"/>
        <w:rPr/>
      </w:pPr>
      <w:r>
        <w:rPr/>
      </w:r>
    </w:p>
    <w:p>
      <w:pPr>
        <w:pStyle w:val="TextBody"/>
        <w:bidi w:val="0"/>
        <w:spacing w:lineRule="auto" w:line="240" w:before="0" w:after="2"/>
        <w:ind w:left="0" w:right="0" w:firstLine="720"/>
        <w:jc w:val="both"/>
        <w:rPr/>
      </w:pPr>
      <w:r>
        <w:rPr>
          <w:rFonts w:ascii="Times New Roman;sans-serif" w:hAnsi="Times New Roman;sans-serif"/>
          <w:b w:val="false"/>
          <w:color w:val="000000"/>
          <w:sz w:val="22"/>
        </w:rPr>
        <w:t>3.    </w:t>
      </w:r>
      <w:r>
        <w:rPr>
          <w:rFonts w:ascii="Times New Roman;sans-serif" w:hAnsi="Times New Roman;sans-serif"/>
          <w:b w:val="false"/>
          <w:color w:val="000000"/>
          <w:sz w:val="22"/>
          <w:u w:val="single"/>
        </w:rPr>
        <w:t>Subleased Premises</w:t>
      </w:r>
      <w:r>
        <w:rPr>
          <w:rFonts w:ascii="Times New Roman;sans-serif" w:hAnsi="Times New Roman;sans-serif"/>
          <w:b w:val="false"/>
          <w:color w:val="000000"/>
          <w:sz w:val="22"/>
        </w:rPr>
        <w:t xml:space="preserve">. </w:t>
      </w:r>
    </w:p>
    <w:p>
      <w:pPr>
        <w:pStyle w:val="TextBody"/>
        <w:bidi w:val="0"/>
        <w:spacing w:lineRule="auto" w:line="240" w:before="0" w:after="0"/>
        <w:jc w:val="both"/>
        <w:rPr/>
      </w:pPr>
      <w:r>
        <w:rPr>
          <w:color w:val="000000"/>
        </w:rPr>
        <w:t>        </w:t>
      </w:r>
      <w:r>
        <w:rPr>
          <w:rFonts w:ascii="Times New Roman;sans-serif" w:hAnsi="Times New Roman;sans-serif"/>
          <w:b w:val="false"/>
          <w:color w:val="000000"/>
          <w:sz w:val="22"/>
        </w:rPr>
        <w:t>(a)    Subject to the written consent of Prime Landlord, Sublandlord does hereby sublease to Subtenant, and Subtenant does hereby sublease from Sublandlord, for the Term (as defined herein) and upon the conditions hereinafter provided, approximately [***] rentable square feet of the Premises, such space being comprised of a substantial portion of the production and quality control laboratories, and portions of the office, warehouse, and support areas (the “</w:t>
      </w:r>
      <w:r>
        <w:rPr>
          <w:rFonts w:ascii="Times New Roman;sans-serif" w:hAnsi="Times New Roman;sans-serif"/>
          <w:b/>
          <w:i/>
          <w:color w:val="000000"/>
          <w:sz w:val="22"/>
        </w:rPr>
        <w:t>Initial Sublease Premises</w:t>
      </w:r>
      <w:r>
        <w:rPr>
          <w:color w:val="000000"/>
        </w:rPr>
        <w:t>”</w:t>
      </w:r>
      <w:r>
        <w:rPr>
          <w:rFonts w:ascii="Times New Roman;sans-serif" w:hAnsi="Times New Roman;sans-serif"/>
          <w:b w:val="false"/>
          <w:color w:val="000000"/>
          <w:sz w:val="22"/>
        </w:rPr>
        <w:t>), all of which are located on the ground floor of the Building except for a portion of the office area which is located on the mezzanine level. The “</w:t>
      </w:r>
      <w:r>
        <w:rPr>
          <w:rFonts w:ascii="Times New Roman;sans-serif" w:hAnsi="Times New Roman;sans-serif"/>
          <w:b/>
          <w:i/>
          <w:color w:val="000000"/>
          <w:sz w:val="22"/>
        </w:rPr>
        <w:t>Must-Take Sublease Premises</w:t>
      </w:r>
      <w:r>
        <w:rPr>
          <w:color w:val="000000"/>
        </w:rPr>
        <w:t xml:space="preserve">” </w:t>
      </w:r>
      <w:r>
        <w:rPr>
          <w:rFonts w:ascii="Times New Roman;sans-serif" w:hAnsi="Times New Roman;sans-serif"/>
          <w:b w:val="false"/>
          <w:color w:val="000000"/>
          <w:sz w:val="22"/>
        </w:rPr>
        <w:t>is the Premises under the Prime Lease other than the Initial Sublease Premises. Upon satisfaction of the all of following conditions (collectively, the “</w:t>
      </w:r>
      <w:r>
        <w:rPr>
          <w:rFonts w:ascii="Times New Roman;sans-serif" w:hAnsi="Times New Roman;sans-serif"/>
          <w:b/>
          <w:i/>
          <w:color w:val="000000"/>
          <w:sz w:val="22"/>
        </w:rPr>
        <w:t>Must-Take Sublease Premises Conditions</w:t>
      </w:r>
      <w:r>
        <w:rPr>
          <w:color w:val="000000"/>
        </w:rPr>
        <w:t>”</w:t>
      </w:r>
      <w:r>
        <w:rPr>
          <w:rFonts w:ascii="Times New Roman;sans-serif" w:hAnsi="Times New Roman;sans-serif"/>
          <w:b w:val="false"/>
          <w:color w:val="000000"/>
          <w:sz w:val="22"/>
        </w:rPr>
        <w:t xml:space="preserve">), the Subleased Premises shall be automatically expanded to include both the Initial Sublease Premises and the Must-Take Sublease Premises: (i) Prime Landlord has consented to Sublandlord subleasing the Must-Take Sublease Premises (whether pursuant to the Prime Landlord’s Consent or another document), (ii) Prime Landlord has informed Sublandlord that Current Holder has consented to the subleasing of the Must-Take Sublease Premises to Subtenant, (iii) Current Holder’s consent is on terms acceptable to Prime Landlord, in Prime Landlord’s sole and absolute discretion, and (iv) Current Holder’s consent is on terms acceptable to Sublandlord and Subtenant, in the respective party’s reasonable discretion. With respect to Sublandlord, it shall be reasonable for Sublandlord to find Current Holder’s terms unacceptable if they require Sublandlord to commence or threaten any Action (as defined in the Framework Agreement), incur more than </w:t>
      </w:r>
      <w:r>
        <w:rPr>
          <w:rFonts w:ascii="Times New Roman;sans-serif" w:hAnsi="Times New Roman;sans-serif"/>
          <w:b w:val="false"/>
          <w:i/>
          <w:color w:val="000000"/>
          <w:sz w:val="22"/>
        </w:rPr>
        <w:t xml:space="preserve">de minimis </w:t>
      </w:r>
      <w:r>
        <w:rPr>
          <w:rFonts w:ascii="Times New Roman;sans-serif" w:hAnsi="Times New Roman;sans-serif"/>
          <w:b w:val="false"/>
          <w:color w:val="000000"/>
          <w:sz w:val="22"/>
        </w:rPr>
        <w:t xml:space="preserve">additional costs, or take on more than </w:t>
      </w:r>
      <w:r>
        <w:rPr>
          <w:rFonts w:ascii="Times New Roman;sans-serif" w:hAnsi="Times New Roman;sans-serif"/>
          <w:b w:val="false"/>
          <w:i/>
          <w:color w:val="000000"/>
          <w:sz w:val="22"/>
        </w:rPr>
        <w:t xml:space="preserve">de minimis </w:t>
      </w:r>
      <w:r>
        <w:rPr>
          <w:rFonts w:ascii="Times New Roman;sans-serif" w:hAnsi="Times New Roman;sans-serif"/>
          <w:b w:val="false"/>
          <w:color w:val="000000"/>
          <w:sz w:val="22"/>
        </w:rPr>
        <w:t xml:space="preserve">additional liabilities. Subtenant agrees that Sublandlord shall not be liable and this Sublease shall not terminate (but shall continue in full force and effect) if the Must-Take Sublease Premises Conditions are never satisfied. </w:t>
      </w:r>
    </w:p>
    <w:p>
      <w:pPr>
        <w:pStyle w:val="TextBody"/>
        <w:bidi w:val="0"/>
        <w:spacing w:before="0" w:after="0"/>
        <w:jc w:val="both"/>
        <w:rPr/>
      </w:pPr>
      <w:r>
        <w:rPr/>
      </w:r>
    </w:p>
    <w:p>
      <w:pPr>
        <w:pStyle w:val="TextBody"/>
        <w:bidi w:val="0"/>
        <w:spacing w:lineRule="auto" w:line="240"/>
        <w:jc w:val="both"/>
        <w:rPr/>
      </w:pPr>
      <w:r>
        <w:rPr>
          <w:color w:val="000000"/>
        </w:rPr>
        <w:t>    </w:t>
      </w:r>
      <w:r>
        <w:rPr>
          <w:rFonts w:ascii="Times New Roman;sans-serif" w:hAnsi="Times New Roman;sans-serif"/>
          <w:b w:val="false"/>
          <w:color w:val="000000"/>
          <w:sz w:val="22"/>
        </w:rPr>
        <w:t>(b)    Sublandlord shall deliver and Subtenant shall accept the Subleased Premises, upon and subject to the terms and conditions herein set forth, in its “AS IS, WHERE IS AND WITH ALL FAULTS” condition.</w:t>
      </w:r>
      <w:r>
        <w:rPr>
          <w:color w:val="000000"/>
        </w:rPr>
        <w:t xml:space="preserve"> </w:t>
      </w:r>
      <w:r>
        <w:rPr>
          <w:rFonts w:ascii="Times New Roman;sans-serif" w:hAnsi="Times New Roman;sans-serif"/>
          <w:b w:val="false"/>
          <w:color w:val="000000"/>
          <w:sz w:val="22"/>
        </w:rPr>
        <w:t>If Sublandlord is unable to tender possession of the Initial Sublease Premises on the Commencement Date or the Must-Take Sublease Premises on the Must-Take Commencement Date, then Subtenant’s obligations under this Sublease with respect to the portion of the Sublease Premises for which tender of possession is delayed shall be held in abeyance on a day-for-day basis until Sublandlord tenders possession of the applicable portion of the Subleased Premises; provided, however: (1) the validity of this Sublease shall not be affected or impaired thereby; and (2) Subtenant shall accept possession of the Initial Sublease Premises or Must-Take Sublease Premises, as applicable, when Sublandlord tenders possession thereof to Subtenant.</w:t>
      </w: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58" name="Frame2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- 3 -</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Times New Roman;sans-serif" w:hAnsi="Times New Roman;sans-serif"/>
          <w:b w:val="false"/>
          <w:color w:val="000000"/>
          <w:sz w:val="22"/>
        </w:rPr>
        <w:t xml:space="preserve">(c)    Subtenant acknowledges and agrees that no representations, statements or warranties, express or implied, have been made by or on behalf of the Sublandlord with respect to the condition of the Subleased Premises, compliance with any Laws, statutes, or regulations, including, but not limited to, the Americans with Disabilities Act of 1991, 42 USC § 1201 </w:t>
      </w:r>
      <w:r>
        <w:rPr>
          <w:rFonts w:ascii="Times New Roman;sans-serif" w:hAnsi="Times New Roman;sans-serif"/>
          <w:b w:val="false"/>
          <w:color w:val="000000"/>
          <w:sz w:val="22"/>
          <w:u w:val="single"/>
        </w:rPr>
        <w:t>et seq.</w:t>
      </w:r>
      <w:r>
        <w:rPr>
          <w:color w:val="000000"/>
        </w:rPr>
        <w:t xml:space="preserve"> </w:t>
      </w:r>
      <w:r>
        <w:rPr>
          <w:rFonts w:ascii="Times New Roman;sans-serif" w:hAnsi="Times New Roman;sans-serif"/>
          <w:b w:val="false"/>
          <w:color w:val="000000"/>
          <w:sz w:val="22"/>
        </w:rPr>
        <w:t>and all regulations applicable thereto promulgated as of the date hereof (collectively “</w:t>
      </w:r>
      <w:r>
        <w:rPr>
          <w:rFonts w:ascii="Times New Roman;sans-serif" w:hAnsi="Times New Roman;sans-serif"/>
          <w:b/>
          <w:i/>
          <w:color w:val="000000"/>
          <w:sz w:val="22"/>
        </w:rPr>
        <w:t>ADA</w:t>
      </w:r>
      <w:r>
        <w:rPr>
          <w:color w:val="000000"/>
        </w:rPr>
        <w:t>”</w:t>
      </w:r>
      <w:r>
        <w:rPr>
          <w:rFonts w:ascii="Times New Roman;sans-serif" w:hAnsi="Times New Roman;sans-serif"/>
          <w:b w:val="false"/>
          <w:color w:val="000000"/>
          <w:sz w:val="22"/>
        </w:rPr>
        <w:t>), or the use or occupation that may be made thereof, all of which are hereby expressly disclaimed by Sublandlord and waived by Subtenant, and that Sublandlord shall in no event whatsoever be liable for any latent defects in the Subleased Premises or in the furniture, furnishings, fixtures, or equipment therein. Neither Prime Landlord nor Sublandlord shall have any obligation for completing any alterations, improvements, repairs or decorations to all or any portion of the Subleased Premises, or provide an allowance for the same or any other reason, either prior to the Commencement Date or during the term of this Sublease, or any extension thereof. Subtenant represents that it has thoroughly examined the Building, the Initial Sublease Premises and the Must-Take Sublease Premises.</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(d)    Provided that Subtenant has performed all of its obligations hereunder and no monetary or material non-monetary default exists, Subtenant shall peaceably and quietly hold and enjoy the Subleased Premises for the Term, without hindrance from Sublandlord or any party claiming by, through, or under Sublandlord, but not otherwise, subject to the terms and conditions of this Sublease.</w:t>
      </w:r>
    </w:p>
    <w:p>
      <w:pPr>
        <w:pStyle w:val="TextBody"/>
        <w:bidi w:val="0"/>
        <w:spacing w:before="0" w:after="0"/>
        <w:jc w:val="both"/>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4.    </w:t>
      </w:r>
      <w:r>
        <w:rPr>
          <w:rFonts w:ascii="Times New Roman;sans-serif" w:hAnsi="Times New Roman;sans-serif"/>
          <w:b w:val="false"/>
          <w:color w:val="000000"/>
          <w:sz w:val="22"/>
          <w:u w:val="single"/>
        </w:rPr>
        <w:t>Term</w:t>
      </w:r>
      <w:r>
        <w:rPr>
          <w:rFonts w:ascii="Times New Roman;sans-serif" w:hAnsi="Times New Roman;sans-serif"/>
          <w:b w:val="false"/>
          <w:color w:val="000000"/>
          <w:sz w:val="22"/>
        </w:rPr>
        <w:t>. The term of this Sublease shall begin on the Commencement Date and expire at 5:00 pm on the Expiration Date (the “</w:t>
      </w:r>
      <w:r>
        <w:rPr>
          <w:rFonts w:ascii="Times New Roman;sans-serif" w:hAnsi="Times New Roman;sans-serif"/>
          <w:b/>
          <w:i/>
          <w:color w:val="000000"/>
          <w:sz w:val="22"/>
        </w:rPr>
        <w:t>Term</w:t>
      </w:r>
      <w:r>
        <w:rPr>
          <w:color w:val="000000"/>
        </w:rPr>
        <w:t>”</w:t>
      </w:r>
      <w:r>
        <w:rPr>
          <w:rFonts w:ascii="Times New Roman;sans-serif" w:hAnsi="Times New Roman;sans-serif"/>
          <w:b w:val="false"/>
          <w:color w:val="000000"/>
          <w:sz w:val="22"/>
        </w:rPr>
        <w:t>), unless sooner terminated as hereinafter set forth or by operation of law. Notwithstanding the foregoing, the Term shall automatically terminate upon the expiration or earlier termination of the Prime Lease; provided, however, Subtenant’s obligations hereunder shall survive such termination if the same is due to Subtenant’s failure to comply with the terms of this Sublease or the Prime Lease or if the express terms of this Sublease state that the obligation survives expiration or earlier termination of this Sublease. Subtenant has no right to access or use all or any part of the Subleased Premises prior to the date all of the following have occurred: (a) the Commencement Date, (b) with respect to the Must-Take Sublease Premises, the Must-Take Commencement Date, (c) receipt of Prime Landlord’s Consent, (d) with respect to the Must-Take Sublease Premises, satisfaction of the Must-Take Sublease Premises Conditions, (e) Sublandlord’s receipt of evidence that all the insurance required to be obtained and maintained by Subtenant under this Sublease has been obtained, and (f) receipt of Exhibit H to the Prime Lease completed by Subtenant with respect to both the Initial Sublease Premises and Must-Take Sublease Premises.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5.    </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6.    </w:t>
      </w:r>
      <w:r>
        <w:rPr>
          <w:rFonts w:ascii="Times New Roman;sans-serif" w:hAnsi="Times New Roman;sans-serif"/>
          <w:b w:val="false"/>
          <w:color w:val="000000"/>
          <w:sz w:val="22"/>
          <w:u w:val="single"/>
        </w:rPr>
        <w:t>Use; Services</w:t>
      </w:r>
      <w:r>
        <w:rPr>
          <w:rFonts w:ascii="Times New Roman;sans-serif" w:hAnsi="Times New Roman;sans-serif"/>
          <w:b w:val="false"/>
          <w:color w:val="000000"/>
          <w:sz w:val="22"/>
        </w:rPr>
        <w:t>. Subtenant shall use and occupy the Subleased Premises solely for the permitted use in the Prime Lease and in accordance with all the terms and conditions of this Sublease and the Prime Lease and applicable Laws and zoning regulations (the “</w:t>
      </w:r>
      <w:r>
        <w:rPr>
          <w:rFonts w:ascii="Times New Roman;sans-serif" w:hAnsi="Times New Roman;sans-serif"/>
          <w:b/>
          <w:i/>
          <w:color w:val="000000"/>
          <w:sz w:val="22"/>
        </w:rPr>
        <w:t>Permitted Use</w:t>
      </w:r>
      <w:r>
        <w:rPr>
          <w:color w:val="000000"/>
        </w:rPr>
        <w:t>”</w:t>
      </w:r>
      <w:r>
        <w:rPr>
          <w:rFonts w:ascii="Times New Roman;sans-serif" w:hAnsi="Times New Roman;sans-serif"/>
          <w:b w:val="false"/>
          <w:color w:val="000000"/>
          <w:sz w:val="22"/>
        </w:rPr>
        <w:t xml:space="preserve">). Without the prior written consent of Prime Landlord and Sublandlord, the Subleased Premises will not be used for any other purposes. Sublandlord shall have the right, but not the obligation, to perform monthly audits of the Subleased Premises to validate actual use.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7.    </w:t>
      </w:r>
      <w:r>
        <w:rPr>
          <w:rFonts w:ascii="Times New Roman;sans-serif" w:hAnsi="Times New Roman;sans-serif"/>
          <w:b w:val="false"/>
          <w:color w:val="000000"/>
          <w:sz w:val="22"/>
          <w:u w:val="single"/>
        </w:rPr>
        <w:t>Base Rent</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All payments of Rent (herein defined) shall be paid in lawful money of the United States, without notice, demand, set-off, abatement or deduction whatsoever, to Sublandlord at Sublandlord’s notice address, or, at Sublandlord’s election, via ACH or at such other place as Sublandlord may designate in writing, at the times and in the manner specified herein. If the Term begins on a date other than on the first day of a quarter, or if the Term ends on a day other than the last day of a quarter, Base Rent for such partial quarter shall be prorated as provided in Section 4 of the Prime Lease. </w:t>
      </w: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260"/>
                <wp:effectExtent l="0" t="0" r="0" b="0"/>
                <wp:wrapNone/>
                <wp:docPr id="259" name="Frame2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- 4 -</w:t>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Any Rent past due (without regard to any grace period specified in this Sublease) shall be subject to the fees and interest set forth in Section 5 of the Prime Lease.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(d)    Notwithstanding Section 7(a) above or Section 8 below, in the event Prime Landlord elects, pursuant to its rights in the Prime Lease or Prime Landlord’s Consent, to have Subtenant to attorn to Prime Landlord for the balance of the term of the Sublease, then all amounts under this Sublease paid quarterly by Subtenant to Sublandlord shall instead be paid on a monthly basis. In addition, notwithstanding Section 7(a) above or Section 8 below, in the event Prime Landlord elects, pursuant to its rights in the Prime Lease or Prime Landlord’s Consent, to have Subtenant to pay all rent and other amounts due under this Sublease directly to Prime Landlord, then all such rent and amounts paid quarterly by Subtenant to Sublandlord shall instead be paid on a monthly basis until such time as Sublandlord has cured such default and Prime Landlord has accepted such cure.</w:t>
      </w:r>
      <w:r>
        <w:rPr>
          <w:color w:val="00000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8.    </w:t>
      </w:r>
      <w:r>
        <w:rPr>
          <w:rFonts w:ascii="Times New Roman;sans-serif" w:hAnsi="Times New Roman;sans-serif"/>
          <w:b w:val="false"/>
          <w:color w:val="000000"/>
          <w:sz w:val="22"/>
          <w:u w:val="single"/>
        </w:rPr>
        <w:t>Sublease Additional Rent</w:t>
      </w:r>
      <w:r>
        <w:rPr>
          <w:rFonts w:ascii="Times New Roman;sans-serif" w:hAnsi="Times New Roman;sans-serif"/>
          <w:b w:val="false"/>
          <w:color w:val="000000"/>
          <w:sz w:val="22"/>
        </w:rPr>
        <w:t>. Throughout the Term, Subtenant shall pay to Sublandlord, as Sublease Additional Rent, [***] percent ([***]%) of (a) Additional Rent (as defined in Section 1 of Exhibit C to the Prime Lease), (b)Tenant’s Proportionate Share of Taxes, (c) Tenant’s Proportionate Share of Insurance, (d) all charges for any additional services provided to Subtenant, including, but not limited to, any after-hours HVAC used by Subtenant which deviates from normal hours of operation specified in the Prime Lease, (e) any special and non-standard services incurred by Subtenant (or by Sublandlord on behalf of Subtenant) in connection with Subtenant’s use and occupancy of the Subleased Premises, and (f) any other costs or Rent due from the Tenant under the Prime Lease, the parties agreeing that Subtenant is assuming all of Subtenant’s monetary obligations under the Prime Lease. All sums other than the Base Rent payable by Subtenant under this Sublease shall be deemed “</w:t>
      </w:r>
      <w:r>
        <w:rPr>
          <w:rFonts w:ascii="Times New Roman;sans-serif" w:hAnsi="Times New Roman;sans-serif"/>
          <w:b/>
          <w:i/>
          <w:color w:val="000000"/>
          <w:sz w:val="22"/>
        </w:rPr>
        <w:t>Sublease Additional Rent</w:t>
      </w:r>
      <w:r>
        <w:rPr>
          <w:color w:val="000000"/>
        </w:rPr>
        <w:t xml:space="preserve">” </w:t>
      </w:r>
      <w:r>
        <w:rPr>
          <w:rFonts w:ascii="Times New Roman;sans-serif" w:hAnsi="Times New Roman;sans-serif"/>
          <w:b w:val="false"/>
          <w:color w:val="000000"/>
          <w:sz w:val="22"/>
        </w:rPr>
        <w:t>(together with Base Rent, the “</w:t>
      </w:r>
      <w:r>
        <w:rPr>
          <w:rFonts w:ascii="Times New Roman;sans-serif" w:hAnsi="Times New Roman;sans-serif"/>
          <w:b/>
          <w:i/>
          <w:color w:val="000000"/>
          <w:sz w:val="22"/>
        </w:rPr>
        <w:t>Rent</w:t>
      </w:r>
      <w:r>
        <w:rPr>
          <w:color w:val="000000"/>
        </w:rPr>
        <w:t>”</w:t>
      </w:r>
      <w:r>
        <w:rPr>
          <w:rFonts w:ascii="Times New Roman;sans-serif" w:hAnsi="Times New Roman;sans-serif"/>
          <w:b w:val="false"/>
          <w:color w:val="000000"/>
          <w:sz w:val="22"/>
        </w:rPr>
        <w:t xml:space="preserve">) and payable, except as otherwise set forth herein, within [***] of receipt of an invoice or statement from Sublandlord. The Sublease Additional Rent described in (a), (b), and (c) of this </w:t>
      </w:r>
      <w:r>
        <w:rPr>
          <w:rFonts w:ascii="Times New Roman;sans-serif" w:hAnsi="Times New Roman;sans-serif"/>
          <w:b w:val="false"/>
          <w:color w:val="000000"/>
          <w:sz w:val="22"/>
          <w:u w:val="single"/>
        </w:rPr>
        <w:t>Section 8</w:t>
      </w:r>
      <w:r>
        <w:rPr>
          <w:color w:val="000000"/>
        </w:rPr>
        <w:t xml:space="preserve"> </w:t>
      </w:r>
      <w:r>
        <w:rPr>
          <w:rFonts w:ascii="Times New Roman;sans-serif" w:hAnsi="Times New Roman;sans-serif"/>
          <w:b w:val="false"/>
          <w:color w:val="000000"/>
          <w:sz w:val="22"/>
        </w:rPr>
        <w:t>are hereinafter referred to as “</w:t>
      </w:r>
      <w:r>
        <w:rPr>
          <w:rFonts w:ascii="Times New Roman;sans-serif" w:hAnsi="Times New Roman;sans-serif"/>
          <w:b/>
          <w:i/>
          <w:color w:val="000000"/>
          <w:sz w:val="22"/>
        </w:rPr>
        <w:t>Recurring Sublease Additional Rent</w:t>
      </w:r>
      <w:r>
        <w:rPr>
          <w:color w:val="000000"/>
        </w:rPr>
        <w:t>”</w:t>
      </w:r>
      <w:r>
        <w:rPr>
          <w:rFonts w:ascii="Times New Roman;sans-serif" w:hAnsi="Times New Roman;sans-serif"/>
          <w:b w:val="false"/>
          <w:color w:val="000000"/>
          <w:sz w:val="22"/>
        </w:rPr>
        <w:t xml:space="preserve">). Recurring Sublease Additional Rent shall be paid at the same times and in the same manner as Base Rent. Subject to Section 3(b), Subtenant shall deliver the first quarter’s Recurring Sublease Additional Rent to Sublandlord simultaneously with Subtenant’s execution of this Sublease. If the Term begins on a date other than on the first day of a quarter, or if the Term ends on a day other than the last day of a quarter, Recurring Sublease Additional Rent for such partial quarter shall be prorated as provided in Section 4 of the Prime Lease.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9.    </w:t>
      </w:r>
      <w:r>
        <w:rPr>
          <w:rFonts w:ascii="Times New Roman;sans-serif" w:hAnsi="Times New Roman;sans-serif"/>
          <w:b w:val="false"/>
          <w:color w:val="000000"/>
          <w:sz w:val="22"/>
          <w:u w:val="single"/>
        </w:rPr>
        <w:t>Alterations</w:t>
      </w:r>
      <w:r>
        <w:rPr>
          <w:rFonts w:ascii="Times New Roman;sans-serif" w:hAnsi="Times New Roman;sans-serif"/>
          <w:b w:val="false"/>
          <w:color w:val="000000"/>
          <w:sz w:val="22"/>
        </w:rPr>
        <w:t xml:space="preserve">. Subtenant shall not make any Alterations in or to all or any part of the Subleased Premises without the consent of Sublandlord, which may be withheld in Sublandlord’s sole discretion. All Alterations shall be subject to the approval of Prime Landlord and the terms of the Prime Lease. If any Alterations are made by or on behalf of Subtenant without Prime Landlord’s and Sublandlord’s consent, then Subtenant shall, upon request of Prime Landlord or Sublandlord, remove said Alterations, repair all damage resulting from such removal and restore the Subleased Premises to the condition as of the Commencement Date, ordinary wear and tear excepted, or Prime Landlord or Sublandlord may remove the same, and may (but shall not be obligated to) correct, repair and restore the Subleased Premises and any damage arising from such removal, the costs of the foregoing work to be promptly reimbursed by Subtenant as Sublease Additional Rent.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10.    </w:t>
      </w:r>
      <w:r>
        <w:rPr>
          <w:rFonts w:ascii="Times New Roman;sans-serif" w:hAnsi="Times New Roman;sans-serif"/>
          <w:b w:val="false"/>
          <w:color w:val="000000"/>
          <w:sz w:val="22"/>
          <w:u w:val="single"/>
        </w:rPr>
        <w:t>Terms of Prime Lease</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(a)    Subtenant acknowledges that it has received and reviewed the Prime Lease, a copy of which is attached hereto and incorporated as </w:t>
      </w:r>
      <w:r>
        <w:rPr>
          <w:rFonts w:ascii="Times New Roman;sans-serif" w:hAnsi="Times New Roman;sans-serif"/>
          <w:b w:val="false"/>
          <w:color w:val="000000"/>
          <w:sz w:val="22"/>
          <w:u w:val="single"/>
        </w:rPr>
        <w:t>Exhibit B</w:t>
      </w:r>
      <w:r>
        <w:rPr>
          <w:rFonts w:ascii="Times New Roman;sans-serif" w:hAnsi="Times New Roman;sans-serif"/>
          <w:b w:val="false"/>
          <w:color w:val="000000"/>
          <w:sz w:val="22"/>
        </w:rPr>
        <w:t xml:space="preserve">. Subtenant’s rights pursuant to this Sublease are subject and subordinate at all times to the Prime Lease and to all the terms, covenants, and agreement of the Prime Lease, except as expressly modified by this Sublease. As between Sublandlord and Subtenant, in the event of a conflict between the terms of this Sublease and the terms of the Prime Lease, the terms of this Sublease shall control. Subtenant hereby assumes all of the obligations of the Sublandlord as the Tenant under the Prime Lease, except that the obligation to pay any rent to Prime Landlord under the Prime Lease shall be considered performed by Subtenant to the extent and in the amount such rent is paid to Sublandlord in accordance with the provisions of this Sublease. Sublandlord shall have all of the rights of Prime Landlord under the Prime Lease as against Subtenant. </w:t>
      </w: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260"/>
                <wp:effectExtent l="0" t="0" r="0" b="0"/>
                <wp:wrapNone/>
                <wp:docPr id="260" name="Frame2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- 5 -</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(b)    Notwithstanding anything in this Sublease to the contrary, Subtenant agrees that (i) Sublandlord does not assume and shall not have any obligations or liabilities of Prime Landlord under the Prime Lease, (ii) Sublandlord is not making the representations and warranties of Prime Landlord under the Prime Lease, and (iii) Sublandlord shall not be obligated to furnish for Subtenant any services or utilities of any nature whatsoever, including, without limitation, the furnishing of heat, electrical energy, air conditioning, elevator service, or window washing. With respect to work, services, maintenance, repairs and restoration or the performance of other obligations required of Prime Landlord under the Prime Lease, notwithstanding anything herein to the contrary, Sublandlord’s sole obligation with respect thereto shall be to request Prime Landlord to perform the same following its receipt of Subtenant's written request, and Sublandlord agrees to use commercially reasonable efforts to cause the Prime Landlord to perform the same (it is agreed that Sublandlord’s commercially reasonable efforts shall not include the expending more than a </w:t>
      </w:r>
      <w:r>
        <w:rPr>
          <w:rFonts w:ascii="Times New Roman;sans-serif" w:hAnsi="Times New Roman;sans-serif"/>
          <w:b w:val="false"/>
          <w:i/>
          <w:color w:val="000000"/>
          <w:sz w:val="22"/>
        </w:rPr>
        <w:t>de minimis</w:t>
      </w:r>
      <w:r>
        <w:rPr>
          <w:color w:val="000000"/>
        </w:rPr>
        <w:t xml:space="preserve"> </w:t>
      </w:r>
      <w:r>
        <w:rPr>
          <w:rFonts w:ascii="Times New Roman;sans-serif" w:hAnsi="Times New Roman;sans-serif"/>
          <w:b w:val="false"/>
          <w:color w:val="000000"/>
          <w:sz w:val="22"/>
        </w:rPr>
        <w:t xml:space="preserve">amount of money or the filing or prosecution of any claim, suit or other proceeding). Subtenant shall not under any circumstances seek or require Sublandlord to perform or cause the performance of any work, services, repairs, restoration or the performance of any other obligation required of Prime Landlord under the Prime Lease, and Subtenant shall not make any claim against Sublandlord for any damage which may arise, nor shall Subtenant’s obligations under this Sublease be impaired by reason of (i) the failure of Prime Landlord to observe or perform any covenant or agreement to be observed or performed by Prime Landlord under the Prime Lease, or (ii) any act or omission of Prime Landlord or any of its agents, contractors, servants, employees, invitees or licensees or any of the Prime Landlord Indemnitees or any Prime Landlord’s Mortgagee (including, without limitation, the Current Holder).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Subtenant acknowledges and agrees that Subtenant shall be responsible to obtain, maintain and pay for the insurance types and coverages as specified in the Prime Lease to be obtained and maintained by Sublandlord, as Tenant, in amounts not less than those specified in the Prime Lease and in accordance with all the other requirements required by the Prime Lease. In addition to the requirements under the Prime Lease, all policies of insurances obtained by Subtenant shall name Prime Landlord, Prime Landlord’s property management company (which, as of the Effective Date, is CBRE, Inc.), Invesco Advisers Inc., Sublandlord, and any other entities and individuals reasonably requested by Prime Landlord or Sublandlord as additional insureds. Subtenant’s insurance shall be primary over Prime Landlord’s and Sublandlord’s insurance. Prior to or on the Commencement Date or, if earlier, the date Subtenant enters or occupies all or any part of the Subleased Premises, Subtenant will deliver to Sublandlord certificates and other evidence reasonably requested by Sublandlord or Prime Landlord reflecting that Subtenant has obtained and is maintaining the required insurance coverages in the appropriate amounts and otherwise in accordance with the requirements in the Prime Lease. Further, Subtenant will deliver to Sublandlord and Prime Landlord said certificates and other information within [***] after Sublandlord’s request (but in no event less than annually). Subtenant agrees that Sublandlord is not required to obtain or maintain any of the insurance Tenant or Prime Landlord is required to carry and maintain under the Prime Lease, if any.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    In furtherance thereof, for purposes of this Sublease, references to the “Premises” in the Prime Lease shall be construed to mean the “Subleased Premises” hereunder; references to “Landlord” or “Owner” in the Prime Lease shall be construed to mean “Sublandlord”; references to “Tenant” in the Prime Lease shall be construed to mean “Subtenant”, and references to “Base Rent” in the Prime Lease shall be construed to mean “Base Rent”. The provisions of the Prime Lease are specifically incorporated herein by reference; provided, however, notwithstanding anything contained herein to the contrary, the following are excluded from the Sublease and are not incorporated by reference: (i) the last two sentences of Section 3(a), second paragraph of Section 3(d), Section 4(b), the language starting at “provided, however” until the end of the first sentence of Section 5, Section 11(b), the third sentence in Section 11(d) (starting “Landlord shall protect . . .”), Section 12(e), Exhibit D, last sentence of Section 4(e) of Exhibit E, Exhibit J, Exhibit K, and Exhibit M of the Prime Lease, (ii) any and all rights to expand, contract or extend the Premises or the Term (whether by renewal option, expansion option, contraction option, right of first offer, right of first refusal, right of first negotiation, or otherwise), (iii) any and all other preferential rights or options, (iv) any and all buildout or improvement (including, without limitation, any allowances) related thereto, (v) any and all rights that are personal to Sublandlord (as tenant) or that specifically specifies that they may only be exercised by Sublandlord or any affiliate or </w:t>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260"/>
                <wp:effectExtent l="0" t="0" r="0" b="0"/>
                <wp:wrapNone/>
                <wp:docPr id="261" name="Frame2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subsidiary thereof, and (vi) any right for Sublandlord to receive a subordination, non-disturbance, and attornment agreement or similar agreement. Subtenant shall not receive any abatement of Base Rent or Sublease Additional Rent unless and to the extent Sublandlord actually receives an abatement of the same for the Subleased Premises in connection with damage, casualty, condemnation or interruption of services in accordance with the terms of the Prime Lease and an Event of Default by Subtenant has not occurred or is then occurring. Subtenant may not exercise any rights to terminate set forth in the Prime Lease.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    The Sublandlord may enforce directly against Subtenant any of the rights and remedies granted to Prime Landlord pursuant to the Prime Lease. Nothing in this Sublease shall be construed or interpreted to grant any greater rights than the Sublandlord has received as Tenant from Prime Landlord pursuant to the Prime Lease. </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(f)    If Subtenant desires to take an action which, under the applicable provisions of the Prime Lease, requires the approval or consent of Prime Landlord, then Subtenant shall not take such action until (i) Prime Landlord has provided its approval or consent in connection therewith as required under the Prime Lease and (ii) Sublandlord has provided its approval or consent in connection therewith in accordance with the applicable standard set forth in this Sublease. Except to the extent otherwise expressly provided in this Sublease, any consent or approval required or desired of Sublandlord, or any decisions under this Sublease committed to the discretion of Sublandlord hereunder, shall not be unreasonably withheld, conditioned, or delayed; provided, however, Subtenant agrees it shall be reasonable for Sublandlord to withhold its consent if Prime Landlord has not consented to the same.</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 xml:space="preserve">(g)    Sublandlord has not yet received the entirety of the Tenant Improvement Allowance under the Prime Lease. The right to receive the Tenant Improvement Allowance shall belong solely to Sublandlord. Upon Sublandlord’s request, Subtenant shall reasonably cooperate with Sublandlord to assist Sublandlord in receiving the remaining Tenant Improvement Allowance, including, without limitation, allowing contractors access and use of the Premises to complete punch list work upon one-day advance notice. </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 xml:space="preserve">(h)    With respect to the taxes under Section 16 of the Prime Lease (which are the responsibility of Subtenant by incorporation of said Section) relating to equipment, furniture, fixtures, personal property, Tenant Improvements, Alterations, or other items owned by Subtenant, Subtenant shall be responsible for timely filing and paying the tax and completing any other documentation required by any authority having jurisdiction in connection thereto. </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11.    </w:t>
      </w:r>
      <w:r>
        <w:rPr>
          <w:rFonts w:ascii="Times New Roman;sans-serif" w:hAnsi="Times New Roman;sans-serif"/>
          <w:b w:val="false"/>
          <w:color w:val="000000"/>
          <w:sz w:val="22"/>
          <w:u w:val="single"/>
        </w:rPr>
        <w:t>Defaults and Remedies</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    As used in this Sublease, the term “</w:t>
      </w:r>
      <w:r>
        <w:rPr>
          <w:rFonts w:ascii="Times New Roman;sans-serif" w:hAnsi="Times New Roman;sans-serif"/>
          <w:b/>
          <w:i/>
          <w:color w:val="000000"/>
          <w:sz w:val="22"/>
        </w:rPr>
        <w:t>Event of Default</w:t>
      </w:r>
      <w:r>
        <w:rPr>
          <w:color w:val="000000"/>
        </w:rPr>
        <w:t xml:space="preserve">” </w:t>
      </w:r>
      <w:r>
        <w:rPr>
          <w:rFonts w:ascii="Times New Roman;sans-serif" w:hAnsi="Times New Roman;sans-serif"/>
          <w:b w:val="false"/>
          <w:color w:val="000000"/>
          <w:sz w:val="22"/>
        </w:rPr>
        <w:t>shall mean the occurrence of any of the following: (i) with respect to any obligation of Subtenant relating to the payment of monies, Subtenant fails to timely deliver such monies and [***]; (ii) with respect to all other obligations of Subtenant under this Sublease or the Prime Lease, Subtenant fails to satisfy such obligation and such failure continues for [***] following written notice from Sublandlord or Prime Landlord, as the case may be; (iii) any Transfer or other encumbrance on all or any part of the Subleased Premises or this Sublease by Subtenant which is not permitted by the terms of this Sublease and not consented to by both Prime Landlord and Sublandlord; or (iv) the occurrence of an Event of Default under the Prime Lease described in Article 17 of the Prime Lease. If the notice and/or cure period under Section 11 (a)(iv) is less than that otherwise provided in this Section 11(a), the notice and/or cure period under Section 11(a)(iv) shall control.</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 xml:space="preserve">(b)    Upon or following the occurrence of an Event of Default, in addition to the rights of the Prime Landlord pursuant to the Prime Lease, Sublandlord shall have the following rights and remedies against Subtenant (in addition to all other rights and remedies provided by law or in equity): (i) to terminate this Sublease, (ii) to cure or attempt to cure the default, whereupon Subtenant shall upon demand reimburse Sublandlord for all costs thus expended together with interest thereon at the Default Rate (as defined in the Prime Lease) and a [***] percent ([***]%) administration fee on such costs, (iii) to sue for Subtenant’s performance, whereupon Subtenant shall upon demand reimburse Sublandlord </w:t>
      </w: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75260"/>
                <wp:effectExtent l="0" t="0" r="0" b="0"/>
                <wp:wrapNone/>
                <wp:docPr id="262" name="Frame2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- 7 -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all costs thus expended together with interest thereon at the Interest Rate and a [***] percent ([***]%) administration fee on such costs, (iv) to exercise all remedies set forth in the Prime Lease as if Sublandlord were the Prime Landlord and Subtenant were the Tenant thereunder, (v) to re-enter and take possession of the Subleased Premises, and to remove any property therein, without liability for damage to, and without the obligation to store such property but may store same at Subtenant’s expense. In the event of such re-entry, Sublandlord may, but shall not be obligated to, relet the Subleased Premises, or any part thereof, from time to time, in the name of Sublandlord or Subtenant, without further notice, for such term or terms, on such conditions and for such uses and purposes as Sublandlord, in its sole and absolute discretion, may determine, and Sublandlord may collect and receive all rents derived therefrom and apply the same, after deduction of all appropriate expenses (including broker’s, consultant’s and attorneys’ fees, if incurred, and the expenses of putting the property in leasable condition), to the payment of the rent and other sums payable hereunder, Subtenant remaining liable for any deficiency.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Sublandlord shall not be responsible or liable for any failure to relet the Subleased Premises or any part thereof, or for failure to collect any rent connected therewith. The exercise by Sublandlord of any remedy shall not preclude the subsequent or simultaneous exercise of any other remedy. No delay in exercising any remedy shall be deemed a waiver thereof. In addition, any payment not made when due shall bear interest until paid at the Default Rate. Notwithstanding anything herein or in the Prime Lease to the contrary, Sublandlord shall have no obligation to mitigate any damages or resublet the Subleased Premises or any part thereof, except to the extent required by applicable Laws.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    Upon the occurrence of a default by Subtenant under this Sublease which Subtenant does not commence to cure [***] of said default, Sublandlord may, but shall not be obligated to, cure such default on Subtenant’s behalf. Such cure shall not waive or release any obligation of Subtenant hereunder and shall not waive any rights or remedies at law or otherwise. All sums so paid or incurred by Sublandlord, together with interest thereon at the Default Rate from the date such sums were paid or incurred and a [***] percent ([***]%) administration fee on such costs shall be payable to Sublandlord on demand as Sublease Additional Rent.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12.    </w:t>
      </w:r>
      <w:r>
        <w:rPr>
          <w:rFonts w:ascii="Times New Roman;sans-serif" w:hAnsi="Times New Roman;sans-serif"/>
          <w:b w:val="false"/>
          <w:color w:val="000000"/>
          <w:sz w:val="22"/>
          <w:u w:val="single"/>
        </w:rPr>
        <w:t>Parking</w:t>
      </w:r>
      <w:r>
        <w:rPr>
          <w:rFonts w:ascii="Times New Roman;sans-serif" w:hAnsi="Times New Roman;sans-serif"/>
          <w:b w:val="false"/>
          <w:color w:val="000000"/>
          <w:sz w:val="22"/>
        </w:rPr>
        <w:t xml:space="preserve">. Subtenant agrees to keep, observe and comply with all rules and regulations established or adopted by Prime Landlord, and will require its employees, agents, contractors and guests to comply therewith. Subtenant shall reimburse Sublandlord for any costs incurred by Sublandlord in connection with Subtenant’s parking rights.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13.    </w:t>
      </w:r>
      <w:r>
        <w:rPr>
          <w:rFonts w:ascii="Times New Roman;sans-serif" w:hAnsi="Times New Roman;sans-serif"/>
          <w:b w:val="false"/>
          <w:color w:val="000000"/>
          <w:sz w:val="22"/>
          <w:u w:val="single"/>
        </w:rPr>
        <w:t>Assignment and Subletting</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Subtenant shall have no right to assign, mortgage, pledge or otherwise encumber this Sublease (including, without limitation, any assignment or other transfer by operation of law), nor to sublet the Subleased Premises or any part thereof, or suffer or permit the Subleased Premises or any part thereof to be used or occupied by others, by operation of law or otherwise, or otherwise permit or cause a Transfer (as defined in the Lease) without the consent of Prime Landlord and Sublandlord; provided, however, Sublandlord’s consent shall not be required in connection with a Permitted Transfer to a Subtenant Affiliate provided that the sublease agreement is on arms’ length terms, which sublease agreement shall be provided to Sublandlord [***] prior to the effective date thereof. Subtenant must comply with all the procedures, terms, conditions, and limitations with respect to Transfers as set forth in the Prime Lease. </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 xml:space="preserve">(b)    Subtenant covenants that, with respect to any sublease to an Affiliate (as defined in the Prime Lease), the sublease shall contain arms’ length terms. Subtenant shall inform Sublandlord [***] after receipt of written request [***] the names of the then-current subtenants and the status of the then-existing sublease agreements (e.g. whether or not there is a default under the applicable sublease). </w:t>
      </w:r>
    </w:p>
    <w:p>
      <w:pPr>
        <w:pStyle w:val="TextBody"/>
        <w:bidi w:val="0"/>
        <w:spacing w:before="0" w:after="0"/>
        <w:jc w:val="left"/>
        <w:rPr/>
      </w:pPr>
      <w:r>
        <w:rPr/>
      </w:r>
    </w:p>
    <w:p>
      <w:pPr>
        <w:pStyle w:val="TextBody"/>
        <w:bidi w:val="0"/>
        <w:spacing w:lineRule="auto" w:line="240"/>
        <w:jc w:val="both"/>
        <w:rPr/>
      </w:pPr>
      <w:r>
        <w:rPr>
          <w:color w:val="000000"/>
        </w:rPr>
        <w:t>    </w:t>
      </w:r>
      <w:r>
        <w:rPr>
          <w:rFonts w:ascii="Times New Roman;sans-serif" w:hAnsi="Times New Roman;sans-serif"/>
          <w:b w:val="false"/>
          <w:color w:val="000000"/>
          <w:sz w:val="22"/>
        </w:rPr>
        <w:t xml:space="preserve">(c)    Sublandlord and Subtenant shall cooperate with each other and use commercially reasonable efforts (which shall not obligate Sublandlord to commence or threaten legal action or incur more than </w:t>
      </w:r>
      <w:r>
        <w:rPr>
          <w:rFonts w:ascii="Times New Roman;sans-serif" w:hAnsi="Times New Roman;sans-serif"/>
          <w:b w:val="false"/>
          <w:i/>
          <w:color w:val="000000"/>
          <w:sz w:val="22"/>
        </w:rPr>
        <w:t xml:space="preserve">de minimis </w:t>
      </w:r>
      <w:r>
        <w:rPr>
          <w:rFonts w:ascii="Times New Roman;sans-serif" w:hAnsi="Times New Roman;sans-serif"/>
          <w:b w:val="false"/>
          <w:color w:val="000000"/>
          <w:sz w:val="22"/>
        </w:rPr>
        <w:t xml:space="preserve">additional costs, or take on more than </w:t>
      </w:r>
      <w:r>
        <w:rPr>
          <w:rFonts w:ascii="Times New Roman;sans-serif" w:hAnsi="Times New Roman;sans-serif"/>
          <w:b w:val="false"/>
          <w:i/>
          <w:color w:val="000000"/>
          <w:sz w:val="22"/>
        </w:rPr>
        <w:t>de minimis</w:t>
      </w:r>
      <w:r>
        <w:rPr>
          <w:color w:val="000000"/>
        </w:rPr>
        <w:t xml:space="preserve"> </w:t>
      </w:r>
      <w:r>
        <w:rPr>
          <w:rFonts w:ascii="Times New Roman;sans-serif" w:hAnsi="Times New Roman;sans-serif"/>
          <w:b w:val="false"/>
          <w:color w:val="000000"/>
          <w:sz w:val="22"/>
        </w:rPr>
        <w:t xml:space="preserve">additional liabilities) to cause the </w:t>
      </w: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75260"/>
                <wp:effectExtent l="0" t="0" r="0" b="0"/>
                <wp:wrapNone/>
                <wp:docPr id="263" name="Frame2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- 8 -</w:t>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2"/>
        </w:rPr>
        <w:t>assignment of the Lease to Subtenant. Without limiting the generality of the foregoing, Subtenant shall provide Sublandlord with all information and documentation reasonably required by Sublandlord and/or Prime Landlord in connection with said assignment, including, without limitation, an assignment and assumption agreement reasonably acceptable to Sublandlord and Subtenant. If Sublandlord and Subtenant enter into an assignment and assumption agreement for the assignment of the Lease and Prime Landlord consents to the same in writing, this Sublease shall terminate as of the later of (i) the effective date of the assignment and assumption agreement and (ii) the date Prime Landlord consents, in writing, to the assignment of the Prime Lease to Subtenant (such later date, the “</w:t>
      </w:r>
      <w:r>
        <w:rPr>
          <w:rFonts w:ascii="Times New Roman;sans-serif" w:hAnsi="Times New Roman;sans-serif"/>
          <w:b/>
          <w:i/>
          <w:color w:val="000000"/>
          <w:sz w:val="22"/>
        </w:rPr>
        <w:t>Early Termination Date</w:t>
      </w:r>
      <w:r>
        <w:rPr>
          <w:color w:val="000000"/>
        </w:rPr>
        <w:t>”</w:t>
      </w:r>
      <w:r>
        <w:rPr>
          <w:rFonts w:ascii="Times New Roman;sans-serif" w:hAnsi="Times New Roman;sans-serif"/>
          <w:b w:val="false"/>
          <w:color w:val="000000"/>
          <w:sz w:val="22"/>
        </w:rPr>
        <w:t xml:space="preserve">). Upon Sublandlord’s request, the parties shall execute a commercially reasonable termination agreement for this Sublease effective as of the Early Termination Date. </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14.    </w:t>
      </w:r>
      <w:r>
        <w:rPr>
          <w:rFonts w:ascii="Times New Roman;sans-serif" w:hAnsi="Times New Roman;sans-serif"/>
          <w:b w:val="false"/>
          <w:color w:val="000000"/>
          <w:sz w:val="22"/>
          <w:u w:val="single"/>
        </w:rPr>
        <w:t>Indemnification</w:t>
      </w:r>
      <w:r>
        <w:rPr>
          <w:rFonts w:ascii="Times New Roman;sans-serif" w:hAnsi="Times New Roman;sans-serif"/>
          <w:b w:val="false"/>
          <w:color w:val="000000"/>
          <w:sz w:val="22"/>
        </w:rPr>
        <w:t>. In any case where “Tenant” is to indemnify, defend, hold harmless, release or waive claims against “Landlord” under the Prime Lease, such indemnity, defense, holding harmless, release or waiver shall be deemed to run from Subtenant to both Prime Landlord and Sublandlord and their Indemnitees. In addition, for the purposes of this Sublease, Section 11(d) of the Prime Lease shall include an item (3) that reads: “Tenant’s performance of or Tenant’s failure to perform its obligations under Section 23 of the Prime Landlord’s Consent”. Subtenant covenants and agrees that Subtenant will not do or permit anything that would constitute a default under the Prime Lease or omit to do anything that Subtenant is obligated to do under the terms of this Sublease and the omission of which would constitute a default under the Prime Lease. Notwithstanding anything herein to the contrary, Sublandlord shall not be deemed to have made and shall have no liability to Subtenant with respect to (i) representations and warranties made by Landlord under the Prime Lease, and (ii) any indemnification obligations of Prime Landlord under the Prime Lease, or other obligations or liability of Prime Landlord under the Prime Lease with respect to compliance with laws, condition of the Subleased Premises, regardless of whether the incorporation of one or more provisions of the Prime Lease might otherwise operate to make Sublandlord liable therefor. Sublandlord shall indemnify, defend and hold Subtenant harmless from any and all costs, liabilities, demands, claims, civil or criminal actions, causes of action, civil or criminal penalties, fines, losses, liens, assessments, damages, liabilities, costs, disbursements, expenses, or fees of any kind or any nature (including without limitation all clean-up costs and attorneys’ fees) which may at any time be imposed upon, incurred by, or asserted or awarded against Sublandlord or Subtenant which result from Hazardous Materials (x) caused by the negligence or willful misconduct of Sublandlord or Sublandlord’s representatives, or (y) brought onto the Subleased Premises by Sublandlord. This Section shall survive the expiration or earlier termination of this Sublease.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15.    </w:t>
      </w:r>
      <w:r>
        <w:rPr>
          <w:rFonts w:ascii="Times New Roman;sans-serif" w:hAnsi="Times New Roman;sans-serif"/>
          <w:b w:val="false"/>
          <w:color w:val="000000"/>
          <w:sz w:val="22"/>
          <w:u w:val="single"/>
        </w:rPr>
        <w:t>Performance Periods</w:t>
      </w:r>
      <w:r>
        <w:rPr>
          <w:rFonts w:ascii="Times New Roman;sans-serif" w:hAnsi="Times New Roman;sans-serif"/>
          <w:b w:val="false"/>
          <w:color w:val="000000"/>
          <w:sz w:val="22"/>
        </w:rPr>
        <w:t>. Except as expressly set forth herein, each and every time limit contained in the Prime Lease for the giving of notices, making of demands, performance of acts or cures or for the exercise of any rights, remedies or options by the tenant thereunder (to the extent the same, if any, pass to Subtenant pursuant to the terms of this Sublease), shall be shortened by three (3) days for the purposes of this Sublease, so that in each instance Subtenant shall have three (3) days less time than Sublandlord has under the Prime Lease; provided, however, in no event shall such time period be shortened to less than [***] (except to the extent a shorter time limit is expressly provided in the Prime Lease, in which case such shorter time limit shall apply).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16.    </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xml:space="preserve">. Any notice, demand or other communication which must or may be given or made by either party hereto shall be in writing and shall be in accordance with the provisions of the Prime Lease, addressed as set forth in the Basic Sublease Provisions. Either party may, by notice to the other given as aforesaid, designate a new or additional address to which any such notice, demand or other communication thereafter shall be given, made or mailed. Any notice, demand or communication given hereunder shall be deemed delivered when actually received. In the event Subtenant receives a written notice, demand, or other communication from Prime Landlord, Subtenant shall immediately provide the same to Sublandlord.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17.    </w:t>
      </w:r>
      <w:r>
        <w:rPr>
          <w:rFonts w:ascii="Times New Roman;sans-serif" w:hAnsi="Times New Roman;sans-serif"/>
          <w:b w:val="false"/>
          <w:color w:val="000000"/>
          <w:sz w:val="22"/>
          <w:u w:val="single"/>
        </w:rPr>
        <w:t>Surrender; Holdover</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Surrender</w:t>
      </w:r>
      <w:r>
        <w:rPr>
          <w:rFonts w:ascii="Times New Roman;sans-serif" w:hAnsi="Times New Roman;sans-serif"/>
          <w:b w:val="false"/>
          <w:color w:val="000000"/>
          <w:sz w:val="22"/>
        </w:rPr>
        <w:t xml:space="preserve">. Upon the Expiration Date or termination of this Sublease, Subtenant shall quit and surrender to Sublandlord the Subleased Premises, in the condition required by the terms of </w:t>
      </w: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75260"/>
                <wp:effectExtent l="0" t="0" r="0" b="0"/>
                <wp:wrapNone/>
                <wp:docPr id="264" name="Frame2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- 9 -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Prime Lease, including, without limitation, performance of all removal and restoration obligations regardless of which entity or person installed or performed the alterations, additions, improvements, trade fixtures, personal property, equipment, wiring, conduits, cabling, or furniture. Without limiting the foregoing, Subtenant shall remove from the Subleased Premises all of its personal property, furniture, furnishings, and equipment, and shall repair all damage resulting from such removal or its use of the Subleased Premises. If Subtenant fails to remove any of Subtenant’s personal property or perform any required repairs or restoration prior to the expiration or earlier termination of this Sublease, then Sublandlord, at Subtenant’s sole cost and expense, may remove, store, sell and/or dispose of Subtenant’s personal property and perform such required repairs and restoration work. Subtenant shall reimburse Sublandlord for any and all costs and expenses incurred by Sublandlord (whether directly or as a pass-through) to cause such property to be removed and repairs and restorations made, together with any and all damages which Sublandlord may suffer and sustain by reason of Subtenant’s failure to perform its obligations set forth in this Section, plus a [***] percent ([***]%) administration fee. Subtenant’s obligations to perform and observe this covenant shall survive the expiration or earlier termination of this Sublease.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Holdover</w:t>
      </w:r>
      <w:r>
        <w:rPr>
          <w:rFonts w:ascii="Times New Roman;sans-serif" w:hAnsi="Times New Roman;sans-serif"/>
          <w:b w:val="false"/>
          <w:color w:val="000000"/>
          <w:sz w:val="22"/>
        </w:rPr>
        <w:t>. Notwithstanding anything herein to the contrary, on or prior to the Expiration Date, Subtenant shall surrender the Subleased Premises to Sublandlord in accordance with the terms of this Sublease and the Prime Lease (as may be incorporated herein by reference). If Subtenant fails to vacate and surrender the Subleased Premises in the required condition or otherwise holds over after the Expiration Date of this Sublease without the express written consent of Sublandlord, Subtenant shall become a tenant of sufferance only, and shall be required to pay to Sublandlord the amount equal to the greater of (i) the amount set forth in Section 29 of the Prime Lease as it applies to the Subleased Premises and (ii) any costs incurred by Sublandlord due to Subtenant’s holding over in the Subleased Premises. If Subtenant fails to surrender the Subleased Premises in the condition required hereunder on or before the Expiration Date, Subtenant shall indemnify and hold Sublandlord and all Sublandlord Indemnitees harmless from all loss or liability, including without limitation, any claim made by Prime Landlord or any successor tenant resulting from Subtenant’s failure to surrender the Subleased Premises and any attorneys’ fees and costs incurred by Sublandlord. Subtenant understands and agrees that Subtenant shall be liable for any and all obligations of Sublandlord under the Prime Lease for the entire Premises to the extent such obligations are caused by Subtenant’s holding over. No holding-over by Subtenant, nor the payment to Sublandlord of the amounts specified above, shall operate to extend the Term hereof. Nothing herein contained shall be deemed to permit Subtenant to retain possession of the Subleased Premises after the Expiration Date or sooner termination of this Sublease, and no acceptance by Sublandlord of payments from Subtenant after the Expiration Date or sooner termination of this Sublease shall be deemed to be other than on account of the amount to be paid by Subtenant.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18.    </w:t>
      </w:r>
      <w:r>
        <w:rPr>
          <w:rFonts w:ascii="Times New Roman;sans-serif" w:hAnsi="Times New Roman;sans-serif"/>
          <w:b w:val="false"/>
          <w:color w:val="000000"/>
          <w:sz w:val="22"/>
          <w:u w:val="single"/>
        </w:rPr>
        <w:t>Broker</w:t>
      </w:r>
      <w:r>
        <w:rPr>
          <w:rFonts w:ascii="Times New Roman;sans-serif" w:hAnsi="Times New Roman;sans-serif"/>
          <w:b w:val="false"/>
          <w:color w:val="000000"/>
          <w:sz w:val="22"/>
        </w:rPr>
        <w:t>. Sublandlord and Subtenant each represent and warrant that it has not dealt with any brokers or consultants in connection with this transaction, and that no real estate broker, salesperson or finder has the right to claim a real estate brokerage, salesperson commission or finder’s fee by reason of contact between the parties brought about by such broker, salesperson or finder. Each party shall hold and save the other and Prime Landlord harmless of and from any and all loss, costs, damage, injury or expense arising out of or in any way related to claims for real estate brokers, sales persons or finder’s commissions or fees based upon allegations made by the claimant that it is entitled to such a fee from the indemnified party arising out of contact with the indemnified party or alleged introductions of the indemnifying party to the indemnified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19.    </w:t>
      </w:r>
      <w:r>
        <w:rPr>
          <w:rFonts w:ascii="Times New Roman;sans-serif" w:hAnsi="Times New Roman;sans-serif"/>
          <w:b w:val="false"/>
          <w:color w:val="000000"/>
          <w:sz w:val="22"/>
          <w:u w:val="single"/>
        </w:rPr>
        <w:t>Limitations on Sublandlord’s Liability</w:t>
      </w:r>
      <w:r>
        <w:rPr>
          <w:rFonts w:ascii="Times New Roman;sans-serif" w:hAnsi="Times New Roman;sans-serif"/>
          <w:b w:val="false"/>
          <w:color w:val="000000"/>
          <w:sz w:val="22"/>
        </w:rPr>
        <w:t xml:space="preserve">. Subtenant acknowledges that Sublandlord is a corporation and agrees that notwithstanding any provisions to the contrary contained in the Prime Lease or this Sublease, as the same may be amended from time to time, no present or future shareholder, beneficial owner, officer, director, trustee, agent, servant or employee of Sublandlord shall have any personal liability to the other for the obligations arising out of, in connection with or under this Sublease, the relationship of Subtenant and Sublandlord, or Subtenant’s use of the Subleased Premises. It is understood and agreed that the assets of shareholders or beneficial owners of Sublandlord, as distinguished from any shareholder’s or beneficial owner’s interest in undistributed assets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75260"/>
                <wp:effectExtent l="0" t="0" r="0" b="0"/>
                <wp:wrapNone/>
                <wp:docPr id="265" name="Frame2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- 10 -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applicable party, may not be seized or attached by Subtenant for the satisfaction of the other party’s obligations under this Sublease.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20.    </w:t>
      </w:r>
      <w:r>
        <w:rPr>
          <w:rFonts w:ascii="Times New Roman;sans-serif" w:hAnsi="Times New Roman;sans-serif"/>
          <w:b w:val="false"/>
          <w:color w:val="000000"/>
          <w:sz w:val="22"/>
          <w:u w:val="single"/>
        </w:rPr>
        <w:t>Subtenant Representations</w:t>
      </w:r>
      <w:r>
        <w:rPr>
          <w:rFonts w:ascii="Times New Roman;sans-serif" w:hAnsi="Times New Roman;sans-serif"/>
          <w:b w:val="false"/>
          <w:color w:val="000000"/>
          <w:sz w:val="22"/>
        </w:rPr>
        <w:t>. Subtenant represents, warrants and covenants as follows: (a) Subtenant has the authority and legal ability to enter into and perform this Sublease and its obligations hereunder, (b) all actions required in connection with the authorization, execution, delivery and performance of this Sublease by Subtenant have been duly taken and, when executed and delivered by Subtenant, this Sublease shall be and constitute a valid, legal and binding obligation of Subtenant; and (c) Subtenant shall provide Sublandlord with copies of any written notices received from the Prime Landlord.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21.    </w:t>
      </w:r>
      <w:r>
        <w:rPr>
          <w:rFonts w:ascii="Times New Roman;sans-serif" w:hAnsi="Times New Roman;sans-serif"/>
          <w:b w:val="false"/>
          <w:color w:val="000000"/>
          <w:sz w:val="22"/>
          <w:u w:val="single"/>
        </w:rPr>
        <w:t>General Provisions</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Benefit and Burden</w:t>
      </w:r>
      <w:r>
        <w:rPr>
          <w:rFonts w:ascii="Times New Roman;sans-serif" w:hAnsi="Times New Roman;sans-serif"/>
          <w:b w:val="false"/>
          <w:color w:val="000000"/>
          <w:sz w:val="22"/>
        </w:rPr>
        <w:t>. The covenants, conditions, agreements, terms and provisions herein contained shall be binding upon, and shall inure to the benefit of, the parties hereto and each of their respective personal representatives, successors, heirs, executors, administrators and assigns.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It is the intention of the parties hereto that this Sublease (and the terms and provisions hereof) shall be construed and enforced in accordance with the laws of the State of California.</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Entire Agreement</w:t>
      </w:r>
      <w:r>
        <w:rPr>
          <w:rFonts w:ascii="Times New Roman;sans-serif" w:hAnsi="Times New Roman;sans-serif"/>
          <w:b w:val="false"/>
          <w:color w:val="000000"/>
          <w:sz w:val="22"/>
        </w:rPr>
        <w:t>. This Sublease and Prime Landlord’s Consent contains all of the covenants, agreements, terms, provisions, conditions, warranties and understandings relating to the subleasing of the Initial Sublease Premises and/or the Must-Take Sublease Premises and Sublandlord’s obligations in connection therewith, and neither Sublandlord nor any agent or representative of Sublandlord has made or is making, and Subtenant in executing and delivering this Sublease is not relying upon, any warranties, representations, promises or statements whatsoever, except to the extent expressly set forth in this Sublease. The failure of Sublandlord to insist in any instance upon the strict keeping, observance or performance of any covenant, agreement, term, provision or condition of this Sublease or to exercise any election herein contained shall not be construed as a waiver or relinquishment for the future of such covenant, agreement, term, provision, condition or election, but the same shall continue and remain in full force and effect. No waiver or modification of any covenant, agreement, term, provision or condition of this Sublease shall be deemed to have been made unless expressed in writing and signed by Prime Landlord and Sublandlord. No surrender of possession of the Subleased Premises or of any part thereof or of any remainder of the term of this Sublease shall release Subtenant from any of its obligations hereunder unless accepted by Sublandlord in writing. The receipt and retention by Sublandlord of monthly Base Rent or any other Rent from anyone other than Subtenant shall not be deemed a waiver of the breach by Subtenant of any covenant, agreement, term or provision of this Sublease, or as the acceptance of such other person as a tenant, or as a release of Subtenant of the covenants, agreements, terms, provisions and conditions herein contained. The receipt and retention by Sublandlord of monthly Base Rent or any other Rent with knowledge of the breach of any covenant, agreement, term, provision or condition herein contained shall not be deemed a waiver of such breach.</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Conflicts Between this Sublease and the Prime Lease</w:t>
      </w:r>
      <w:r>
        <w:rPr>
          <w:rFonts w:ascii="Times New Roman;sans-serif" w:hAnsi="Times New Roman;sans-serif"/>
          <w:b w:val="false"/>
          <w:color w:val="000000"/>
          <w:sz w:val="22"/>
        </w:rPr>
        <w:t>. With respect to the relationship between the Sublandlord and the Subtenant, the terms and conditions of this Sublease shall take precedence with respect to any conflict between the terms and conditions contained herein and the terms and conditions of the Prime Lease. Nothing herein shall be construed in any way to affect the rights and obligations of the Sublandlord and the Prime Landlord under the Prime Lease.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Captions</w:t>
      </w:r>
      <w:r>
        <w:rPr>
          <w:rFonts w:ascii="Times New Roman;sans-serif" w:hAnsi="Times New Roman;sans-serif"/>
          <w:b w:val="false"/>
          <w:color w:val="000000"/>
          <w:sz w:val="22"/>
        </w:rPr>
        <w:t>. The captions throughout this Sublease are for convenience of reference only and the words contained therein shall in no way be held or deemed to define, limit, describe, explain, modify, amplify or add to the interpretation, construction or meaning of any provision of or the scope or intent of this Sublease, nor in any way effect this Sublease.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Singular and Plural</w:t>
      </w:r>
      <w:r>
        <w:rPr>
          <w:rFonts w:ascii="Times New Roman;sans-serif" w:hAnsi="Times New Roman;sans-serif"/>
          <w:b w:val="false"/>
          <w:color w:val="000000"/>
          <w:sz w:val="22"/>
        </w:rPr>
        <w:t>. Wherever appropriate herein, the singular includes the plural and the plural includes the singular.</w:t>
      </w: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75260"/>
                <wp:effectExtent l="0" t="0" r="0" b="0"/>
                <wp:wrapNone/>
                <wp:docPr id="266" name="Frame2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- 11 -</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(g)    </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xml:space="preserve">. This Sublease may be executed in multiple counterparts each of which is deemed an original but together constitute one and the same instrument. This Sublease may be executed in “pdf” format and each party has the right to rely upon a pdf counterpart of this Sublease signed by the other party to the same extent as if such party had received an original counterpart. THE PARTIES HERETO CONSENT AND AGREE THAT THIS SUBLEASE MAY BE SIGNED AND/OR TRANSMITTED USING ELECTRONIC SIGNATURE TECHNOLOGY (E.G., VIA </w:t>
      </w:r>
      <w:r>
        <w:rPr>
          <w:rFonts w:ascii="Times New Roman;sans-serif" w:hAnsi="Times New Roman;sans-serif"/>
          <w:b w:val="false"/>
          <w:i/>
          <w:color w:val="000000"/>
          <w:sz w:val="22"/>
        </w:rPr>
        <w:t>DOCUSIGN</w:t>
      </w:r>
      <w:r>
        <w:rPr>
          <w:color w:val="000000"/>
        </w:rPr>
        <w:t xml:space="preserve"> </w:t>
      </w:r>
      <w:r>
        <w:rPr>
          <w:rFonts w:ascii="Times New Roman;sans-serif" w:hAnsi="Times New Roman;sans-serif"/>
          <w:b w:val="false"/>
          <w:color w:val="000000"/>
          <w:sz w:val="22"/>
        </w:rPr>
        <w:t>OR SIMILAR ELECTRONIC SIGNATURE TECHNOLOGY), AND THAT SUCH SIGNED ELECTRONIC RECORD WILL BE VALID AND AS EFFECTIVE TO BIND THE PARTY SO SIGNING AS A PAPER COPY BEARING SUCH PARTY’S HAND-WRITTEN SIGNATURE. THE PARTIES FURTHER CONSENT AND AGREE THAT (1) TO THE EXTENT A PARTY SIGNS THIS SUBLEASE USING ELECTRONIC SIGNATURE TECHNOLOGY, BY CLICKING “SIGN,” SUCH PARTY IS SIGNING THIS SUBLEASE ELECTRONICALLY, AND (2) THE ELECTRONIC SIGNATURES APPEARING ON THIS SUBLEASE WILL BE TREATED, FOR PURPOSES OF VALIDITY, ENFORCEABILITY AND ADMISSIBILITY, THE SAME AS HAND-WRITTEN SIGNATURES.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(h)    </w:t>
      </w:r>
      <w:r>
        <w:rPr>
          <w:rFonts w:ascii="Times New Roman;sans-serif" w:hAnsi="Times New Roman;sans-serif"/>
          <w:b w:val="false"/>
          <w:color w:val="000000"/>
          <w:sz w:val="22"/>
          <w:u w:val="single"/>
        </w:rPr>
        <w:t>No Recordation</w:t>
      </w:r>
      <w:r>
        <w:rPr>
          <w:rFonts w:ascii="Times New Roman;sans-serif" w:hAnsi="Times New Roman;sans-serif"/>
          <w:b w:val="false"/>
          <w:color w:val="000000"/>
          <w:sz w:val="22"/>
        </w:rPr>
        <w:t>. Neither this Sublease nor any short-form memorandum or version hereof shall be recorded by either party.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Time is of the Essence</w:t>
      </w:r>
      <w:r>
        <w:rPr>
          <w:rFonts w:ascii="Times New Roman;sans-serif" w:hAnsi="Times New Roman;sans-serif"/>
          <w:b w:val="false"/>
          <w:color w:val="000000"/>
          <w:sz w:val="22"/>
        </w:rPr>
        <w:t>. The parties agree that time is of the essence with respect to the performance of each of the covenants and agreements contained in this Sublease.</w:t>
      </w:r>
    </w:p>
    <w:p>
      <w:pPr>
        <w:pStyle w:val="TextBody"/>
        <w:bidi w:val="0"/>
        <w:spacing w:lineRule="auto" w:line="240" w:before="0" w:after="0"/>
        <w:ind w:left="0" w:right="0" w:firstLine="720"/>
        <w:jc w:val="both"/>
        <w:rPr/>
      </w:pPr>
      <w:r>
        <w:rPr>
          <w:color w:val="000000"/>
        </w:rPr>
        <w:t>    </w:t>
      </w:r>
      <w:r>
        <w:rPr>
          <w:rFonts w:ascii="Times New Roman;sans-serif" w:hAnsi="Times New Roman;sans-serif"/>
          <w:b w:val="false"/>
          <w:color w:val="000000"/>
          <w:sz w:val="22"/>
        </w:rPr>
        <w:t>(j)     </w:t>
      </w:r>
      <w:r>
        <w:rPr>
          <w:rFonts w:ascii="Times New Roman;sans-serif" w:hAnsi="Times New Roman;sans-serif"/>
          <w:b w:val="false"/>
          <w:color w:val="000000"/>
          <w:sz w:val="22"/>
          <w:u w:val="single"/>
        </w:rPr>
        <w:t>Defined Terms; Recitals</w:t>
      </w:r>
      <w:r>
        <w:rPr>
          <w:rFonts w:ascii="Times New Roman;sans-serif" w:hAnsi="Times New Roman;sans-serif"/>
          <w:b w:val="false"/>
          <w:color w:val="000000"/>
          <w:sz w:val="22"/>
        </w:rPr>
        <w:t xml:space="preserve">. Capitalized terms used herein and not otherwise defined shall have the meaning set forth in the Prime Lease. The recitals set forth above are incorporated as if set forth fully herein. </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(k)    </w:t>
      </w:r>
      <w:r>
        <w:rPr>
          <w:rFonts w:ascii="Times New Roman;sans-serif" w:hAnsi="Times New Roman;sans-serif"/>
          <w:b w:val="false"/>
          <w:color w:val="000000"/>
          <w:sz w:val="22"/>
          <w:u w:val="single"/>
        </w:rPr>
        <w:t>OFAC</w:t>
      </w:r>
      <w:r>
        <w:rPr>
          <w:rFonts w:ascii="Times New Roman;sans-serif" w:hAnsi="Times New Roman;sans-serif"/>
          <w:b w:val="false"/>
          <w:color w:val="000000"/>
          <w:sz w:val="22"/>
        </w:rPr>
        <w:t>. Subtenant represents and warrants to Sublandlord that Subtenant is not a party with whom Sublandlord or Prime Landlord is prohibited from doing business pursuant to the regulations of the Office of Foreign Assets Control (“</w:t>
      </w:r>
      <w:r>
        <w:rPr>
          <w:rFonts w:ascii="Times New Roman;sans-serif" w:hAnsi="Times New Roman;sans-serif"/>
          <w:b/>
          <w:color w:val="000000"/>
          <w:sz w:val="22"/>
        </w:rPr>
        <w:t>OFAC</w:t>
      </w:r>
      <w:r>
        <w:rPr>
          <w:color w:val="000000"/>
        </w:rPr>
        <w:t>”</w:t>
      </w:r>
      <w:r>
        <w:rPr>
          <w:rFonts w:ascii="Times New Roman;sans-serif" w:hAnsi="Times New Roman;sans-serif"/>
          <w:b w:val="false"/>
          <w:color w:val="000000"/>
          <w:sz w:val="22"/>
        </w:rPr>
        <w:t>) of the U.S. Department of the Treasury, including those parties named on OFAC’s Specially Designated Nationals and Blocked Persons List. Subtenant is currently in compliance with, and shall at all times during the Term remain in compliance with, the regulations of OFAC and any other governmental requirement relating thereto. In the event of any violation of this Section, Sublandlord shall be entitled to immediately terminate this Sublease and take such other actions as are permitted or required to be taken under law or in equity. SUBTENANT SHALL DEFEND, INDEMNIFY AND HOLD HARMLESS SUBLANDLORD FROM AND AGAINST ANY AND ALL CLAIMS, DAMAGES, LOSSES, RISKS, LIABILITIES, AND EXPENSES (INCLUDING ATTORNEYS’ FEES AND COSTS) INCURRED BY SUBLANDLORD ARISING FROM OR RELATED TO ANY BREACH OF THE FOREGOING CERTIFICATIONS. These indemnity obligations shall survive the expiration or earlier termination of this Sublease.</w:t>
      </w:r>
      <w:r>
        <w:rPr>
          <w:color w:val="000000"/>
          <w:u w:val="single"/>
        </w:rPr>
        <w:t xml:space="preserve"> </w:t>
      </w:r>
    </w:p>
    <w:p>
      <w:pPr>
        <w:pStyle w:val="TextBody"/>
        <w:bidi w:val="0"/>
        <w:spacing w:before="0" w:after="0"/>
        <w:ind w:left="0" w:right="0" w:firstLine="1440"/>
        <w:jc w:val="both"/>
        <w:rPr/>
      </w:pPr>
      <w:r>
        <w:rPr/>
      </w:r>
    </w:p>
    <w:p>
      <w:pPr>
        <w:pStyle w:val="TextBody"/>
        <w:bidi w:val="0"/>
        <w:spacing w:lineRule="auto" w:line="240" w:before="100" w:after="120"/>
        <w:ind w:left="0" w:right="0" w:firstLine="1440"/>
        <w:jc w:val="both"/>
        <w:rPr/>
      </w:pPr>
      <w:r>
        <w:rPr>
          <w:rFonts w:ascii="Times New Roman;sans-serif" w:hAnsi="Times New Roman;sans-serif"/>
          <w:b w:val="false"/>
          <w:color w:val="000000"/>
          <w:sz w:val="22"/>
        </w:rPr>
        <w:t>(l)    </w:t>
      </w:r>
      <w:r>
        <w:rPr>
          <w:rFonts w:ascii="Times New Roman;sans-serif" w:hAnsi="Times New Roman;sans-serif"/>
          <w:b w:val="false"/>
          <w:color w:val="000000"/>
          <w:sz w:val="22"/>
          <w:u w:val="single"/>
        </w:rPr>
        <w:t>Certified Access Specialist Disclosure</w:t>
      </w:r>
      <w:r>
        <w:rPr>
          <w:rFonts w:ascii="Times New Roman;sans-serif" w:hAnsi="Times New Roman;sans-serif"/>
          <w:b w:val="false"/>
          <w:color w:val="000000"/>
          <w:sz w:val="22"/>
        </w:rPr>
        <w:t>.  For purposes of Section 1938 of the California Civil Code, Sublandlord hereby discloses to Subtenant, and Subtenant hereby acknowledges, that to Sublandlord’s actual knowledge, neither the Initial Sublease Premises nor the Must-Take Sublease Premises have not undergone inspection by a CASp.</w:t>
      </w:r>
    </w:p>
    <w:p>
      <w:pPr>
        <w:pStyle w:val="TextBody"/>
        <w:bidi w:val="0"/>
        <w:spacing w:lineRule="auto" w:line="240" w:before="100" w:after="120"/>
        <w:jc w:val="both"/>
        <w:rPr>
          <w:rFonts w:ascii="Times New Roman;sans-serif" w:hAnsi="Times New Roman;sans-serif"/>
          <w:b w:val="false"/>
          <w:color w:val="000000"/>
          <w:sz w:val="22"/>
        </w:rPr>
      </w:pPr>
      <w:r>
        <w:rPr>
          <w:rFonts w:ascii="Times New Roman;sans-serif" w:hAnsi="Times New Roman;sans-serif"/>
          <w:b w:val="false"/>
          <w:color w:val="000000"/>
          <w:sz w:val="22"/>
        </w:rPr>
        <w:t>California Civil Code Section 1938 states:</w:t>
      </w:r>
    </w:p>
    <w:p>
      <w:pPr>
        <w:pStyle w:val="TextBody"/>
        <w:bidi w:val="0"/>
        <w:spacing w:lineRule="auto" w:line="240" w:before="100" w:after="120"/>
        <w:jc w:val="both"/>
        <w:rPr>
          <w:color w:val="000000"/>
        </w:rPr>
      </w:pPr>
      <w:r>
        <w:rPr>
          <w:color w:val="000000"/>
        </w:rPr>
        <w:t>“</w:t>
      </w:r>
      <w:r>
        <w:rPr>
          <w:rFonts w:ascii="Times New Roman;sans-serif" w:hAnsi="Times New Roman;sans-serif"/>
          <w:b w:val="false"/>
          <w:color w:val="000000"/>
          <w:sz w:val="22"/>
        </w:rPr>
        <w:t xml:space="preserve">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w:t>
      </w: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260"/>
                <wp:effectExtent l="0" t="0" r="0" b="0"/>
                <wp:wrapNone/>
                <wp:docPr id="267" name="Frame2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- 12 -</w:t>
                      </w:r>
                    </w:p>
                  </w:txbxContent>
                </v:textbox>
                <w10:wrap type="none"/>
              </v:rect>
            </w:pict>
          </mc:Fallback>
        </mc:AlternateContent>
      </w:r>
    </w:p>
    <w:p>
      <w:pPr>
        <w:pStyle w:val="TextBody"/>
        <w:bidi w:val="0"/>
        <w:spacing w:lineRule="auto" w:line="240" w:before="100" w:after="120"/>
        <w:jc w:val="both"/>
        <w:rPr>
          <w:rFonts w:ascii="Times New Roman;sans-serif" w:hAnsi="Times New Roman;sans-serif"/>
          <w:b w:val="false"/>
          <w:color w:val="000000"/>
          <w:sz w:val="22"/>
        </w:rPr>
      </w:pPr>
      <w:r>
        <w:rPr>
          <w:rFonts w:ascii="Times New Roman;sans-serif" w:hAnsi="Times New Roman;sans-serif"/>
          <w:b w:val="false"/>
          <w:color w:val="000000"/>
          <w:sz w:val="22"/>
        </w:rPr>
        <w:t>making any repairs necessary to correct violations of construction-related accessibility standards within the premises.”</w:t>
      </w:r>
    </w:p>
    <w:p>
      <w:pPr>
        <w:pStyle w:val="TextBody"/>
        <w:bidi w:val="0"/>
        <w:spacing w:lineRule="auto" w:line="240" w:before="100" w:after="12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anything to the contrary in the Sublease, Sublandlord and Subtenant hereby agree that Subtenant shall be responsible for (i) the payment of the fee for any CASp inspection that Subtenant desires, and (ii) making, at Subtenant’s sole cost, any repairs necessary to correct violations of construction-related accessibility standards within the Premises, whether such violations occurred before or occur after the Effective Date, if such CASp inspection at Subtenant’s request reveals a violation, provided that such repairs shall be in accordance with the terms of the Sublease.  Subtenant hereby agrees that:  any CASp inspecting the Initial Sublease Premises and/or the Must-Take Sublease Premises shall be selected by Sublandlord or Prime Landlord; Subtenant shall promptly deliver to Sublandlord and Prime Landlord any CASp report regarding all or part of the Premises obtained by Subtenant; and Subtenant shall keep information contained in any CASp report regarding the Initial Sublease Premises and/or the Must-Take Sublease Premises confidential, except as may be necessary for Subtenant or its agents to complete any repairs or correct violations with respect to the Initial Sublease Premises and/or the Must-Take Sublease Premises that Subtenant agrees to undertake.  Subtenant shall have no right to cancel or terminate the Sublease due to violations of construction-related accessibility standards within the Initial Sublease Premises and/or the Must-Take Sublease Premises identified in a CASp report obtained during the Term.</w:t>
      </w:r>
    </w:p>
    <w:p>
      <w:pPr>
        <w:pStyle w:val="TextBody"/>
        <w:bidi w:val="0"/>
        <w:spacing w:before="0" w:after="0"/>
        <w:jc w:val="both"/>
        <w:rPr/>
      </w:pPr>
      <w:r>
        <w:rPr/>
      </w:r>
    </w:p>
    <w:p>
      <w:pPr>
        <w:pStyle w:val="TextBody"/>
        <w:bidi w:val="0"/>
        <w:spacing w:lineRule="auto" w:line="240"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Remainder of page intentionally left blank; signature page(s) follow</w:t>
      </w:r>
      <w:r>
        <w:rPr>
          <w:rFonts w:ascii="Times New Roman;sans-serif" w:hAnsi="Times New Roman;sans-serif"/>
          <w:b w:val="false"/>
          <w:color w:val="000000"/>
          <w:sz w:val="22"/>
        </w:rPr>
        <w:t>]</w:t>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260"/>
                <wp:effectExtent l="0" t="0" r="0" b="0"/>
                <wp:wrapNone/>
                <wp:docPr id="268" name="Frame2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- 13 -</w:t>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Sublandlord and Subtenant have each executed this Sublease on the day and year first hereinabove written.</w:t>
      </w:r>
    </w:p>
    <w:p>
      <w:pPr>
        <w:pStyle w:val="TextBody"/>
        <w:bidi w:val="0"/>
        <w:spacing w:before="0" w:after="0"/>
        <w:jc w:val="both"/>
        <w:rPr/>
      </w:pPr>
      <w:r>
        <w:rPr/>
      </w:r>
    </w:p>
    <w:tbl>
      <w:tblPr>
        <w:tblW w:w="3881" w:type="dxa"/>
        <w:jc w:val="left"/>
        <w:tblInd w:w="0" w:type="dxa"/>
        <w:tblLayout w:type="fixed"/>
        <w:tblCellMar>
          <w:top w:w="28" w:type="dxa"/>
          <w:left w:w="28" w:type="dxa"/>
          <w:bottom w:w="28" w:type="dxa"/>
          <w:right w:w="28" w:type="dxa"/>
        </w:tblCellMar>
      </w:tblPr>
      <w:tblGrid>
        <w:gridCol w:w="550"/>
        <w:gridCol w:w="481"/>
        <w:gridCol w:w="481"/>
        <w:gridCol w:w="690"/>
        <w:gridCol w:w="690"/>
        <w:gridCol w:w="989"/>
      </w:tblGrid>
      <w:tr>
        <w:trPr/>
        <w:tc>
          <w:tcPr>
            <w:tcW w:w="55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3881"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SUBLANDLORD:</w:t>
            </w:r>
          </w:p>
        </w:tc>
      </w:tr>
      <w:tr>
        <w:trPr/>
        <w:tc>
          <w:tcPr>
            <w:tcW w:w="38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6"/>
            <w:tcBorders/>
            <w:tcMar>
              <w:top w:w="0" w:type="dxa"/>
              <w:left w:w="0" w:type="dxa"/>
              <w:bottom w:w="0" w:type="dxa"/>
              <w:right w:w="0" w:type="dxa"/>
            </w:tcMar>
            <w:vAlign w:val="center"/>
          </w:tcPr>
          <w:p>
            <w:pPr>
              <w:pStyle w:val="TableContents"/>
              <w:bidi w:val="0"/>
              <w:spacing w:lineRule="auto" w:line="240" w:before="0" w:after="2"/>
              <w:ind w:left="0" w:right="0" w:hanging="4320"/>
              <w:jc w:val="left"/>
              <w:rPr/>
            </w:pPr>
            <w:r>
              <w:rPr>
                <w:rFonts w:ascii="Times New Roman;sans-serif" w:hAnsi="Times New Roman;sans-serif"/>
                <w:b/>
                <w:color w:val="000000"/>
                <w:sz w:val="22"/>
              </w:rPr>
              <w:t>SENTI BIOSCIENCES, INC.</w:t>
            </w:r>
            <w:r>
              <w:rPr>
                <w:rFonts w:ascii="Times New Roman;sans-serif" w:hAnsi="Times New Roman;sans-serif"/>
                <w:b w:val="false"/>
                <w:color w:val="000000"/>
                <w:sz w:val="22"/>
              </w:rPr>
              <w:t xml:space="preserve">, </w:t>
            </w:r>
          </w:p>
        </w:tc>
      </w:tr>
      <w:tr>
        <w:trPr/>
        <w:tc>
          <w:tcPr>
            <w:tcW w:w="3881" w:type="dxa"/>
            <w:gridSpan w:val="6"/>
            <w:tcBorders/>
            <w:tcMar>
              <w:top w:w="0" w:type="dxa"/>
              <w:left w:w="0" w:type="dxa"/>
              <w:bottom w:w="0" w:type="dxa"/>
              <w:right w:w="0" w:type="dxa"/>
            </w:tcMar>
            <w:vAlign w:val="center"/>
          </w:tcPr>
          <w:p>
            <w:pPr>
              <w:pStyle w:val="TableContents"/>
              <w:bidi w:val="0"/>
              <w:spacing w:lineRule="auto" w:line="240" w:before="0" w:after="2"/>
              <w:ind w:left="0" w:right="0" w:hanging="4320"/>
              <w:jc w:val="left"/>
              <w:rPr>
                <w:rFonts w:ascii="Times New Roman;sans-serif" w:hAnsi="Times New Roman;sans-serif"/>
                <w:b w:val="false"/>
                <w:color w:val="000000"/>
                <w:sz w:val="22"/>
              </w:rPr>
            </w:pPr>
            <w:r>
              <w:rPr>
                <w:rFonts w:ascii="Times New Roman;sans-serif" w:hAnsi="Times New Roman;sans-serif"/>
                <w:b w:val="false"/>
                <w:color w:val="000000"/>
                <w:sz w:val="22"/>
              </w:rPr>
              <w:t>a Delaware corporation</w:t>
            </w:r>
          </w:p>
        </w:tc>
      </w:tr>
      <w:tr>
        <w:trPr/>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By: </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 Tim Lu</w:t>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Tim Lu, M.D., Ph.D.</w:t>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
              <w:ind w:left="0" w:right="0" w:hanging="432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
              <w:ind w:left="0" w:right="0" w:hanging="4320"/>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tc>
      </w:tr>
      <w:tr>
        <w:trPr/>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3613" w:type="dxa"/>
        <w:jc w:val="left"/>
        <w:tblInd w:w="0" w:type="dxa"/>
        <w:tblLayout w:type="fixed"/>
        <w:tblCellMar>
          <w:top w:w="28" w:type="dxa"/>
          <w:left w:w="28" w:type="dxa"/>
          <w:bottom w:w="28" w:type="dxa"/>
          <w:right w:w="28" w:type="dxa"/>
        </w:tblCellMar>
      </w:tblPr>
      <w:tblGrid>
        <w:gridCol w:w="627"/>
        <w:gridCol w:w="551"/>
        <w:gridCol w:w="551"/>
        <w:gridCol w:w="551"/>
        <w:gridCol w:w="551"/>
        <w:gridCol w:w="782"/>
      </w:tblGrid>
      <w:tr>
        <w:trPr/>
        <w:tc>
          <w:tcPr>
            <w:tcW w:w="62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361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SUBTENANT:</w:t>
            </w:r>
          </w:p>
        </w:tc>
      </w:tr>
      <w:tr>
        <w:trPr/>
        <w:tc>
          <w:tcPr>
            <w:tcW w:w="361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GENEFAB, LLC</w:t>
            </w:r>
          </w:p>
        </w:tc>
      </w:tr>
      <w:tr>
        <w:trPr/>
        <w:tc>
          <w:tcPr>
            <w:tcW w:w="361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 Delaware limited liability company</w:t>
            </w:r>
          </w:p>
        </w:tc>
      </w:tr>
      <w:tr>
        <w:trPr/>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its sole member:</w:t>
            </w:r>
          </w:p>
        </w:tc>
      </w:tr>
      <w:tr>
        <w:trPr/>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VALERE BIO, INC.</w:t>
            </w:r>
          </w:p>
        </w:tc>
      </w:tr>
      <w:tr>
        <w:trPr/>
        <w:tc>
          <w:tcPr>
            <w:tcW w:w="361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 Delaware corporation</w:t>
            </w:r>
          </w:p>
        </w:tc>
      </w:tr>
      <w:tr>
        <w:trPr/>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By: </w:t>
            </w:r>
          </w:p>
        </w:tc>
        <w:tc>
          <w:tcPr>
            <w:tcW w:w="18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 Donald Tang</w:t>
            </w:r>
          </w:p>
        </w:tc>
      </w:tr>
      <w:tr>
        <w:trPr/>
        <w:tc>
          <w:tcPr>
            <w:tcW w:w="1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w:t>
            </w:r>
          </w:p>
        </w:tc>
        <w:tc>
          <w:tcPr>
            <w:tcW w:w="18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Donald Tang</w:t>
            </w:r>
          </w:p>
        </w:tc>
      </w:tr>
      <w:tr>
        <w:trPr/>
        <w:tc>
          <w:tcPr>
            <w:tcW w:w="1729" w:type="dxa"/>
            <w:gridSpan w:val="3"/>
            <w:tcBorders/>
            <w:tcMar>
              <w:top w:w="0" w:type="dxa"/>
              <w:left w:w="0" w:type="dxa"/>
              <w:bottom w:w="0" w:type="dxa"/>
              <w:right w:w="0" w:type="dxa"/>
            </w:tcMar>
            <w:vAlign w:val="center"/>
          </w:tcPr>
          <w:p>
            <w:pPr>
              <w:pStyle w:val="TableContents"/>
              <w:bidi w:val="0"/>
              <w:spacing w:lineRule="auto" w:line="240" w:before="0" w:after="2"/>
              <w:ind w:left="0" w:right="0" w:hanging="432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1884" w:type="dxa"/>
            <w:gridSpan w:val="3"/>
            <w:tcBorders/>
            <w:tcMar>
              <w:top w:w="0" w:type="dxa"/>
              <w:left w:w="0" w:type="dxa"/>
              <w:bottom w:w="0" w:type="dxa"/>
              <w:right w:w="0" w:type="dxa"/>
            </w:tcMar>
            <w:vAlign w:val="center"/>
          </w:tcPr>
          <w:p>
            <w:pPr>
              <w:pStyle w:val="TableContents"/>
              <w:bidi w:val="0"/>
              <w:spacing w:lineRule="auto" w:line="240" w:before="0" w:after="2"/>
              <w:ind w:left="0" w:right="0" w:hanging="4320"/>
              <w:jc w:val="left"/>
              <w:rPr>
                <w:rFonts w:ascii="Times New Roman;sans-serif" w:hAnsi="Times New Roman;sans-serif"/>
                <w:b w:val="false"/>
                <w:color w:val="000000"/>
                <w:sz w:val="22"/>
              </w:rPr>
            </w:pPr>
            <w:r>
              <w:rPr>
                <w:rFonts w:ascii="Times New Roman;sans-serif" w:hAnsi="Times New Roman;sans-serif"/>
                <w:b w:val="false"/>
                <w:color w:val="000000"/>
                <w:sz w:val="22"/>
              </w:rPr>
              <w:t>President</w:t>
            </w:r>
          </w:p>
        </w:tc>
      </w:tr>
      <w:tr>
        <w:trPr/>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69" name="Frame2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- 14 -</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A</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60655"/>
                <wp:effectExtent l="0" t="0" r="0" b="0"/>
                <wp:wrapNone/>
                <wp:docPr id="270" name="Frame2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Exhibit A</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Exhibit A</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B</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260"/>
                <wp:effectExtent l="0" t="0" r="0" b="0"/>
                <wp:wrapNone/>
                <wp:docPr id="271" name="Frame2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UNDER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Timothy Lu, M.D., Ph.D., certify that:</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quarterly period ended September 30, 2023, of Senti Biosciences, Inc.;</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75260"/>
                <wp:effectExtent l="0" t="0" r="0" b="0"/>
                <wp:wrapNone/>
                <wp:docPr id="272" name="Frame2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146" w:type="dxa"/>
        <w:jc w:val="left"/>
        <w:tblInd w:w="0" w:type="dxa"/>
        <w:tblLayout w:type="fixed"/>
        <w:tblCellMar>
          <w:top w:w="28" w:type="dxa"/>
          <w:left w:w="28" w:type="dxa"/>
          <w:bottom w:w="28" w:type="dxa"/>
          <w:right w:w="28" w:type="dxa"/>
        </w:tblCellMar>
      </w:tblPr>
      <w:tblGrid>
        <w:gridCol w:w="797"/>
        <w:gridCol w:w="702"/>
        <w:gridCol w:w="706"/>
        <w:gridCol w:w="134"/>
        <w:gridCol w:w="134"/>
        <w:gridCol w:w="136"/>
        <w:gridCol w:w="109"/>
        <w:gridCol w:w="109"/>
        <w:gridCol w:w="109"/>
        <w:gridCol w:w="938"/>
        <w:gridCol w:w="938"/>
        <w:gridCol w:w="1334"/>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13,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Lu, M.D., Ph.D.</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Lu, M.D., Ph.D.</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President</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75260"/>
                <wp:effectExtent l="0" t="0" r="0" b="0"/>
                <wp:wrapNone/>
                <wp:docPr id="273" name="Frame2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UNDER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Deborah Knobelman, Ph.D., certify that:</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quarterly period ended September 30, 2023, of Senti Biosciences, Inc.;</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75260"/>
                <wp:effectExtent l="0" t="0" r="0" b="0"/>
                <wp:wrapNone/>
                <wp:docPr id="274" name="Frame2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801" w:type="dxa"/>
        <w:jc w:val="left"/>
        <w:tblInd w:w="0" w:type="dxa"/>
        <w:tblLayout w:type="fixed"/>
        <w:tblCellMar>
          <w:top w:w="28" w:type="dxa"/>
          <w:left w:w="28" w:type="dxa"/>
          <w:bottom w:w="28" w:type="dxa"/>
          <w:right w:w="28" w:type="dxa"/>
        </w:tblCellMar>
      </w:tblPr>
      <w:tblGrid>
        <w:gridCol w:w="797"/>
        <w:gridCol w:w="702"/>
        <w:gridCol w:w="706"/>
        <w:gridCol w:w="134"/>
        <w:gridCol w:w="134"/>
        <w:gridCol w:w="136"/>
        <w:gridCol w:w="109"/>
        <w:gridCol w:w="109"/>
        <w:gridCol w:w="109"/>
        <w:gridCol w:w="1716"/>
        <w:gridCol w:w="1716"/>
        <w:gridCol w:w="2433"/>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13,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Deborah Knobelman, Ph.D.</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Deborah Knobelman, Ph.D.</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Treasurer and Head of Corporate Development</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75260"/>
                <wp:effectExtent l="0" t="0" r="0" b="0"/>
                <wp:wrapNone/>
                <wp:docPr id="275" name="Frame2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Senti Biosciences, Inc. (the “Company”) on Form 10-Q for the quarterly period ended September 30, 2023, as filed with the Securities and Exchange Commission on the date hereof (the “Report”), I, Timothy Lu, M.D., Ph.D., Chief Executive Officer and President of the Company, certify, pursuant to 18 U.S.C. §1350, as adopted pursuant to §906 of the Sarbanes-Oxley Act of 2002, that to my knowledge:</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 as of and for the period covered by the Report.</w:t>
      </w:r>
    </w:p>
    <w:p>
      <w:pPr>
        <w:pStyle w:val="TextBody"/>
        <w:bidi w:val="0"/>
        <w:spacing w:before="0" w:after="0"/>
        <w:jc w:val="left"/>
        <w:rPr/>
      </w:pPr>
      <w:r>
        <w:rPr/>
      </w:r>
    </w:p>
    <w:tbl>
      <w:tblPr>
        <w:tblW w:w="6146" w:type="dxa"/>
        <w:jc w:val="left"/>
        <w:tblInd w:w="0" w:type="dxa"/>
        <w:tblLayout w:type="fixed"/>
        <w:tblCellMar>
          <w:top w:w="28" w:type="dxa"/>
          <w:left w:w="28" w:type="dxa"/>
          <w:bottom w:w="28" w:type="dxa"/>
          <w:right w:w="28" w:type="dxa"/>
        </w:tblCellMar>
      </w:tblPr>
      <w:tblGrid>
        <w:gridCol w:w="797"/>
        <w:gridCol w:w="702"/>
        <w:gridCol w:w="706"/>
        <w:gridCol w:w="134"/>
        <w:gridCol w:w="134"/>
        <w:gridCol w:w="136"/>
        <w:gridCol w:w="109"/>
        <w:gridCol w:w="109"/>
        <w:gridCol w:w="109"/>
        <w:gridCol w:w="938"/>
        <w:gridCol w:w="938"/>
        <w:gridCol w:w="1334"/>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13,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Lu, M.D., Ph.D.</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Lu, M.D., Ph.D.</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President</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75260"/>
                <wp:effectExtent l="0" t="0" r="0" b="0"/>
                <wp:wrapNone/>
                <wp:docPr id="276" name="Frame2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Senti Biosciences, Inc. (the “Company”) on Form 10-Q for the quarterly period ended September 30, 2023, as filed with the Securities and Exchange Commission on the date hereof (the “Report”), I, Deborah Knobelman, Ph.D., Chief Financial Officer, Treasurer and Head of Corporate Development of the Company, certify, pursuant to 18 U.S.C. §1350, as adopted pursuant to §906 of the Sarbanes-Oxley Act of 2002, that to my knowledge:</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 as of and for the period covered by the Report.</w:t>
      </w:r>
    </w:p>
    <w:p>
      <w:pPr>
        <w:pStyle w:val="TextBody"/>
        <w:bidi w:val="0"/>
        <w:spacing w:before="0" w:after="0"/>
        <w:jc w:val="left"/>
        <w:rPr/>
      </w:pPr>
      <w:r>
        <w:rPr/>
      </w:r>
    </w:p>
    <w:tbl>
      <w:tblPr>
        <w:tblW w:w="8801" w:type="dxa"/>
        <w:jc w:val="left"/>
        <w:tblInd w:w="0" w:type="dxa"/>
        <w:tblLayout w:type="fixed"/>
        <w:tblCellMar>
          <w:top w:w="28" w:type="dxa"/>
          <w:left w:w="28" w:type="dxa"/>
          <w:bottom w:w="28" w:type="dxa"/>
          <w:right w:w="28" w:type="dxa"/>
        </w:tblCellMar>
      </w:tblPr>
      <w:tblGrid>
        <w:gridCol w:w="797"/>
        <w:gridCol w:w="702"/>
        <w:gridCol w:w="706"/>
        <w:gridCol w:w="134"/>
        <w:gridCol w:w="134"/>
        <w:gridCol w:w="136"/>
        <w:gridCol w:w="109"/>
        <w:gridCol w:w="109"/>
        <w:gridCol w:w="109"/>
        <w:gridCol w:w="1716"/>
        <w:gridCol w:w="1716"/>
        <w:gridCol w:w="2433"/>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13,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Deborah Knobelman, Ph.D.</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Deborah Knobelman, Ph.D.</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Treasurer and Head of Corporate Development</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75260"/>
                <wp:effectExtent l="0" t="0" r="0" b="0"/>
                <wp:wrapNone/>
                <wp:docPr id="277" name="Frame2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4270/000162828023036037/exhibit108-sx3despacsx1.htm" TargetMode="External"/><Relationship Id="rId3" Type="http://schemas.openxmlformats.org/officeDocument/2006/relationships/hyperlink" Target="https://www.sec.gov/Archives/edgar/data/1854270/000162828023036037/exhibit108-sx3despacsx1.htm" TargetMode="External"/><Relationship Id="rId4" Type="http://schemas.openxmlformats.org/officeDocument/2006/relationships/hyperlink" Target="https://www.sec.gov/Archives/edgar/data/1854270/000162828023036037/exhibit108-sx3despacsx1.htm" TargetMode="External"/><Relationship Id="rId5" Type="http://schemas.openxmlformats.org/officeDocument/2006/relationships/hyperlink" Target="https://www.sec.gov/Archives/edgar/data/1854270/000162828023036037/exhibit108-sx3despacsx1.htm" TargetMode="External"/><Relationship Id="rId6" Type="http://schemas.openxmlformats.org/officeDocument/2006/relationships/hyperlink" Target="https://www.sec.gov/Archives/edgar/data/1854270/000162828023036037/exhibit108-sx3despacsx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162</Pages>
  <Words>143401</Words>
  <Characters>793592</Characters>
  <CharactersWithSpaces>936287</CharactersWithSpaces>
  <Paragraphs>5625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