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2189" w:type="dxa"/>
        <w:jc w:val="center"/>
        <w:tblInd w:w="0" w:type="dxa"/>
        <w:tblLayout w:type="fixed"/>
        <w:tblCellMar>
          <w:top w:w="28" w:type="dxa"/>
          <w:left w:w="28" w:type="dxa"/>
          <w:bottom w:w="28" w:type="dxa"/>
          <w:right w:w="28" w:type="dxa"/>
        </w:tblCellMar>
      </w:tblPr>
      <w:tblGrid>
        <w:gridCol w:w="700"/>
        <w:gridCol w:w="616"/>
        <w:gridCol w:w="873"/>
      </w:tblGrid>
      <w:tr>
        <w:trPr/>
        <w:tc>
          <w:tcPr>
            <w:tcW w:w="70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10-K/A</w:t>
            </w:r>
          </w:p>
        </w:tc>
      </w:tr>
      <w:tr>
        <w:trPr/>
        <w:tc>
          <w:tcPr>
            <w:tcW w:w="21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Amendment No.1</w:t>
            </w:r>
          </w:p>
        </w:tc>
      </w:tr>
    </w:tbl>
    <w:tbl>
      <w:tblPr>
        <w:tblW w:w="10205" w:type="dxa"/>
        <w:jc w:val="center"/>
        <w:tblInd w:w="0" w:type="dxa"/>
        <w:tblLayout w:type="fixed"/>
        <w:tblCellMar>
          <w:top w:w="28" w:type="dxa"/>
          <w:left w:w="28" w:type="dxa"/>
          <w:bottom w:w="28" w:type="dxa"/>
          <w:right w:w="28" w:type="dxa"/>
        </w:tblCellMar>
      </w:tblPr>
      <w:tblGrid>
        <w:gridCol w:w="197"/>
        <w:gridCol w:w="173"/>
        <w:gridCol w:w="173"/>
        <w:gridCol w:w="2831"/>
        <w:gridCol w:w="2829"/>
        <w:gridCol w:w="4002"/>
      </w:tblGrid>
      <w:tr>
        <w:trPr/>
        <w:tc>
          <w:tcPr>
            <w:tcW w:w="1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831" w:type="dxa"/>
            <w:tcBorders/>
            <w:vAlign w:val="center"/>
          </w:tcPr>
          <w:p>
            <w:pPr>
              <w:pStyle w:val="TableContents"/>
              <w:bidi w:val="0"/>
              <w:spacing w:before="0" w:after="283"/>
              <w:jc w:val="left"/>
              <w:rPr>
                <w:sz w:val="4"/>
                <w:szCs w:val="4"/>
              </w:rPr>
            </w:pPr>
            <w:r>
              <w:rPr>
                <w:sz w:val="4"/>
                <w:szCs w:val="4"/>
              </w:rPr>
            </w:r>
          </w:p>
        </w:tc>
        <w:tc>
          <w:tcPr>
            <w:tcW w:w="2829" w:type="dxa"/>
            <w:tcBorders/>
            <w:vAlign w:val="center"/>
          </w:tcPr>
          <w:p>
            <w:pPr>
              <w:pStyle w:val="TableContents"/>
              <w:bidi w:val="0"/>
              <w:spacing w:before="0" w:after="283"/>
              <w:jc w:val="left"/>
              <w:rPr>
                <w:sz w:val="4"/>
                <w:szCs w:val="4"/>
              </w:rPr>
            </w:pPr>
            <w:r>
              <w:rPr>
                <w:sz w:val="4"/>
                <w:szCs w:val="4"/>
              </w:rPr>
            </w:r>
          </w:p>
        </w:tc>
        <w:tc>
          <w:tcPr>
            <w:tcW w:w="4002"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(Mark One)</w:t>
            </w:r>
          </w:p>
        </w:tc>
      </w:tr>
      <w:tr>
        <w:trPr/>
        <w:tc>
          <w:tcPr>
            <w:tcW w:w="543" w:type="dxa"/>
            <w:gridSpan w:val="3"/>
            <w:tcBorders/>
            <w:tcMar>
              <w:top w:w="0" w:type="dxa"/>
              <w:left w:w="0" w:type="dxa"/>
              <w:bottom w:w="0" w:type="dxa"/>
              <w:right w:w="0" w:type="dxa"/>
            </w:tcMar>
            <w:vAlign w:val="center"/>
          </w:tcPr>
          <w:p>
            <w:pPr>
              <w:pStyle w:val="TableContents"/>
              <w:bidi w:val="0"/>
              <w:spacing w:lineRule="auto" w:line="288" w:before="0" w:after="180"/>
              <w:jc w:val="center"/>
              <w:rPr>
                <w:color w:val="000000"/>
              </w:rPr>
            </w:pPr>
            <w:r>
              <w:rPr>
                <w:color w:val="000000"/>
              </w:rPr>
              <w:t>☒</w:t>
            </w:r>
          </w:p>
        </w:tc>
        <w:tc>
          <w:tcPr>
            <w:tcW w:w="9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ANNUAL REPORT PURSUANT TO SECTION 13 OR 15(d) OF THE SECURITIES EXCHANGE ACT OF 1934</w:t>
            </w:r>
          </w:p>
        </w:tc>
      </w:tr>
      <w:tr>
        <w:trPr/>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fiscal year ended December 31, 2025</w:t>
            </w:r>
          </w:p>
        </w:tc>
      </w:tr>
      <w:tr>
        <w:trPr/>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w:t>
            </w:r>
          </w:p>
        </w:tc>
      </w:tr>
      <w:tr>
        <w:trPr/>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r>
        <w:trPr/>
        <w:tc>
          <w:tcPr>
            <w:tcW w:w="54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For the transition period from to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001-40440</w:t>
            </w:r>
          </w:p>
          <w:p>
            <w:pPr>
              <w:pStyle w:val="TableContents"/>
              <w:bidi w:val="0"/>
              <w:spacing w:before="0" w:after="0"/>
              <w:jc w:val="center"/>
              <w:rPr/>
            </w:pPr>
            <w:r>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Senti Biosciences Holdings,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tbl>
      <w:tblPr>
        <w:tblW w:w="4511" w:type="dxa"/>
        <w:jc w:val="center"/>
        <w:tblInd w:w="0" w:type="dxa"/>
        <w:tblLayout w:type="fixed"/>
        <w:tblCellMar>
          <w:top w:w="28" w:type="dxa"/>
          <w:left w:w="28" w:type="dxa"/>
          <w:bottom w:w="28" w:type="dxa"/>
          <w:right w:w="28" w:type="dxa"/>
        </w:tblCellMar>
      </w:tblPr>
      <w:tblGrid>
        <w:gridCol w:w="859"/>
        <w:gridCol w:w="753"/>
        <w:gridCol w:w="758"/>
        <w:gridCol w:w="109"/>
        <w:gridCol w:w="109"/>
        <w:gridCol w:w="109"/>
        <w:gridCol w:w="528"/>
        <w:gridCol w:w="528"/>
        <w:gridCol w:w="758"/>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42-1912154</w:t>
            </w:r>
          </w:p>
        </w:tc>
      </w:tr>
      <w:tr>
        <w:trPr/>
        <w:tc>
          <w:tcPr>
            <w:tcW w:w="23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Identification Number)</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2 Corporate Drive, First Floor</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South San Francisco, CA 94080</w: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and zip code)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(650) 239-2030</w: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538" w:type="dxa"/>
        <w:jc w:val="center"/>
        <w:tblInd w:w="0" w:type="dxa"/>
        <w:tblLayout w:type="fixed"/>
        <w:tblCellMar>
          <w:top w:w="28" w:type="dxa"/>
          <w:left w:w="28" w:type="dxa"/>
          <w:bottom w:w="28" w:type="dxa"/>
          <w:right w:w="28" w:type="dxa"/>
        </w:tblCellMar>
      </w:tblPr>
      <w:tblGrid>
        <w:gridCol w:w="1329"/>
        <w:gridCol w:w="1165"/>
        <w:gridCol w:w="1181"/>
        <w:gridCol w:w="109"/>
        <w:gridCol w:w="109"/>
        <w:gridCol w:w="109"/>
        <w:gridCol w:w="274"/>
        <w:gridCol w:w="274"/>
        <w:gridCol w:w="276"/>
        <w:gridCol w:w="109"/>
        <w:gridCol w:w="109"/>
        <w:gridCol w:w="109"/>
        <w:gridCol w:w="698"/>
        <w:gridCol w:w="698"/>
        <w:gridCol w:w="989"/>
      </w:tblGrid>
      <w:tr>
        <w:trPr/>
        <w:tc>
          <w:tcPr>
            <w:tcW w:w="132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w:t>
              <w:br/>
              <w:t>on which registered</w:t>
            </w:r>
          </w:p>
        </w:tc>
      </w:tr>
      <w:tr>
        <w:trPr/>
        <w:tc>
          <w:tcPr>
            <w:tcW w:w="3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SNTI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Capital Market</w:t>
            </w:r>
          </w:p>
        </w:tc>
      </w:tr>
    </w:tbl>
    <w:p>
      <w:pPr>
        <w:pStyle w:val="TextBody"/>
        <w:bidi w:val="0"/>
        <w:spacing w:lineRule="auto" w:line="288" w:before="60" w:after="60"/>
        <w:jc w:val="left"/>
        <w:rPr/>
      </w:pPr>
      <w:r>
        <w:rPr>
          <w:rFonts w:ascii="Times New Roman;serif" w:hAnsi="Times New Roman;serif"/>
          <w:b w:val="false"/>
          <w:color w:val="000000"/>
          <w:sz w:val="16"/>
        </w:rPr>
        <w:t xml:space="preserve">Securities registered pursuant to 12(g) of the Act: </w:t>
      </w:r>
      <w:r>
        <w:rPr>
          <w:rFonts w:ascii="Times New Roman;serif" w:hAnsi="Times New Roman;serif"/>
          <w:b/>
          <w:color w:val="000000"/>
          <w:sz w:val="16"/>
        </w:rPr>
        <w:t>None</w:t>
      </w:r>
    </w:p>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Indicate by check mark if the registrant is a well-known seasoned issuer, as defined in Rule 405 of the Securities Act. Yes ☐ No ☒</w:t>
      </w:r>
    </w:p>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Indicate by check mark if the registrant is not required to file reports pursuant to Section 13 or Section 15(d) of the Act. Yes ☐ No ☒</w:t>
      </w:r>
    </w:p>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(Section 232.405 of this chapter) during the preceding 12 months (or such shorter period that the registrant was required to submit such files). Yes ☒ No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389"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r>
    </w:tbl>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p>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 </w:t>
      </w:r>
    </w:p>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in Rule 12b-2 of the Exchange Act). Yes ☐ No ☒</w:t>
      </w:r>
    </w:p>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As of June 30, 2025, the last business day of the registrant’s most recently completed second fiscal quarter, the aggregate market value of common stock held by non-affiliates of the registrant was approximately $53.2 million (based on the closing price of the registrant’s common stock as reported on The Nasdaq Global Select Market on that date).</w:t>
      </w:r>
    </w:p>
    <w:p>
      <w:pPr>
        <w:pStyle w:val="TextBody"/>
        <w:bidi w:val="0"/>
        <w:spacing w:lineRule="auto" w:line="288" w:before="0" w:after="300"/>
        <w:jc w:val="left"/>
        <w:rPr>
          <w:rFonts w:ascii="Times New Roman;serif" w:hAnsi="Times New Roman;serif"/>
          <w:b w:val="false"/>
          <w:color w:val="000000"/>
          <w:sz w:val="16"/>
        </w:rPr>
      </w:pPr>
      <w:r>
        <w:rPr>
          <w:rFonts w:ascii="Times New Roman;serif" w:hAnsi="Times New Roman;serif"/>
          <w:b w:val="false"/>
          <w:color w:val="000000"/>
          <w:sz w:val="16"/>
        </w:rPr>
        <w:t>As of April 22, 2026 there were 31,144,754 shares of the registrant’s common stock, par value $0.0001 per share, issued and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465455"/>
                <wp:effectExtent l="0" t="0" r="0" b="0"/>
                <wp:wrapNone/>
                <wp:docPr id="2" name="Frame2"/>
                <a:graphic xmlns:a="http://schemas.openxmlformats.org/drawingml/2006/main">
                  <a:graphicData uri="http://schemas.microsoft.com/office/word/2010/wordprocessingShape">
                    <wps:wsp>
                      <wps:cNvSpPr txBox="1"/>
                      <wps:spPr>
                        <a:xfrm>
                          <a:off x="0" y="0"/>
                          <a:ext cx="6480175" cy="46545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18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Amendment No. 1 (“Amendment No. 1”) to the Annual Report on Form 10-K of Senti Biosciences Holdings, Inc., formerly known as Senti Biosciences, Inc. (the “Company,” “we,” “our” or “us”) for the fiscal year ended December 31, 2025 as filed with the Securities and Exchange Commission (the “SEC”) on March 27, 2026 (the “Original Annual Report”), is being filed solely to include in the Original Annual Report the information required by Part III (Items 10, 11, 12, 13 and 14) of Form 10-K. Because the Company has determined that it will not file its definitive proxy statement within 120 days following the last day of its last fiscal year, the Company is providing Items 10, 11, 12, 13, and 14 of Part III of Form 10-K in this Amendment No. 1.</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previously disclosed, on April 24, 2026, Senti Biosciences, Inc., a Delaware corporation (“Former Senti”) implemented a holding company reorganization (the “Reorganization”) pursuant to an Agreement and Plan of Merger (the “Merger Agreement”) dated as of April 24, 2026, among Senti Biosciences, the Company and Senti Biosciences Merger Sub, Inc., a Delaware corporation (“Merger Sub”) and direct, wholly owned subsidiary of Senti Holdings, Inc., a Delaware corporation (“Senti Holdings”) and direct, wholly owned subsidiary of the Company. Pursuant to the terms of the Merger Agreement, Merger Sub merged with and into Former Senti, with Former Senti continuing as the surviving corporation and a wholly owned subsidiary of Senti Holdings, which is a wholly owned subsidiary of the Company (the “Merger”). Following the Merger, the Company became the successor registrant to Former Senti.</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Amendment No. 1 amends and restates in their entirety Items 10 through 14 of the Original Annual Report. As required by Rule 12b-15 under the Securities and Exchange Act of 1934, as amended, new certificates of our Chief Executive Officer and Chief Financial Officer are being filed as exhibits to this Amendment No. 1. Accordingly, Item 15(a)(3) of Part IV is amended to include the currently dated certifications as exhibits. Because no financial statements have been included in this Amendment No. 1 and this Amendment No. 1 does not contain or amend any disclosure with respect to Items 307 and 308 of Regulation S-K, paragraphs 4 and 5 of the certifications have been omitted. In addition, because no financial statements are included in this Amendment No. 1, new certifications of our Chief Executive Officer and Chief Financial Officer pursuant to Section 906 of the Sarbanes-Oxley Act of 2002 are not required to be included with Amendment No. 1.</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Except as otherwise expressly noted herein, this Amendment No. 1 does not amend any other information set forth in the Original Annual Report, and we have not updated disclosures contained therein to reflect any events that occurred at a date subsequent to the date of the filing of the Original Annual Report. Accordingly, this Amendment No. 1 should be read in conjunction with the Original Annual Report and our other filings with the SEC. Certain capitalized terms used and not otherwise defined in this Amendment No. 1 have the meanings given to them in the Original Annual Report.</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65455"/>
                <wp:effectExtent l="0" t="0" r="0" b="0"/>
                <wp:wrapNone/>
                <wp:docPr id="3" name="Frame3"/>
                <a:graphic xmlns:a="http://schemas.openxmlformats.org/drawingml/2006/main">
                  <a:graphicData uri="http://schemas.microsoft.com/office/word/2010/wordprocessingShape">
                    <wps:wsp>
                      <wps:cNvSpPr txBox="1"/>
                      <wps:spPr>
                        <a:xfrm>
                          <a:off x="0" y="0"/>
                          <a:ext cx="6480175" cy="46545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18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SENTI BIOSCIENCES,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593"/>
        <w:gridCol w:w="523"/>
        <w:gridCol w:w="523"/>
        <w:gridCol w:w="2672"/>
        <w:gridCol w:w="2656"/>
        <w:gridCol w:w="2664"/>
        <w:gridCol w:w="167"/>
        <w:gridCol w:w="167"/>
        <w:gridCol w:w="240"/>
      </w:tblGrid>
      <w:tr>
        <w:trPr/>
        <w:tc>
          <w:tcPr>
            <w:tcW w:w="59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4e45f5eecf04a289de970267f3a1cd1_13">
              <w:r>
                <w:rPr>
                  <w:rStyle w:val="InternetLink"/>
                  <w:rFonts w:ascii="Times New Roman;serif" w:hAnsi="Times New Roman;serif"/>
                  <w:b w:val="false"/>
                  <w:color w:val="0000FF"/>
                  <w:sz w:val="20"/>
                  <w:u w:val="single"/>
                </w:rPr>
                <w:t>FORWARD LOOKING STATEMENTS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4e45f5eecf04a289de970267f3a1cd1_13">
              <w:r>
                <w:rPr>
                  <w:rStyle w:val="InternetLink"/>
                  <w:rFonts w:ascii="Times New Roman;serif" w:hAnsi="Times New Roman;serif"/>
                  <w:b w:val="false"/>
                  <w:color w:val="0000FF"/>
                  <w:sz w:val="20"/>
                  <w:u w:val="single"/>
                </w:rPr>
                <w:t>3</w:t>
              </w:r>
            </w:hyperlink>
          </w:p>
        </w:tc>
      </w:tr>
      <w:tr>
        <w:trPr/>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FF"/>
                <w:sz w:val="20"/>
                <w:u w:val="single"/>
              </w:rPr>
            </w:pPr>
            <w:r>
              <w:rPr>
                <w:rFonts w:ascii="Times New Roman;serif" w:hAnsi="Times New Roman;serif"/>
                <w:b/>
                <w:color w:val="0000FF"/>
                <w:sz w:val="20"/>
                <w:u w:val="single"/>
              </w:rPr>
              <w:t>PART III</w:t>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10.</w:t>
            </w:r>
          </w:p>
        </w:tc>
        <w:tc>
          <w:tcPr>
            <w:tcW w:w="7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e45f5eecf04a289de970267f3a1cd1_19">
              <w:r>
                <w:rPr>
                  <w:rStyle w:val="InternetLink"/>
                  <w:rFonts w:ascii="Times New Roman;serif" w:hAnsi="Times New Roman;serif"/>
                  <w:b w:val="false"/>
                  <w:color w:val="0000FF"/>
                  <w:sz w:val="20"/>
                  <w:u w:val="single"/>
                </w:rPr>
                <w:t>Directors, Executive Officers and Corporate Governance</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4e45f5eecf04a289de970267f3a1cd1_19">
              <w:r>
                <w:rPr>
                  <w:rStyle w:val="InternetLink"/>
                  <w:rFonts w:ascii="Times New Roman;serif" w:hAnsi="Times New Roman;serif"/>
                  <w:b w:val="false"/>
                  <w:color w:val="0000FF"/>
                  <w:sz w:val="20"/>
                  <w:u w:val="single"/>
                </w:rPr>
                <w:t>4</w:t>
              </w:r>
            </w:hyperlink>
          </w:p>
        </w:tc>
      </w:tr>
      <w:tr>
        <w:trPr/>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11.</w:t>
            </w:r>
          </w:p>
        </w:tc>
        <w:tc>
          <w:tcPr>
            <w:tcW w:w="7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e45f5eecf04a289de970267f3a1cd1_22">
              <w:r>
                <w:rPr>
                  <w:rStyle w:val="InternetLink"/>
                  <w:rFonts w:ascii="Times New Roman;serif" w:hAnsi="Times New Roman;serif"/>
                  <w:b w:val="false"/>
                  <w:color w:val="0000FF"/>
                  <w:sz w:val="20"/>
                  <w:u w:val="single"/>
                </w:rPr>
                <w:t>Executive Compensation</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4e45f5eecf04a289de970267f3a1cd1_22">
              <w:r>
                <w:rPr>
                  <w:rStyle w:val="InternetLink"/>
                  <w:rFonts w:ascii="Times New Roman;serif" w:hAnsi="Times New Roman;serif"/>
                  <w:b w:val="false"/>
                  <w:color w:val="0000FF"/>
                  <w:sz w:val="20"/>
                  <w:u w:val="single"/>
                </w:rPr>
                <w:t>13</w:t>
              </w:r>
            </w:hyperlink>
          </w:p>
        </w:tc>
      </w:tr>
      <w:tr>
        <w:trPr/>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12.</w:t>
            </w:r>
          </w:p>
        </w:tc>
        <w:tc>
          <w:tcPr>
            <w:tcW w:w="7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e45f5eecf04a289de970267f3a1cd1_25">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4e45f5eecf04a289de970267f3a1cd1_25">
              <w:r>
                <w:rPr>
                  <w:rStyle w:val="InternetLink"/>
                  <w:rFonts w:ascii="Times New Roman;serif" w:hAnsi="Times New Roman;serif"/>
                  <w:b w:val="false"/>
                  <w:color w:val="0000FF"/>
                  <w:sz w:val="20"/>
                  <w:u w:val="single"/>
                </w:rPr>
                <w:t>25</w:t>
              </w:r>
            </w:hyperlink>
          </w:p>
        </w:tc>
      </w:tr>
      <w:tr>
        <w:trPr/>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13.</w:t>
            </w:r>
          </w:p>
        </w:tc>
        <w:tc>
          <w:tcPr>
            <w:tcW w:w="7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e45f5eecf04a289de970267f3a1cd1_28">
              <w:r>
                <w:rPr>
                  <w:rStyle w:val="InternetLink"/>
                  <w:rFonts w:ascii="Times New Roman;serif" w:hAnsi="Times New Roman;serif"/>
                  <w:b w:val="false"/>
                  <w:color w:val="0000FF"/>
                  <w:sz w:val="20"/>
                  <w:u w:val="single"/>
                </w:rPr>
                <w:t>Certain Relationships and Related Transactions, and Director Independence</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4e45f5eecf04a289de970267f3a1cd1_28">
              <w:r>
                <w:rPr>
                  <w:rStyle w:val="InternetLink"/>
                  <w:rFonts w:ascii="Times New Roman;serif" w:hAnsi="Times New Roman;serif"/>
                  <w:b w:val="false"/>
                  <w:color w:val="0000FF"/>
                  <w:sz w:val="20"/>
                  <w:u w:val="single"/>
                </w:rPr>
                <w:t>30</w:t>
              </w:r>
            </w:hyperlink>
          </w:p>
        </w:tc>
      </w:tr>
      <w:tr>
        <w:trPr/>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14. </w:t>
            </w:r>
          </w:p>
        </w:tc>
        <w:tc>
          <w:tcPr>
            <w:tcW w:w="7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e45f5eecf04a289de970267f3a1cd1_31">
              <w:r>
                <w:rPr>
                  <w:rStyle w:val="InternetLink"/>
                  <w:rFonts w:ascii="Times New Roman;serif" w:hAnsi="Times New Roman;serif"/>
                  <w:b w:val="false"/>
                  <w:color w:val="0000FF"/>
                  <w:sz w:val="20"/>
                  <w:u w:val="single"/>
                </w:rPr>
                <w:t>Principal Accountant Fees and Services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4e45f5eecf04a289de970267f3a1cd1_31">
              <w:r>
                <w:rPr>
                  <w:rStyle w:val="InternetLink"/>
                  <w:rFonts w:ascii="Times New Roman;serif" w:hAnsi="Times New Roman;serif"/>
                  <w:b w:val="false"/>
                  <w:color w:val="0000FF"/>
                  <w:sz w:val="20"/>
                  <w:u w:val="single"/>
                </w:rPr>
                <w:t>34</w:t>
              </w:r>
            </w:hyperlink>
          </w:p>
        </w:tc>
      </w:tr>
      <w:tr>
        <w:trPr/>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4e45f5eecf04a289de970267f3a1cd1_34">
              <w:r>
                <w:rPr>
                  <w:rStyle w:val="InternetLink"/>
                  <w:rFonts w:ascii="Times New Roman;serif" w:hAnsi="Times New Roman;serif"/>
                  <w:b/>
                  <w:color w:val="0000FF"/>
                  <w:sz w:val="20"/>
                  <w:u w:val="single"/>
                </w:rPr>
                <w:t>PART IV</w:t>
              </w:r>
            </w:hyperlink>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15.</w:t>
            </w:r>
          </w:p>
        </w:tc>
        <w:tc>
          <w:tcPr>
            <w:tcW w:w="7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e45f5eecf04a289de970267f3a1cd1_37">
              <w:r>
                <w:rPr>
                  <w:rStyle w:val="InternetLink"/>
                  <w:rFonts w:ascii="Times New Roman;serif" w:hAnsi="Times New Roman;serif"/>
                  <w:b w:val="false"/>
                  <w:color w:val="0000FF"/>
                  <w:sz w:val="20"/>
                  <w:u w:val="single"/>
                </w:rPr>
                <w:t>Exhibits, Financial Statement Schedules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4e45f5eecf04a289de970267f3a1cd1_37">
              <w:r>
                <w:rPr>
                  <w:rStyle w:val="InternetLink"/>
                  <w:rFonts w:ascii="Times New Roman;serif" w:hAnsi="Times New Roman;serif"/>
                  <w:b w:val="false"/>
                  <w:color w:val="0000FF"/>
                  <w:sz w:val="20"/>
                  <w:u w:val="single"/>
                </w:rPr>
                <w:t>35</w:t>
              </w:r>
            </w:hyperlink>
          </w:p>
        </w:tc>
      </w:tr>
      <w:tr>
        <w:trPr/>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4e45f5eecf04a289de970267f3a1cd1_40">
              <w:r>
                <w:rPr>
                  <w:rStyle w:val="InternetLink"/>
                  <w:rFonts w:ascii="Times New Roman;serif" w:hAnsi="Times New Roman;serif"/>
                  <w:b/>
                  <w:color w:val="0000FF"/>
                  <w:sz w:val="20"/>
                  <w:u w:val="single"/>
                </w:rPr>
                <w:t>SIGNATURES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4e45f5eecf04a289de970267f3a1cd1_40">
              <w:r>
                <w:rPr>
                  <w:rStyle w:val="InternetLink"/>
                  <w:rFonts w:ascii="Times New Roman;serif" w:hAnsi="Times New Roman;serif"/>
                  <w:b w:val="false"/>
                  <w:color w:val="0000FF"/>
                  <w:sz w:val="20"/>
                  <w:u w:val="single"/>
                </w:rPr>
                <w:t>41</w:t>
              </w:r>
            </w:hyperlink>
          </w:p>
        </w:tc>
      </w:tr>
      <w:tr>
        <w:trPr/>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80"/>
        <w:jc w:val="left"/>
        <w:rPr/>
      </w:pPr>
      <w:hyperlink w:anchor="i04e45f5eecf04a289de970267f3a1cd1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FORWARD LOOKING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Form 10-K/A and some of the information incorporated by reference, includes forward-looking statements regarding, among other things, the plans, strategies, and prospects, both business and financial, of Senti Biosciences Holdings, Inc. (“we,” “us,” “our,” “Senti” or the “Company”). These statements are based on the beliefs and assumptions of the management of Senti. Although Senti believes that their respective plans, intentions, and expectations reflected in or suggested by these forward-looking statements are reasonable, it cannot assure you that it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results of operations, and any statements that refer to projections, forecasts, or other characterizations of future events or circumstances, including any underlying assumptions, are forward-looking statements. These statements may be preceded by, followed by or include the words “believes”, “estimates”, “expects”, “projects”, “forecasts”, “may”, “might”, “will”, “should”, “seeks”, “plans”, “scheduled”, “possible”, “anticipates”, “intends”, “aims”, “works”, “focuses”, “aspires”, “strives” or “sets out” or similar expressions. Forward-looking statements are not guarantees of performance. You should not put undue reliance on these statements which speak only as of the date hereof.</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You are cautioned not to place undue reliance on these forward-looking statements, which speak only as of the date of this Amendment No. 1 on Form 10-K/A. All forward-looking statements included herein are expressly qualified in their entirety by the cautionary statements contained or referred to in this section. Except to the extent required by applicable laws and regulations, we undertake no obligation to update these forward-looking statements to reflect events or circumstances after the date of this Amendment No. 1 on Form 10-K/A or to reflect the occurrence of unanticipated events.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There may be events in the future that we are not able to predict accurately or over which it has no control. The cautionary language discussed in this report provides risks, uncertainties and events that may cause actual results to differ materially from the expectations described in such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180"/>
        <w:jc w:val="left"/>
        <w:rPr/>
      </w:pPr>
      <w:hyperlink w:anchor="i04e45f5eecf04a289de970267f3a1cd1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Directors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directors are elected to serve until the next annual meeting of stockholders at which the term of each director’s respective class expires and until his or her successor shall have been duly elected and qualified. The following table sets forth the name and age of each director as of April 29, 2026, indicating all positions and offices with us currently held by the director.</w:t>
      </w:r>
    </w:p>
    <w:tbl>
      <w:tblPr>
        <w:tblW w:w="10205" w:type="dxa"/>
        <w:jc w:val="left"/>
        <w:tblInd w:w="0" w:type="dxa"/>
        <w:tblLayout w:type="fixed"/>
        <w:tblCellMar>
          <w:top w:w="28" w:type="dxa"/>
          <w:left w:w="28" w:type="dxa"/>
          <w:bottom w:w="28" w:type="dxa"/>
          <w:right w:w="28" w:type="dxa"/>
        </w:tblCellMar>
      </w:tblPr>
      <w:tblGrid>
        <w:gridCol w:w="828"/>
        <w:gridCol w:w="621"/>
        <w:gridCol w:w="628"/>
        <w:gridCol w:w="109"/>
        <w:gridCol w:w="109"/>
        <w:gridCol w:w="109"/>
        <w:gridCol w:w="1006"/>
        <w:gridCol w:w="1001"/>
        <w:gridCol w:w="1005"/>
        <w:gridCol w:w="109"/>
        <w:gridCol w:w="109"/>
        <w:gridCol w:w="109"/>
        <w:gridCol w:w="334"/>
        <w:gridCol w:w="334"/>
        <w:gridCol w:w="336"/>
        <w:gridCol w:w="109"/>
        <w:gridCol w:w="109"/>
        <w:gridCol w:w="109"/>
        <w:gridCol w:w="786"/>
        <w:gridCol w:w="786"/>
        <w:gridCol w:w="790"/>
        <w:gridCol w:w="109"/>
        <w:gridCol w:w="109"/>
        <w:gridCol w:w="109"/>
        <w:gridCol w:w="127"/>
        <w:gridCol w:w="127"/>
        <w:gridCol w:w="188"/>
      </w:tblGrid>
      <w:tr>
        <w:trPr/>
        <w:tc>
          <w:tcPr>
            <w:tcW w:w="828"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07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Positions and Offices Held with Senti Biosciences,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Director Since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Class and Year in Which Term Will Expire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Age</w:t>
            </w:r>
          </w:p>
        </w:tc>
      </w:tr>
      <w:tr>
        <w:trPr/>
        <w:tc>
          <w:tcPr>
            <w:tcW w:w="20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Timothy Lu, M.D.,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 &amp; 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Class I-2026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r>
      <w:tr>
        <w:trPr/>
        <w:tc>
          <w:tcPr>
            <w:tcW w:w="207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 xml:space="preserve">Edward Mathers </w:t>
            </w:r>
            <w:r>
              <w:rPr>
                <w:rFonts w:ascii="Times New Roman;serif" w:hAnsi="Times New Roman;serif"/>
                <w:b w:val="false"/>
                <w:color w:val="000000"/>
                <w:sz w:val="13"/>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Class I-2026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66</w:t>
            </w:r>
          </w:p>
        </w:tc>
      </w:tr>
      <w:tr>
        <w:trPr/>
        <w:tc>
          <w:tcPr>
            <w:tcW w:w="207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 xml:space="preserve">Frances D. Schulz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Class I-2026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63</w:t>
            </w:r>
          </w:p>
        </w:tc>
      </w:tr>
      <w:tr>
        <w:trPr/>
        <w:tc>
          <w:tcPr>
            <w:tcW w:w="207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Donald Tang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Class II-2027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r>
      <w:tr>
        <w:trPr/>
        <w:tc>
          <w:tcPr>
            <w:tcW w:w="207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 xml:space="preserve">Brenda Cooperstone, M.D.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Class III-2028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61</w:t>
            </w:r>
          </w:p>
        </w:tc>
      </w:tr>
      <w:tr>
        <w:trPr/>
        <w:tc>
          <w:tcPr>
            <w:tcW w:w="207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James (Jim) Collins, Ph.D.</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Class III-2028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r>
      <w:tr>
        <w:trPr/>
        <w:tc>
          <w:tcPr>
            <w:tcW w:w="207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 xml:space="preserve">Feng Hsiung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Class III-2028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r>
      <w:tr>
        <w:trPr/>
        <w:tc>
          <w:tcPr>
            <w:tcW w:w="207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 xml:space="preserve">Bryan Baum </w:t>
            </w:r>
            <w:r>
              <w:rPr>
                <w:rFonts w:ascii="Times New Roman;serif" w:hAnsi="Times New Roman;serif"/>
                <w:b w:val="false"/>
                <w:color w:val="000000"/>
                <w:sz w:val="13"/>
              </w:rPr>
              <w:t>(1)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Class II-2027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37</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_______</w:t>
      </w:r>
    </w:p>
    <w:tbl>
      <w:tblPr>
        <w:tblW w:w="5460" w:type="dxa"/>
        <w:jc w:val="left"/>
        <w:tblInd w:w="0" w:type="dxa"/>
        <w:tblLayout w:type="fixed"/>
        <w:tblCellMar>
          <w:top w:w="28" w:type="dxa"/>
          <w:left w:w="28" w:type="dxa"/>
          <w:bottom w:w="28" w:type="dxa"/>
          <w:right w:w="28" w:type="dxa"/>
        </w:tblCellMar>
      </w:tblPr>
      <w:tblGrid>
        <w:gridCol w:w="125"/>
        <w:gridCol w:w="110"/>
        <w:gridCol w:w="110"/>
        <w:gridCol w:w="1498"/>
        <w:gridCol w:w="1498"/>
        <w:gridCol w:w="2119"/>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511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Member of Audit Committee.</w:t>
            </w:r>
          </w:p>
        </w:tc>
      </w:tr>
      <w:tr>
        <w:trPr/>
        <w:tc>
          <w:tcPr>
            <w:tcW w:w="34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511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Member of compensation committee.</w:t>
            </w:r>
          </w:p>
        </w:tc>
      </w:tr>
      <w:tr>
        <w:trPr/>
        <w:tc>
          <w:tcPr>
            <w:tcW w:w="34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511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Member of nominating and corporate governance committee.</w:t>
            </w:r>
          </w:p>
        </w:tc>
      </w:tr>
    </w:tbl>
    <w:p>
      <w:pPr>
        <w:pStyle w:val="TextBody"/>
        <w:bidi w:val="0"/>
        <w:spacing w:lineRule="auto" w:line="288" w:before="0" w:after="180"/>
        <w:jc w:val="left"/>
        <w:rPr/>
      </w:pPr>
      <w:r>
        <w:rPr>
          <w:rFonts w:ascii="Times New Roman;serif" w:hAnsi="Times New Roman;serif"/>
          <w:b/>
          <w:i/>
          <w:color w:val="000000"/>
          <w:sz w:val="20"/>
        </w:rPr>
        <w:t>Timothy Lu, M.D., Ph.D. </w:t>
      </w:r>
      <w:r>
        <w:rPr>
          <w:rFonts w:ascii="Times New Roman;serif" w:hAnsi="Times New Roman;serif"/>
          <w:b w:val="false"/>
          <w:color w:val="000000"/>
          <w:sz w:val="20"/>
        </w:rPr>
        <w:t>has served as a member of our Board of Directors since June 2016, our Chief Executive Officer since July 2016, and our President since February 2018, and is one of our co-founders. In June 2010, Dr. Lu joined Massachusetts Institute of Technology faculty at the Department of Electrical Engineering and Computer Science and in 2012, he obtained a joint appointment at the Department of Biological Engineering. He currently serves on the Board of Directors of the Alliance for Regenerative Medicine. Dr. Lu has been a co-founder and/or a Scientific Advisory Board, or SAB, member to a number of biotechnology and biopharmaceutical companies, including BiomX Inc. and Tango Therapeutics, Inc. Dr. Lu received his undergraduate and Masters in Engineering degrees from MIT in Electrical Engineering and Computer Science. Thereafter, Dr. Lu earned his M.D. from Harvard Medical School and his Ph.D. in Electrical and Biomedical Engineering from Massachusetts Institute of Technology as part of the Harvard-MIT Health Sciences and Technology Medical Engineering and Medical Physics Program. We believe Dr. Lu is qualified to serve on our Board of Directors due to his extensive experience in the field of synthetic biology, as well as the perspective and experience he brings as our Chief Executive Officer.</w:t>
      </w:r>
    </w:p>
    <w:p>
      <w:pPr>
        <w:pStyle w:val="TextBody"/>
        <w:bidi w:val="0"/>
        <w:spacing w:lineRule="auto" w:line="288" w:before="0" w:after="180"/>
        <w:jc w:val="left"/>
        <w:rPr/>
      </w:pPr>
      <w:r>
        <w:rPr>
          <w:rFonts w:ascii="Times New Roman;serif" w:hAnsi="Times New Roman;serif"/>
          <w:b/>
          <w:i/>
          <w:color w:val="000000"/>
          <w:sz w:val="20"/>
        </w:rPr>
        <w:t>Edward Mathers</w:t>
      </w:r>
      <w:r>
        <w:rPr>
          <w:color w:val="000000"/>
        </w:rPr>
        <w:t> </w:t>
      </w:r>
      <w:r>
        <w:rPr>
          <w:rFonts w:ascii="Times New Roman;serif" w:hAnsi="Times New Roman;serif"/>
          <w:b w:val="false"/>
          <w:color w:val="000000"/>
          <w:sz w:val="20"/>
        </w:rPr>
        <w:t xml:space="preserve">has served as a member of our Board of Directors since July 2016. Mr. Mathers joined New Enterprise Associates, Inc., or NEA, a private venture capital firm focusing on technology and healthcare investments, in August 2008 and is currently a Partner. Prior to joining NEA, Mr. Mathers served as Executive Vice President, Corporate Development and Venture at MedImmune, Inc., a biopharmaceutical company, and led its venture capital subsidiary, MedImmune Ventures, Inc. from June 2002 to June 2008. Mr. Mathers currently serves on the Board of Directors of number of biopharmaceutical and pharmaceutical companies, including Inozyme Pharma, Inc. since January 2017, MX Biosciences, Inc. since July 2020, OnKure Therapeutics, Inc., formerly known as Reneo Pharmaceuticals, Inc., since December 2017, Rhythm Pharmaceuticals, Inc. since March 2010, Synlogic, Inc.,formerly known as Mirna Therapeutics, Inc., since October 2012 and Trevi Therapeutics, Inc. since July 2017, and he previously served on the Board of Directors of Akouos, Inc., a public biotechnology company, from October 2017 to December 2022 when it was acquired by Eli Lilly and Company, Mirum Pharmaceuticals, Inc., a public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180"/>
        <w:jc w:val="left"/>
        <w:rPr/>
      </w:pPr>
      <w:hyperlink w:anchor="i04e45f5eecf04a289de970267f3a1cd1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biopharmaceutical company, from November 2018 to September 2022, Lumos Pharma, Inc., a public biopharmaceutical company, from January 2014 to March 2020 when it merged with NewLink Genetics Corporation, Liquidia Technologies, Inc., a public biopharmaceutical company, from April 2009 to May 2019, Ra Pharmaceuticals, Inc., a public biopharmaceutical company, from February 2010 to April 2020 when it was acquired by UCB S.A. and ObsEva SA, a public biopharmaceutical company, from November 2015 to June 2023. Mr. Mathers earned his B.S. in chemistry from North Carolina State University. We believe Mr. Mathers’ experience as a venture capitalist, as an executive and in business development and his experience in serving on the Board of Directors for several public and private biopharmaceutical and life sciences companies qualify him to serve on our Board of Directors.</w:t>
      </w:r>
    </w:p>
    <w:p>
      <w:pPr>
        <w:pStyle w:val="TextBody"/>
        <w:bidi w:val="0"/>
        <w:spacing w:lineRule="auto" w:line="288" w:before="0" w:after="180"/>
        <w:jc w:val="left"/>
        <w:rPr/>
      </w:pPr>
      <w:r>
        <w:rPr>
          <w:rFonts w:ascii="Times New Roman;serif" w:hAnsi="Times New Roman;serif"/>
          <w:b/>
          <w:i/>
          <w:color w:val="000000"/>
          <w:sz w:val="20"/>
        </w:rPr>
        <w:t xml:space="preserve">Frances D. Schulz </w:t>
      </w:r>
      <w:r>
        <w:rPr>
          <w:rFonts w:ascii="Times New Roman;serif" w:hAnsi="Times New Roman;serif"/>
          <w:b w:val="false"/>
          <w:color w:val="000000"/>
          <w:sz w:val="20"/>
        </w:rPr>
        <w:t>has served as a member of our Board of Directors since December 2024. Ms. Schulz</w:t>
      </w:r>
      <w:r>
        <w:rPr>
          <w:color w:val="000000"/>
        </w:rPr>
        <w:t xml:space="preserve"> </w:t>
      </w:r>
      <w:r>
        <w:rPr>
          <w:rFonts w:ascii="Times New Roman;serif" w:hAnsi="Times New Roman;serif"/>
          <w:b w:val="false"/>
          <w:color w:val="000000"/>
          <w:sz w:val="20"/>
        </w:rPr>
        <w:t>was one of the founding members and senior partners in Ernst &amp; Young’s, or EY’s, Life Sciences Practice and held various roles at EY from November 1987 until June 2023. Since November 2019, she has served as a Board Member, Audit Committee Chair, ex-officio member of the Finance Committee and member of the Governance and Investment Committee for Menlo College and since July 2024, she has served as a Board Member and Audit Committee Chair for EDAP TMS SA. Previously, she served as a Board Member, Audit Committee Chair and Finance Committee Chair for the National Board of Women in Bio (2013 - 2023) as well as a Board Member and an Audit Committee member for the California Life Sciences Industry Association. Ms. Schulz is a certified public accountant (CPA) licensed in California. Ms. Schulz received her B.S. in Business Administration from Menlo College. We believe Ms. Schulz is qualified to serve on the Board of Directors because of her experience in leadership positions in the biotechnology and life science industry, her finance and accounting expertise, and her educational background.</w:t>
      </w:r>
    </w:p>
    <w:p>
      <w:pPr>
        <w:pStyle w:val="TextBody"/>
        <w:bidi w:val="0"/>
        <w:spacing w:lineRule="auto" w:line="288" w:before="0" w:after="180"/>
        <w:jc w:val="left"/>
        <w:rPr/>
      </w:pPr>
      <w:r>
        <w:rPr>
          <w:rFonts w:ascii="Times New Roman;serif" w:hAnsi="Times New Roman;serif"/>
          <w:b/>
          <w:i/>
          <w:color w:val="000000"/>
          <w:sz w:val="20"/>
        </w:rPr>
        <w:t xml:space="preserve">Donald Tang </w:t>
      </w:r>
      <w:r>
        <w:rPr>
          <w:rFonts w:ascii="Times New Roman;serif" w:hAnsi="Times New Roman;serif"/>
          <w:b w:val="false"/>
          <w:color w:val="000000"/>
          <w:sz w:val="20"/>
        </w:rPr>
        <w:t>has served as a member of our Board of Directors since December 2024. Mr. Tang founded Celadon Partners, a private equity firm that invests in companies well positioned to leverage new innovations in technology or business models and unlock transformative value. Mr. Tang currently has served on the Board of Directors of Vicarious Surgical Inc. since 2021. From 2020 until its business combination in 2021, Mr. Tang was a director of D8 Holding Corp. and from 2004 to 2017, Mr. Tang worked at D.E. Shaw &amp; Co., most recently as chief executive officer of D.E. Shaw &amp; Co. (Asia-Pacific). He was the sole D.E. Shaw &amp; Co. partner on the investment side in Asia, and a founding member of the firm’s Asian private equity business. Mr. Tang started his career at Citadel Investment Group in 2003. He is a member of the Harvard Kennedy School Mossavar-Rahmani Center for Business and Government Advisory Council, Special Advisor (China) to the Milken Institute and a member of the Aspen Global Leadership Network. Mr. Tang graduated from Carnegie Mellon University with a degree in computer science and business administration, and a minor in computational finance. We believe Mr. Tang is qualified to serve on the Board of Directors because of his experience managing public companies and his extensive business, finance and private equity experience.</w:t>
      </w:r>
    </w:p>
    <w:p>
      <w:pPr>
        <w:pStyle w:val="TextBody"/>
        <w:bidi w:val="0"/>
        <w:spacing w:lineRule="auto" w:line="288" w:before="0" w:after="180"/>
        <w:jc w:val="left"/>
        <w:rPr/>
      </w:pPr>
      <w:r>
        <w:rPr>
          <w:rFonts w:ascii="Times New Roman;serif" w:hAnsi="Times New Roman;serif"/>
          <w:b/>
          <w:i/>
          <w:color w:val="000000"/>
          <w:sz w:val="20"/>
        </w:rPr>
        <w:t>Brenda Cooperstone, M.D.</w:t>
      </w:r>
      <w:r>
        <w:rPr>
          <w:color w:val="000000"/>
        </w:rPr>
        <w:t xml:space="preserve"> </w:t>
      </w:r>
      <w:r>
        <w:rPr>
          <w:rFonts w:ascii="Times New Roman;serif" w:hAnsi="Times New Roman;serif"/>
          <w:b w:val="false"/>
          <w:color w:val="000000"/>
          <w:sz w:val="20"/>
        </w:rPr>
        <w:t>has served as a member of our Board of Directors since October 2019. Dr. Cooperstone has held various leadership positions at Pfizer, Inc., a public biopharmaceutical company, including as Senior Vice President from May 2017 to December 2022, Chief Development Officer for Rare Disease in Global Product Development since May 2016 to December 2022, and Head of Development for Rare Disease in Global Product Development from November 2015 to May 2016. Dr. Cooperstone started her career in the pharmaceutical industry at Wyeth Pharmaceuticals Inc. in 1999 and joined Pfizer, Inc., when it acquired Wyeth Pharmaceuticals, Inc., in 2009. Dr. Cooperstone earned her M.D. from McGill University, and completed her residency in pediatrics at the Montreal Children’s Hospital, her clinical fellowship in pediatric nephrology at Children’s Hospital of Philadelphia and a research fellowship at the University of Pennsylvania’s Renal Electrolyte division. We believe Dr. Cooperstone is qualified to serve on our Board of Directors because of her extensive experience in the pharmaceutical industry.</w:t>
      </w:r>
    </w:p>
    <w:p>
      <w:pPr>
        <w:pStyle w:val="TextBody"/>
        <w:bidi w:val="0"/>
        <w:spacing w:lineRule="auto" w:line="288" w:before="0" w:after="180"/>
        <w:jc w:val="left"/>
        <w:rPr/>
      </w:pPr>
      <w:r>
        <w:rPr>
          <w:rFonts w:ascii="Times New Roman;serif" w:hAnsi="Times New Roman;serif"/>
          <w:b/>
          <w:i/>
          <w:color w:val="000000"/>
          <w:sz w:val="20"/>
        </w:rPr>
        <w:t xml:space="preserve">James J. (Jim) Collins, Ph.D. </w:t>
      </w:r>
      <w:r>
        <w:rPr>
          <w:rFonts w:ascii="Times New Roman;serif" w:hAnsi="Times New Roman;serif"/>
          <w:b w:val="false"/>
          <w:color w:val="000000"/>
          <w:sz w:val="20"/>
        </w:rPr>
        <w:t xml:space="preserve">has served as a member of our Board of Directors since June 2022. Dr. Collins has served as the Termeer Professor of Medical Engineering and Science in the Institute for Medical Engineering and Science and the Department of Biological Engineering at MIT since December 2014. Prior to his joining MIT, from October 1990 to November 2014, Dr. Collins served as a professor in biomedical engineering at Boston University. Dr. Collins currently serves as a member of the Board of Directors of Fulcrum Therapeutics, Inc. since January 2017 and the Orion Biotech Opportunities Corp since May 2021. Dr. Collins received a B.S. in Physics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180"/>
        <w:jc w:val="left"/>
        <w:rPr/>
      </w:pPr>
      <w:hyperlink w:anchor="i04e45f5eecf04a289de970267f3a1cd1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from the College of the Holy Cross and a doctorate in Medical Engineering from the University of Oxford. From 1987 to 1990, he was a Rhodes Scholar. We believe Dr. Collins’ extensive industry expertise qualifies him to serve on our Board of Directors.</w:t>
      </w:r>
    </w:p>
    <w:p>
      <w:pPr>
        <w:pStyle w:val="TextBody"/>
        <w:bidi w:val="0"/>
        <w:spacing w:lineRule="auto" w:line="288" w:before="0" w:after="180"/>
        <w:jc w:val="left"/>
        <w:rPr/>
      </w:pPr>
      <w:r>
        <w:rPr>
          <w:rFonts w:ascii="Times New Roman;serif" w:hAnsi="Times New Roman;serif"/>
          <w:b/>
          <w:i/>
          <w:color w:val="000000"/>
          <w:sz w:val="20"/>
        </w:rPr>
        <w:t>Feng Hsiung</w:t>
      </w:r>
      <w:r>
        <w:rPr>
          <w:color w:val="000000"/>
        </w:rPr>
        <w:t xml:space="preserve"> </w:t>
      </w:r>
      <w:r>
        <w:rPr>
          <w:rFonts w:ascii="Times New Roman;serif" w:hAnsi="Times New Roman;serif"/>
          <w:b w:val="false"/>
          <w:color w:val="000000"/>
          <w:sz w:val="20"/>
        </w:rPr>
        <w:t>is the Founder, Chief Investment Officer and Chief Executive Officer of Acion Partners, an investment advisor firm that has a strategic partnership with KKR and invests across industries. From 2007 through 2014, Mr. Hsiung was a Partner and the Chief Executive Officer (Asia) at York Capital. He started its Asia business as the initial employee in 2007, and launched and co-managed the York Asian Opportunities Master Fund. Mr. Hsiung is a member of the Young Presidents’ Organization since 2013 and the President of Raising Investment Corporation, the holding company for his family interests in freight forwarding and contract logistics. Mr. Hsiung holds a B.A. from Dartmouth College. We believe Mr. Hsiung is qualified to serve on the Board because of his extensive business, finance and investment experience.</w:t>
      </w:r>
    </w:p>
    <w:p>
      <w:pPr>
        <w:pStyle w:val="TextBody"/>
        <w:bidi w:val="0"/>
        <w:spacing w:lineRule="auto" w:line="288" w:before="0" w:after="180"/>
        <w:jc w:val="left"/>
        <w:rPr/>
      </w:pPr>
      <w:r>
        <w:rPr>
          <w:rFonts w:ascii="Times New Roman;serif" w:hAnsi="Times New Roman;serif"/>
          <w:b/>
          <w:i/>
          <w:color w:val="000000"/>
          <w:sz w:val="20"/>
        </w:rPr>
        <w:t xml:space="preserve">Bryan Baum </w:t>
      </w:r>
      <w:r>
        <w:rPr>
          <w:rFonts w:ascii="Times New Roman;serif" w:hAnsi="Times New Roman;serif"/>
          <w:b w:val="false"/>
          <w:color w:val="000000"/>
          <w:sz w:val="20"/>
        </w:rPr>
        <w:t>is a serial entrepreneur who has founded and sold multiple companies including Blue Vision Labs, a localization and mapping software company for self-driving cars (sold to Lyft in 2018); Operam, a data analytics and marketing insights company; and Represent.com, an e-commerce platform (sold to CustomInk in 2016). Mr. Baum has been an angel investor for over a decade and has personally made over 200 investments in companies such as Uber, Airbnb, Slack, Flexport, Carta, PillPack, and Sweetgreen. He is currently a Managing Partner of K5 Global, a venture capital firm he co-founded in January 2020. Mr. Baum studied Game Theory at Swarthmore College and Oxford University. The Company believes Mr. Baum is qualified to serve on the Board because of his financial and investment management expertise.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There are no family relationships between or among any of our directors or executive officers. The principal occupation and employment during the past five years of each of our directors was carried on, in each case except as specifically identified above, with a corporation or organization that is not a parent, subsidiary or other affiliate of us. There is no arrangement or understanding between any of our directors and any other person or persons pursuant to which he or she is to be selected as a director.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There are no material legal proceedings to which any of our directors is a party adverse to us or any of our subsidiaries or in which any such person has a material interest adverse to us.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Executive Officers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identifies our executive officers and key employees, and sets forth their current positions at the Company and their ages as of April 29, 2026.</w:t>
      </w:r>
    </w:p>
    <w:tbl>
      <w:tblPr>
        <w:tblW w:w="10205" w:type="dxa"/>
        <w:jc w:val="left"/>
        <w:tblInd w:w="0" w:type="dxa"/>
        <w:tblLayout w:type="fixed"/>
        <w:tblCellMar>
          <w:top w:w="28" w:type="dxa"/>
          <w:left w:w="28" w:type="dxa"/>
          <w:bottom w:w="28" w:type="dxa"/>
          <w:right w:w="28" w:type="dxa"/>
        </w:tblCellMar>
      </w:tblPr>
      <w:tblGrid>
        <w:gridCol w:w="838"/>
        <w:gridCol w:w="709"/>
        <w:gridCol w:w="717"/>
        <w:gridCol w:w="109"/>
        <w:gridCol w:w="109"/>
        <w:gridCol w:w="109"/>
        <w:gridCol w:w="1748"/>
        <w:gridCol w:w="1704"/>
        <w:gridCol w:w="1711"/>
        <w:gridCol w:w="109"/>
        <w:gridCol w:w="109"/>
        <w:gridCol w:w="109"/>
        <w:gridCol w:w="452"/>
        <w:gridCol w:w="452"/>
        <w:gridCol w:w="454"/>
        <w:gridCol w:w="109"/>
        <w:gridCol w:w="109"/>
        <w:gridCol w:w="109"/>
        <w:gridCol w:w="127"/>
        <w:gridCol w:w="127"/>
        <w:gridCol w:w="185"/>
      </w:tblGrid>
      <w:tr>
        <w:trPr/>
        <w:tc>
          <w:tcPr>
            <w:tcW w:w="83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Positions and Offices Held with Senti Biosciences,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Position Held Since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Age</w:t>
            </w:r>
          </w:p>
        </w:tc>
      </w:tr>
      <w:tr>
        <w:trPr/>
        <w:tc>
          <w:tcPr>
            <w:tcW w:w="22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Timothy Lu, M.D.,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Chief Executive Officer, President and 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45</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Jay Cross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55</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Kanya Rajangam, M.D.,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President, Head of Research and Development and Chief Medical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52</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_______</w:t>
      </w:r>
    </w:p>
    <w:p>
      <w:pPr>
        <w:pStyle w:val="TextBody"/>
        <w:bidi w:val="0"/>
        <w:spacing w:lineRule="auto" w:line="288" w:before="0" w:after="180"/>
        <w:jc w:val="left"/>
        <w:rPr/>
      </w:pPr>
      <w:r>
        <w:rPr>
          <w:rFonts w:ascii="Times New Roman;serif" w:hAnsi="Times New Roman;serif"/>
          <w:b w:val="false"/>
          <w:color w:val="000000"/>
          <w:sz w:val="20"/>
        </w:rPr>
        <w:t>Please refer to “</w:t>
      </w:r>
      <w:r>
        <w:rPr>
          <w:rFonts w:ascii="Times New Roman;serif" w:hAnsi="Times New Roman;serif"/>
          <w:b w:val="false"/>
          <w:i/>
          <w:color w:val="000000"/>
          <w:sz w:val="20"/>
        </w:rPr>
        <w:t>Directors</w:t>
      </w:r>
      <w:r>
        <w:rPr>
          <w:color w:val="000000"/>
        </w:rPr>
        <w:t xml:space="preserve">” </w:t>
      </w:r>
      <w:r>
        <w:rPr>
          <w:rFonts w:ascii="Times New Roman;serif" w:hAnsi="Times New Roman;serif"/>
          <w:b w:val="false"/>
          <w:color w:val="000000"/>
          <w:sz w:val="20"/>
        </w:rPr>
        <w:t xml:space="preserve">above for information about our Chief Executive Officer and President, Timothy Lu, M.D., Ph.D. Biographical information for our other executive officers as of March 27, 2026, is set forth below. </w:t>
      </w:r>
    </w:p>
    <w:p>
      <w:pPr>
        <w:pStyle w:val="TextBody"/>
        <w:bidi w:val="0"/>
        <w:spacing w:lineRule="auto" w:line="288" w:before="0" w:after="180"/>
        <w:jc w:val="left"/>
        <w:rPr/>
      </w:pPr>
      <w:r>
        <w:rPr>
          <w:rFonts w:ascii="Times New Roman;serif" w:hAnsi="Times New Roman;serif"/>
          <w:b/>
          <w:i/>
          <w:color w:val="000000"/>
          <w:sz w:val="20"/>
        </w:rPr>
        <w:t>Jay Cross</w:t>
      </w:r>
      <w:r>
        <w:rPr>
          <w:color w:val="000000"/>
        </w:rPr>
        <w:t xml:space="preserve"> </w:t>
      </w:r>
      <w:r>
        <w:rPr>
          <w:rFonts w:ascii="Times New Roman;serif" w:hAnsi="Times New Roman;serif"/>
          <w:b w:val="false"/>
          <w:color w:val="000000"/>
          <w:sz w:val="20"/>
        </w:rPr>
        <w:t xml:space="preserve">has served as our Chief Financial Officer since March 2025. He previously held various roles at Sonnet BioTherapeutics, Inc. (“Sonnet”) from May 2019 through February 2025. He served as Sonnet’s Chief Financial Officer and Chief Business Officer. Prior to that time Mr. Cross was a Managing Director with Chardan Capital’s healthcare investment banking team from November 2015 to March 2019, where he focused on biopharmaceuticals. Prior to that, from May 2014 to June 2015, Mr. Cross served as a Director with Alere Financial Partners and from May 2011 to October 2013 as a Senior Analyst at Balyasny Asset Management. He launched his career in finance in 1999 as an associate analyst covering biotechnology on the healthcare equity research team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180"/>
        <w:jc w:val="left"/>
        <w:rPr/>
      </w:pPr>
      <w:hyperlink w:anchor="i04e45f5eecf04a289de970267f3a1cd1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Hambrecht &amp; Quist. Mr. Cross earned an M.P.H. from the Yale University School of Medicine and a B.S. in psychology from Washington &amp; Lee University.</w:t>
      </w:r>
    </w:p>
    <w:p>
      <w:pPr>
        <w:pStyle w:val="TextBody"/>
        <w:bidi w:val="0"/>
        <w:spacing w:lineRule="auto" w:line="288" w:before="0" w:after="180"/>
        <w:jc w:val="left"/>
        <w:rPr/>
      </w:pPr>
      <w:r>
        <w:rPr>
          <w:rFonts w:ascii="Times New Roman;serif" w:hAnsi="Times New Roman;serif"/>
          <w:b/>
          <w:i/>
          <w:color w:val="000000"/>
          <w:sz w:val="20"/>
        </w:rPr>
        <w:t>Kanya Rajangam, M.D., Ph.D.</w:t>
      </w:r>
      <w:r>
        <w:rPr>
          <w:color w:val="000000"/>
        </w:rPr>
        <w:t xml:space="preserve"> </w:t>
      </w:r>
      <w:r>
        <w:rPr>
          <w:rFonts w:ascii="Times New Roman;serif" w:hAnsi="Times New Roman;serif"/>
          <w:b w:val="false"/>
          <w:color w:val="000000"/>
          <w:sz w:val="20"/>
        </w:rPr>
        <w:t xml:space="preserve">has served as our President since May 2024, as our Head of Research and Development and the Chief Medical Officer since March 2023, and previously as our Chief Medical and Development Officer from July 2022. Since January 2023, Dr. Rajangam has served as a member of the scientific advisory board of Vibe Bio, a privately held company with AI powered pipeline analyses for asset diligence and investment choices. Since November 2021, Dr. Rajangam has served as an independent director at Turnstone Biologics, Inc., a publicly held TIL therapies company. Previously, she served at Nkarta, Inc. as its Chief Medical Officer from September 2019 to June 2022 and as its Senior Vice President and Chief Medical Officer from December 2018 to September 2019. Previously, Dr. Rajangam was Senior Vice President and Chief Medical Officer at Atara Biotherapeutics, Inc. , a publicly held allogeneic T-cell immunotherapy company, from August 2017 to September 2018, Chief Medical Officer at Cleave Biosciences from December 2016 to July 2017 and Vice President of Clinical Development from June 2015 to December 2016, and Executive Director at Nektar Therapeutics , a publicly held biopharmaceutical company, from March 2015 to May 2015. Prior to that, she held positions of increasing responsibility at Onyx Pharmaceuticals, Inc. from April 2011 to February 2015, at Exelixis, Inc. from January 2008 to April 2011 and at Baxter Healthcare, Inc. from 2006 to 2007. Dr. Rajangam earned a medical degree from St. John’s Medical College Bangalore University and subsequently completed her general surgical residency at PGIMER, Chandigarh, India. She received a Ph.D. in biomedical engineering from Northwestern University.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principal occupation and employment during the past five years of each of our executive officers was carried on, in each case except as specifically identified above, with a corporation or organization that is not a parent, subsidiary or other affiliate of us. There is no arrangement or understanding between any of our executive officers and any other person or persons pursuant to which he or she was or is to be selected as an executive officer. There are no material legal proceedings to which any of our executive officers is a party adverse to us or in which any such person has a material interest adverse to us.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Board Committees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Board of Directors has an Audit Committee, a Compensation Committee, and a Nominating and Corporate Governance Committee. In addition, from time to time, special committees may be established under the direction of our Board of Directors when necessary to address specific issues. Copies of each board committee’s charter are posted on our website. Our website and the information contained on, or that can be accessed through, such website are not deemed to be incorporated by reference in, and are not considered part of, this Form 10-K. The composition and responsibilities of each of the committees of our Board of Directors are described below. Members serve on these committees until their resignation or until otherwise determined by our Board of Directors.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Audit Committee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Audit Committee consists of Frances Schulz, Feng Hsiung, and Edward Mathers. Our Board of Directors has determined that each member of the Audit Committee satisfies the independence requirements under the Nasdaq Listing Rules and Rule 10A-3(b)(1) of the Exchange Act. The chair of the Audit Committee is Frances Schulz. Our Board of Directors has determined that Frances Schulz is an “Audit Committee financial expert” within the meaning of SEC regulations. Each member of the Audit Committee can read and understand fundamental financial statements in accordance with applicable listing standards. In arriving at these determinations, our Board of Directors examined each Audit Committee member’s scope of experience and the nature of his or her employment. The primary purpose of the Audit Committee is to discharge the responsibilities of our Board of Directors with respect to corporate accounting and financial reporting processes, systems of internal control and financial statement audits, and to oversee our independent registered public accounting firm. Specific responsibilities of the Audit Committee include: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helping our Board of Directors oversee the corporate accounting and financial reporting processes, including overseeing the work of the independent registered public accounting firm;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180"/>
        <w:jc w:val="left"/>
        <w:rPr/>
      </w:pPr>
      <w:hyperlink w:anchor="i04e45f5eecf04a289de970267f3a1cd1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managing and/or assessing the selection, engagement, qualifications, independence and performance of a qualified firm to serve as the independent registered public accounting firm to audit our consolidated financial statements;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discussing the scope and results of the audit with the independent registered public accounting firm, and reviewing, with management and the independent accountants, our interim and year-end operating results;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developing, reviewing and reassessing procedures for employees to submit concerns anonymously about questionable accounting or audit matters;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reviewing and approving or ratifying related party transactions;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reviewing our policies on risk assessment and risk management framework and major risk exposures, including our enterprise risk processes;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reviewing, with the independent registered public accounting firm, our internal quality control procedures, any material issues with such procedures and any steps taken to deal with such issues;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pre-approving audit and permissible non-audit services to be performed by the independent registered public accounting firm.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Audit Committee operates under a written charter that satisfies the applicable Nasdaq Listing Rules and a copy of the Audit Committee charter is available on our website, at https://www.sentibio.com/ under “Investors -Corporate Governance - Documents &amp; Charters.”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Compensation Committee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compensation committee consists of Brenda Cooperstone, M.D., Edward Mathers and Bryan Baum. The chair of the compensation committee is Brenda Cooperstone. The parties have determined that each member of the compensation committee satisfies the independence requirements under the Nasdaq Listing Rules, and is a “non-employee director” as defined in Rule 16b-3 promulgated under the Exchange Act. 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the compensation committee include: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reviewing and approving the corporate goals and objectives to be considered in determining the compensation of the chief executive officer;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evaluating the chief executive officer’s performance in light of such corporate goals and objectives and reviewing and approving , or recommending to our Board of Directors for approval, the compensation of the chief executive officer based on such evaluation;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periodically reviewing the aggregate amount of compensation being paid or potentially payable to the chief executive officer;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reviewing and approving the compensation of our other executive officers (other than the chief executive officer);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periodically reviewing and recommending to our Board of Directors the compensation of our non-employee directors;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administering our equity incentive plans and other incentive compensation or employee benefit programs;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reviewing, adopting, amending and terminating incentive compensation and equity plans, severance agreements, profit sharing plans, bonus plans, change-of-control protections and any other compensatory arrangements for our executive officers and other senior management;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80"/>
        <w:jc w:val="left"/>
        <w:rPr/>
      </w:pPr>
      <w:hyperlink w:anchor="i04e45f5eecf04a289de970267f3a1cd1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adopting and administering our compensation recovery policy;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reviewing, establishing and reassessing general policies and procedures relating to compensation and benefits of our employees, non-employee directors, and other members of senior management including our overall compensation philosophy;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retaining, determining the compensation of, and overseeing any consulting firm or outside advisor to assist in compensation matters;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reviewing the compensation discussion and analysis and preparing the compensation committee report as required by SEC rules, if and when required, to be included in our annual proxy statement or annual report on Form 10-K.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compensation committee operates under a written charter that satisfies the applicable Nasdaq Listing Rules, and a copy of the compensation committee charter is available on our website, at https://www.sentibio.com/ under “Investors - Corporate Governance - Documents &amp; Charters.”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Nominating and Corporate Governance Committee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nominating and corporate governance committee consists of Edward Mathers and James J. (Jim) Collins, Ph.D.. The chair of the nominating and corporate governance committee is Edward Mathers. Our Board of Directors has determined that each member of the nominating and corporate governance committee satisfies the independence requirements under the Nasdaq Listing Rules.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Specific responsibilities of our nominating and corporate governance committee include: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identifying and evaluating candidates, including the nomination of incumbent directors for reelection and nominees recommended by stockholders, to serve on our Board of Directors;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considering and making recommendations to our Board of Directors regarding the composition and chairpersonship of the Board of Directors and committees of the Board of Directors;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reviewing, developing, and reassessing the adequacy of corporate governance practices;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developing and making recommendations to our Board of Directors regarding corporate governance guidelines and matters;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periodically preparing or assembling materials and conducting sessions for continuing education of our Board of Directors regarding effective discharge of duties;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overseeing periodic evaluations of our Board of Directors’ performance, including committees of our Board of Directors.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nominating and corporate governance committee identifies candidates for director nominees in consultation with management, through the use of search firms or other advisors, through the recommendations submitted by stockholders or through such other methods as the nominating and corporate governance committee deems to be helpful to identify candidates. Once candidates have been identified, the nominating and corporate governance committee confirms that the candidates meet all of the minimum qualifications for director nominees established by the nominating and corporate governance committee. The nominating and corporate governance committee may gather information about the candidates through interviews, detailed questionnaires, comprehensive background checks or any other means that the nominating and corporate governance committee deems to be appropriate in the evaluation process. The nominating and corporate governance committee then meets as a group to discuss and evaluate the qualities and skills of each candidate, both on an individual basis and taking into account the overall composition and needs of our Board of Directors, including whether potential candidates will further the interests of our stockholders through their established records of professional accomplishment, their ability to contribute positively to the collaborative culture among board members, and their knowledge of our business and understanding of the competitive landscape in which we operate and adherence to high ethical standards. Based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80"/>
        <w:jc w:val="left"/>
        <w:rPr/>
      </w:pPr>
      <w:hyperlink w:anchor="i04e45f5eecf04a289de970267f3a1cd1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results of the evaluation process, the nominating and corporate governance committee recommends candidates for the Board of Directors’ approval to fill a vacancy or as director nominees for election to the Board of Directors by our stockholders each year in the class of directors whose term expires at the relevant annual meeting. Our nominating and corporate governance committee operates under a written charter that satisfies the applicable Nasdaq Listing Rules and a copy of the nominating and corporate governance committee charter is available on our website, at https://www.sentibio.com/under “Investors - Corporate Governance - Documents &amp; Charters.”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Director Independence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adhere to the rules of Nasdaq in determining whether a director is independent. Our Board of Directors has consulted with its counsel to ensure that the Board of Directors’ determinations are consistent with those rules and all relevant securities and other laws and regulations regarding the independence of directors. The Nasdaq listing standards generally define an “independent director” as a person who is not an executive officer or employee, or who does not have a relationship which, in the opinion of the Board of Directors, would interfere with the exercise of independent judgment in carrying out his or her responsibilities as a director. Our Board of Directors has determined that Brenda Cooperstone, M.D., Edward Mathers, Frances Schulz, Feng Hsiung and James J. (Jim) Collins, Ph.D. are considered independent directors. Our independent directors have regularly scheduled meetings at which only independent directors are present.</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Board and Committee Meetings Attendance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During 2025, the Board of Directors met seven times, the Audit Committee met four times, the Compensation Committee met two times, and the Nominating and Corporate Governance Committee did not meet. During 2025, each member of the Board of Directors attended in person or participated in 95% or more of the aggregate of (i) the total number of meetings of the Board of Directors (held during the period for which such person has been a director) and (ii) the total number of meetings held by all committees of the Board of Directors on which such person served (during the periods that such person served).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Director Attendance at Annual Meeting of Stockholders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Directors are encouraged to attend the annual meeting of stockholders to the extent practicable. We held a regular annual meeting of stockholders in 2025 which was attended by our four of our directors.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Policy on Insider Trading, Pledging and Hedging of Company Stock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Insider Trading Policy prohibits our executive officers, the non-employee members of our Board of Directors and certain other employees from engaging in the following transactions: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trading in the securities of the Company, whether for own account or for the account of another, while in the possession of material, nonpublic information about the Company;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disclosing material, nonpublic information about the Company to others who may trade on the basis of that information (“tipping”).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selling any of our securities that they do not own at the time of the sale (referred to as a “short sale”);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buying or selling puts, calls, other derivative securities of the Company or any derivative securities that provide the economic equivalent of ownership of any of our securities or an opportunity, direct or indirect, to profit from any change in the value of our securities or engaging in any other hedging transaction with respect to our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using our securities as collateral in a margin account;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pledging our securities as collateral for a loan (or modifying an existing pledge).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80"/>
        <w:jc w:val="left"/>
        <w:rPr/>
      </w:pPr>
      <w:hyperlink w:anchor="i04e45f5eecf04a289de970267f3a1cd1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of the date of this Form 10-K, none of our executive officers or non-employee directors have previously engaged in any hedging or pledging transaction involving our securities.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Compensation Recovery Policy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accordance with the requirements of the SEC and Nasdaq listing rules, the Board of Directors adopted a compensation recovery policy, effective as of October 2, 2023. If we are required to prepare a restatement of financial statements due to material noncompliance with any financial reporting requirement under securities laws, the compensation recovery policy requires (subject to certain limited exceptions described in the policy and permitted by the SEC and Nasdaq listing rules) that we seek to recover any incentive-based compensation that was based upon the attainment of a financial reporting measure and that was received by any current or former executive officer during the three-year period preceding the date that the restatement was required that exceeds the amount that the executive officers would have received based on the restated financial statements.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Compensation Committee Interlocks and Insider Participation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the 2025 fiscal year, Brenda Cooperstone, M.D., Edward Mathers, and Bryan Baum served as members of the compensation committee. None of the members of the compensation committee is currently, or has been at any time, an executive officer or employee of the Company, Dynamics Special Purpose Corp. (“DYNS”) or Senti Sub I, Inc. (“Legacy Senti”). None of our executive officers currently serves, or has served during the last calendar year, as a member of the Board of Directors or compensation committee of any entity that has one or more executive officers serving as a member of our Board of Directors or compensation committee.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Code of Business Conduct and Ethics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adopted a code of business conduct and ethics, or the Code of Conduct, that applies to all directors, officers and employees, including the principal executive officer, principal financial officer, principal accounting officer or controller or persons performing similar functions, and is available on our website at https://investors.sentibio.com/corporate-governance/documents-charters. In addition, we intend to post on our website all disclosures that are required by law or the Nasdaq Listing Rules concerning any amendments to, or waivers from, any provision of the Code of Conduct. The reference to our website address does not constitute incorporation by reference of the information contained at or available through the website, and you should not consider it to be a part of this Form 10-K. If we make any substantive amendments to, or grant any waivers from, the Code of Conduct for any officer or director, we will disclose the nature of such amendment or waiver on our website or in a current report on Form 8-K.</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Board Leadership Structure and Board’s Role in Risk Oversight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Timothy Lu, M.D., Ph.D. is our current Chief Executive Officer and Kanya Rajangam, M.D., Ph.D., is our current President. We do not have a Chairperson of the Board or a lead independent director. In the absence of a Chairperson of the Board, our Chief Executive Officer presides at all meetings of our Board of Directors and stockholders. We believe this is appropriate for our company at this time because of (1) our size, (2) the size of our board, (3) our Chief Executive Officer is responsible for our day-to-day operations and implementing our strategy, and (4) discussion of developments in our business and financial condition and results are important parts of the discussion at board meetings and we believe it is appropriate for the Chief Executive Officer to chair those discussions. Our Board of Directors recognizes the time, effort and energy that the Chief Executive Officer is required to devote to his position in the current business environment, particularly as the Board of Directors’ oversight responsibilities continue to grow, and will periodically evaluate the leadership structure of our Board of Directors.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Risk is inherent with every business, and how well a business manages risk can ultimately determine its success. We face a number of risks, including risks relating to our financial condition, development and commercialization activities, operations, strategic direction and intellectual property. Management is responsible for the day-to-day management of risks we face, while our Board of Directors, as a whole and through its committees, has responsibility for the oversight of risk management. In its risk oversight role, our Board of Directors has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80"/>
        <w:jc w:val="left"/>
        <w:rPr/>
      </w:pPr>
      <w:hyperlink w:anchor="i04e45f5eecf04a289de970267f3a1cd1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responsibility to satisfy itself that the risk management processes designed and implemented by management are adequate and functioning as designed.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role of the Board of Directors in overseeing the management of our risks is conducted primarily through committees of the Board of Directors, as disclosed in the descriptions of each of the committees above and in the charters of each of the committees. The full Board of Directors (or the appropriate board committee in the case of risks that are under the purview of a particular committee) discusses with management our major risk exposures, their potential impact on us, and the steps we take to manage them. When a board committee is responsible for evaluating and overseeing the management of a particular risk or risks, the chairperson of the relevant committee reports on the discussion to the full Board of Directors during the committee reports portion of the next board meeting. This enables the Board of Directors and its committees to coordinate the risk oversight role, particularly with respect to risk interrelationships.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Communication with the Directors of Senti Biosciences, Inc.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Any interested party with concerns about our company may report such concerns to any member of the Board of Directors or the chairman of our nominating and corporate governance committee, by submitting a written communication to the attention of such director at the following address: </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 xml:space="preserve">c/o Senti Biosciences, Inc. </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 Corporate Drive, First Floor</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 xml:space="preserve">South San Francisco, CA, 94080 </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 xml:space="preserve">United States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 copy of any such written communication may also be forwarded to our legal counsel and a copy of such communication may be retained for a reasonable period of time. The director may discuss the matter with our legal counsel, with independent advisors, with non-management directors, or with our management, or may take other action or no action as the director determines in good faith, using reasonable judgment, and applying his or her own discretion.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Communications may be forwarded to other directors if they relate to important substantive matters and include suggestions or comments that may be important for other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Audit Committee oversees the procedures for the receipt, retention, and treatment of complaints we receive regarding accounting, internal accounting controls, or audit matters, and the confidential, anonymous submission by employees of concerns regarding questionable accounting, internal accounting controls or auditing matters. We have also established a toll-free telephone number for the reporting of such activity, which is +1 (844) 982-1781.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80"/>
        <w:jc w:val="left"/>
        <w:rPr/>
      </w:pPr>
      <w:hyperlink w:anchor="i04e45f5eecf04a289de970267f3a1cd1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Director Compensation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June 8, 2022, or the Closing Date, Dynamics Special Purpose Corp., a Delaware corporation, or DYNS, consummated a business combination pursuant to the terms of the Business Combination Agreement, dated December 19, 2021, as amended February 12, 2022 and May 19, 2022, or the Business Combination Agreement, by and among DYNS, Explore Merger Sub, Inc., a Delaware corporation, or the Merger Sub and Senti Sub I, Inc., or formerly Senti Biosciences, Inc., or Legacy Senti, a Delaware corporation.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the Business Combination Agreement, on the Closing Date, Merger Sub merged with and into Legacy Senti with Legacy Senti surviving as a wholly-owned subsidiary of DYNS, and DYNS changed its name to Senti Biosciences, Inc. i.e., the Closing. We refer to this transaction as the Merger.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July 2022, after consummating the Merger, we adopted a non-employee director compensation policy, which was amended as of March 7, 2025, as described below.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Non-Employee Director Compensation Policy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non-employee director compensation policy is designed to enable us to attract and retain, on a long-term basis, highly qualified non-employee directors. Under the policy, our non-employee directors are eligible to receive cash retainers (which are payable quarterly in arrears and prorated for partial years of service) and equity awards as set forth below. In addition, we reimburse non-employee directors for all reasonable out-of-pocket expenses incurred in attending meetings of our Board of Directors or board committees. We do not pay additional compensation for attending individual meetings of our Board of Directors.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Cash Retainers</w:t>
      </w:r>
    </w:p>
    <w:tbl>
      <w:tblPr>
        <w:tblW w:w="8417" w:type="dxa"/>
        <w:jc w:val="left"/>
        <w:tblInd w:w="0" w:type="dxa"/>
        <w:tblLayout w:type="fixed"/>
        <w:tblCellMar>
          <w:top w:w="28" w:type="dxa"/>
          <w:left w:w="28" w:type="dxa"/>
          <w:bottom w:w="28" w:type="dxa"/>
          <w:right w:w="28" w:type="dxa"/>
        </w:tblCellMar>
      </w:tblPr>
      <w:tblGrid>
        <w:gridCol w:w="2539"/>
        <w:gridCol w:w="2228"/>
        <w:gridCol w:w="2237"/>
        <w:gridCol w:w="109"/>
        <w:gridCol w:w="109"/>
        <w:gridCol w:w="109"/>
        <w:gridCol w:w="211"/>
        <w:gridCol w:w="721"/>
        <w:gridCol w:w="154"/>
      </w:tblGrid>
      <w:tr>
        <w:trPr/>
        <w:tc>
          <w:tcPr>
            <w:tcW w:w="2539"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Annual Retainer for Board Membership</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Additional Annual Retainer for Non-Executive Chair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Additional Annual Retainer for Committee Membership</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 </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Audit Committee Chairperson:</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Audit Committee Member (other than Chairperson)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Compensation Committee Chairperson:</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Compensation Committee Member (other than Chairperson)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Nominating and Corporate Governance Committee Chairperson:</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Nominating and Corporate Governance Committee Member (other than Chairperson)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Equity Award Retainers</w:t>
      </w:r>
    </w:p>
    <w:p>
      <w:pPr>
        <w:pStyle w:val="TextBody"/>
        <w:bidi w:val="0"/>
        <w:spacing w:lineRule="auto" w:line="288" w:before="0" w:after="180"/>
        <w:jc w:val="left"/>
        <w:rPr/>
      </w:pPr>
      <w:r>
        <w:rPr>
          <w:rFonts w:ascii="Times New Roman;serif" w:hAnsi="Times New Roman;serif"/>
          <w:b w:val="false"/>
          <w:i/>
          <w:color w:val="000000"/>
          <w:sz w:val="20"/>
        </w:rPr>
        <w:t xml:space="preserve">Initial Award: </w:t>
      </w:r>
      <w:r>
        <w:rPr>
          <w:rFonts w:ascii="Times New Roman;serif" w:hAnsi="Times New Roman;serif"/>
          <w:b w:val="false"/>
          <w:color w:val="000000"/>
          <w:sz w:val="20"/>
        </w:rPr>
        <w:t>An initial, one-time stock option, or Initial Award, of 43,900 shares of our common stock will be granted to each non-employee director serving on our Board of Directors as of March 7, 2025 and to each new non-employee director upon his or her election to the Board of Directors following such date. Each Initial Award vests in 36 equal monthly installments over three years from the date of grant, subject to continued service as a director, unless otherwise provided by a written agreement entered into at or prior to the time that such director ceases to serve as a member of our Board. Each Initial Award expires ten years from the date of grant, and will have a per share exercise price equal to the closing price of our common stock on the date of grant.</w:t>
      </w:r>
    </w:p>
    <w:p>
      <w:pPr>
        <w:pStyle w:val="TextBody"/>
        <w:bidi w:val="0"/>
        <w:spacing w:lineRule="auto" w:line="288" w:before="0" w:after="180"/>
        <w:jc w:val="left"/>
        <w:rPr/>
      </w:pPr>
      <w:r>
        <w:rPr>
          <w:rFonts w:ascii="Times New Roman;serif" w:hAnsi="Times New Roman;serif"/>
          <w:b w:val="false"/>
          <w:i/>
          <w:color w:val="000000"/>
          <w:sz w:val="20"/>
        </w:rPr>
        <w:t>Annual Award:</w:t>
      </w:r>
      <w:r>
        <w:rPr>
          <w:color w:val="000000"/>
        </w:rPr>
        <w:t xml:space="preserve"> </w:t>
      </w:r>
      <w:r>
        <w:rPr>
          <w:rFonts w:ascii="Times New Roman;serif" w:hAnsi="Times New Roman;serif"/>
          <w:b w:val="false"/>
          <w:color w:val="000000"/>
          <w:sz w:val="20"/>
        </w:rPr>
        <w:t xml:space="preserve">On the date of each annual meeting of stockholders of the Company following March 7, 2025, each continuing non-employee director other than a director receiving an Initial Award on such date, will receive an annual stock option award, or Annual Award, for 21,950 shares of our common stock. Each Annual Award vests in full on the earlier of the first anniversary of the date of grant or the date of the next annual meeting, subject to continued service, unless otherwise provided by a written agreement entered into at or prior to the time that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80"/>
        <w:jc w:val="left"/>
        <w:rPr/>
      </w:pPr>
      <w:hyperlink w:anchor="i04e45f5eecf04a289de970267f3a1cd1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director ceases to serve as a member of our Board. Each Annual Award expires ten years from the date of grant, and will have a per share exercise price equal to the closing price of our common stock on the date of grant.</w:t>
      </w:r>
    </w:p>
    <w:p>
      <w:pPr>
        <w:pStyle w:val="TextBody"/>
        <w:bidi w:val="0"/>
        <w:spacing w:lineRule="auto" w:line="288" w:before="0" w:after="180"/>
        <w:jc w:val="left"/>
        <w:rPr/>
      </w:pPr>
      <w:r>
        <w:rPr>
          <w:rFonts w:ascii="Times New Roman;serif" w:hAnsi="Times New Roman;serif"/>
          <w:b w:val="false"/>
          <w:i/>
          <w:color w:val="000000"/>
          <w:sz w:val="20"/>
        </w:rPr>
        <w:t xml:space="preserve">Change of Control Acceleration: </w:t>
      </w:r>
      <w:r>
        <w:rPr>
          <w:rFonts w:ascii="Times New Roman;serif" w:hAnsi="Times New Roman;serif"/>
          <w:b w:val="false"/>
          <w:color w:val="000000"/>
          <w:sz w:val="20"/>
        </w:rPr>
        <w:t>All outstanding Initial Awards and Annual Awards held by a non-employee director shall become fully vested and exercisable upon a “Change of Control” (as defined in our Amended and Restated 2022 Equity Incentive Plan, or our 2022 Plan).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Maximum Annual Compensation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aggregate value of all compensation granted or paid, as applicable, to any individual for service as a non-employee director in any calendar year will not exceed $750,000 (or $1,000,000 for the first year that a non-employee director is appointed or elected to our Board of Directors), in each case calculating the value of any equity awards based on the grant date fair value of such equity awards for financial reporting purposes.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Non-Employee Director Agreements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May 14, 2021, we entered into a scientific advisory board agreement with James Collins, or the Collins Agreement, pursuant to which he serves as a member and chair of our Scientific Advisory Board, or our SAB. As consideration for such services, Dr. Collins is entitled to receive (i) cash compensation in the amount of $10,500 per year (plus, for service as chair of our SAB, an additional $9,000 per year), and (ii) subject to approval by our Board of Directors or compensation committee, an annual stock option award of 3,522 shares, which amount is subject to adjustment in the event of a change in our capitalization. The Collins Agreement provides for such cash compensation to be paid in equal quarterly installments and each stock option award to vest over four (4) years, subject to Dr. Collins continued service with us and subject to the terms and conditions of our 2016 Stock Incentive Plan, as amended, or our 2016 Plan (or other applicable equity incentive plan in effect at the time of grant). The Collins Agreement also provides for reimbursement of reasonable, out-of-pocket expenses incurred in connection with Dr. Collins’ performance of services upon our request. Pursuant to the Collins Agreement, Dr. Collins is subject to certain standard assignment of intellectual property and confidentiality covenants, as well as independent contractor covenants. The Collins Agreement expired in May 2024; however, Dr. Collins holds stock options granted pursuant to the Collins Agreement that are continuing to vest based on his service with us.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Director Compensation Table </w:t>
      </w:r>
    </w:p>
    <w:p>
      <w:pPr>
        <w:pStyle w:val="TextBody"/>
        <w:bidi w:val="0"/>
        <w:spacing w:lineRule="auto" w:line="288" w:before="0" w:after="180"/>
        <w:jc w:val="left"/>
        <w:rPr/>
      </w:pPr>
      <w:r>
        <w:rPr>
          <w:rFonts w:ascii="Times New Roman;serif" w:hAnsi="Times New Roman;serif"/>
          <w:b w:val="false"/>
          <w:color w:val="000000"/>
          <w:sz w:val="20"/>
        </w:rPr>
        <w:t>The following table sets forth information regarding the compensation awarded to, earned by or paid to our non-employee directors for service on our Board of Directors during the year ended December 31, 2025. Dr. Lu, who served as our Chief Executive Officer during 2025, also served on our Board of Directors, but did not receive any additional compensation for his service as a director and therefore is not included in the table below. Dr. Lu’s compensation for his service, as our Chief Executive Officer, is set forth below under “</w:t>
      </w:r>
      <w:r>
        <w:rPr>
          <w:rFonts w:ascii="Times New Roman;serif" w:hAnsi="Times New Roman;serif"/>
          <w:b w:val="false"/>
          <w:i/>
          <w:color w:val="000000"/>
          <w:sz w:val="20"/>
        </w:rPr>
        <w:t>Executive Compensation-Summary Compensation Table</w:t>
      </w:r>
      <w:r>
        <w:rPr>
          <w:rFonts w:ascii="Times New Roman;serif" w:hAnsi="Times New Roman;serif"/>
          <w:b w:val="false"/>
          <w:color w:val="000000"/>
          <w:sz w:val="20"/>
        </w:rPr>
        <w:t xml:space="preserve">.” </w:t>
      </w:r>
    </w:p>
    <w:tbl>
      <w:tblPr>
        <w:tblW w:w="9383" w:type="dxa"/>
        <w:jc w:val="left"/>
        <w:tblInd w:w="0" w:type="dxa"/>
        <w:tblLayout w:type="fixed"/>
        <w:tblCellMar>
          <w:top w:w="28" w:type="dxa"/>
          <w:left w:w="28" w:type="dxa"/>
          <w:bottom w:w="28" w:type="dxa"/>
          <w:right w:w="28" w:type="dxa"/>
        </w:tblCellMar>
      </w:tblPr>
      <w:tblGrid>
        <w:gridCol w:w="826"/>
        <w:gridCol w:w="723"/>
        <w:gridCol w:w="731"/>
        <w:gridCol w:w="109"/>
        <w:gridCol w:w="109"/>
        <w:gridCol w:w="109"/>
        <w:gridCol w:w="447"/>
        <w:gridCol w:w="1527"/>
        <w:gridCol w:w="230"/>
        <w:gridCol w:w="109"/>
        <w:gridCol w:w="109"/>
        <w:gridCol w:w="109"/>
        <w:gridCol w:w="232"/>
        <w:gridCol w:w="908"/>
        <w:gridCol w:w="119"/>
        <w:gridCol w:w="109"/>
        <w:gridCol w:w="109"/>
        <w:gridCol w:w="109"/>
        <w:gridCol w:w="331"/>
        <w:gridCol w:w="638"/>
        <w:gridCol w:w="172"/>
        <w:gridCol w:w="109"/>
        <w:gridCol w:w="109"/>
        <w:gridCol w:w="109"/>
        <w:gridCol w:w="211"/>
        <w:gridCol w:w="826"/>
        <w:gridCol w:w="154"/>
      </w:tblGrid>
      <w:tr>
        <w:trPr/>
        <w:tc>
          <w:tcPr>
            <w:tcW w:w="82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 </w:t>
            </w:r>
          </w:p>
        </w:tc>
        <w:tc>
          <w:tcPr>
            <w:tcW w:w="220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 xml:space="preserve">Fees Earned or Paid in Cash </w:t>
              <w:br/>
              <w:t>($)</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 </w:t>
            </w:r>
          </w:p>
        </w:tc>
        <w:tc>
          <w:tcPr>
            <w:tcW w:w="125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 xml:space="preserve">Option Awards </w:t>
            </w:r>
          </w:p>
          <w:p>
            <w:pPr>
              <w:pStyle w:val="TableContents"/>
              <w:bidi w:val="0"/>
              <w:spacing w:lineRule="auto" w:line="268" w:before="0" w:after="0"/>
              <w:jc w:val="center"/>
              <w:rPr/>
            </w:pPr>
            <w:r>
              <w:rPr>
                <w:rFonts w:ascii="Times New Roman;serif" w:hAnsi="Times New Roman;serif"/>
                <w:b/>
                <w:color w:val="000000"/>
                <w:sz w:val="16"/>
              </w:rPr>
              <w:t xml:space="preserve">($) </w:t>
            </w:r>
            <w:r>
              <w:rPr>
                <w:rFonts w:ascii="Times New Roman;serif" w:hAnsi="Times New Roman;serif"/>
                <w:b/>
                <w:color w:val="000000"/>
                <w:sz w:val="10"/>
              </w:rPr>
              <w:t>(1)(2)</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 </w:t>
            </w:r>
          </w:p>
        </w:tc>
        <w:tc>
          <w:tcPr>
            <w:tcW w:w="114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All Other</w:t>
              <w:br/>
              <w:t>Compensation</w:t>
              <w:br/>
              <w:t>($)</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 </w:t>
            </w:r>
          </w:p>
        </w:tc>
        <w:tc>
          <w:tcPr>
            <w:tcW w:w="119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w:t>
            </w:r>
          </w:p>
        </w:tc>
      </w:tr>
      <w:tr>
        <w:trPr/>
        <w:tc>
          <w:tcPr>
            <w:tcW w:w="2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Brenda Cooperstone, M.D.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 </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51,993 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color w:val="000000"/>
              </w:rPr>
            </w:pP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154,069 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color w:val="000000"/>
              </w:rPr>
            </w:pPr>
            <w:r>
              <w:rPr>
                <w:color w:val="000000"/>
              </w:rPr>
              <w:t>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206,062 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Edward Mathers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 </w:t>
            </w:r>
          </w:p>
        </w:tc>
        <w:tc>
          <w:tcPr>
            <w:tcW w:w="447"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56,125 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154,069 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210,194 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James (Jim) Collins, Ph.D.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 </w:t>
            </w:r>
          </w:p>
        </w:tc>
        <w:tc>
          <w:tcPr>
            <w:tcW w:w="447"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39,000 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154,069 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193,069 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Frances Schulz</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 </w:t>
            </w:r>
          </w:p>
        </w:tc>
        <w:tc>
          <w:tcPr>
            <w:tcW w:w="447"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50,938 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154,069 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205,007 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Donald Tang</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 </w:t>
            </w:r>
          </w:p>
        </w:tc>
        <w:tc>
          <w:tcPr>
            <w:tcW w:w="447"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35,000 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154,069 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189,069 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 xml:space="preserve">Feng Hsiung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34,826 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154,069 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188,895 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Bryan Baum</w:t>
            </w:r>
            <w:r>
              <w:rPr>
                <w:color w:val="000000"/>
              </w:rPr>
              <w:t xml:space="preserve"> </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17,758 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68,216 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85,974 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(1)In accordance with SEC rules, this column reflects the aggregate grant date fair value of the option awards computed in accordance with FASB ASC 718. The assumptions used in calculating the grant date fair value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80"/>
        <w:jc w:val="left"/>
        <w:rPr/>
      </w:pPr>
      <w:hyperlink w:anchor="i04e45f5eecf04a289de970267f3a1cd1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option awards reported in this column are set forth in Note 7 to our consolidated financial statements included in our Annual Report on Form 10-K, filed with the SEC on March 27, 2026, as amended and filed with the SEC on April 29, 2026. These amounts do not reflect the actual economic value that will be realized by our non-employee directors upon the vesting of the stock options, the exercise of the stock options or the sale of the common stock underlying such stock options.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following table provides information regarding the number of shares of common stock underlying stock options granted to our non-employee directors that were outstanding as of December 31, 2025.</w:t>
      </w:r>
    </w:p>
    <w:p>
      <w:pPr>
        <w:pStyle w:val="TextBody"/>
        <w:bidi w:val="0"/>
        <w:spacing w:before="0" w:after="0"/>
        <w:jc w:val="left"/>
        <w:rPr/>
      </w:pPr>
      <w:r>
        <w:rPr/>
      </w:r>
    </w:p>
    <w:tbl>
      <w:tblPr>
        <w:tblW w:w="6161" w:type="dxa"/>
        <w:jc w:val="left"/>
        <w:tblInd w:w="0" w:type="dxa"/>
        <w:tblLayout w:type="fixed"/>
        <w:tblCellMar>
          <w:top w:w="28" w:type="dxa"/>
          <w:left w:w="28" w:type="dxa"/>
          <w:bottom w:w="28" w:type="dxa"/>
          <w:right w:w="28" w:type="dxa"/>
        </w:tblCellMar>
      </w:tblPr>
      <w:tblGrid>
        <w:gridCol w:w="826"/>
        <w:gridCol w:w="723"/>
        <w:gridCol w:w="731"/>
        <w:gridCol w:w="109"/>
        <w:gridCol w:w="109"/>
        <w:gridCol w:w="109"/>
        <w:gridCol w:w="1038"/>
        <w:gridCol w:w="1038"/>
        <w:gridCol w:w="1478"/>
      </w:tblGrid>
      <w:tr>
        <w:trPr/>
        <w:tc>
          <w:tcPr>
            <w:tcW w:w="82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 </w:t>
            </w:r>
          </w:p>
        </w:tc>
        <w:tc>
          <w:tcPr>
            <w:tcW w:w="35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Option Awards Outstanding at 2025 Year-End</w:t>
              <w:br/>
              <w:t>(number of shares)</w:t>
            </w:r>
          </w:p>
        </w:tc>
      </w:tr>
      <w:tr>
        <w:trPr/>
        <w:tc>
          <w:tcPr>
            <w:tcW w:w="2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Brenda Cooperstone, M.D.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 </w:t>
            </w:r>
          </w:p>
        </w:tc>
        <w:tc>
          <w:tcPr>
            <w:tcW w:w="3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93,993</w:t>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Edward Mathers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 </w:t>
            </w:r>
          </w:p>
        </w:tc>
        <w:tc>
          <w:tcPr>
            <w:tcW w:w="35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90,850</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James (Jim) Collins, Ph.D.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 </w:t>
            </w:r>
          </w:p>
        </w:tc>
        <w:tc>
          <w:tcPr>
            <w:tcW w:w="355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91,906</w:t>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Frances Schulz</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 </w:t>
            </w:r>
          </w:p>
        </w:tc>
        <w:tc>
          <w:tcPr>
            <w:tcW w:w="35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78,350</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Donald Tang</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 </w:t>
            </w:r>
          </w:p>
        </w:tc>
        <w:tc>
          <w:tcPr>
            <w:tcW w:w="355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78,350</w:t>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Feng Hsiung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65,850</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Bryan Baum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43,900</w:t>
            </w:r>
          </w:p>
        </w:tc>
      </w:tr>
    </w:tbl>
    <w:p>
      <w:pPr>
        <w:pStyle w:val="TextBody"/>
        <w:bidi w:val="0"/>
        <w:spacing w:before="0" w:after="180"/>
        <w:jc w:val="left"/>
        <w:rPr/>
      </w:pPr>
      <w:r>
        <w:rPr/>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(3)Mr. Hsiung was appointed to the Board effective March 7, 2025.</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(4)Mr. Baum was appointed to the Board effective July 18, 2025.</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Executive Compensation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section provides an overview of our executive compensation program as it relates to the executive officers named below, or together, the named executive officers, for the year ended December 31, 2025, which consist of our principal executive officer and our two most highly compensated executive officers: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Timothy Lu, M.D., Ph.D., our Chief Executive Officer;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Kanya Rajangam, M.D., Ph.D., our President, Head of Research and Development and Chief Medical Officer;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Jay Cross, our Chief Financial Officer;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Yvonne Li, our former Interim Chief Financial Officer.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Effective as of January 31, 2025, Ms. Li no longer serves as our principal financial officer and principal accounting officer. Pursuant to the consulting agreement entered into by and between Ms. Li and us, effective February 5, 2025, she served as a consultant until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80"/>
        <w:jc w:val="left"/>
        <w:rPr/>
      </w:pPr>
      <w:hyperlink w:anchor="i04e45f5eecf04a289de970267f3a1cd1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Summary Compensation Table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compensation awarded to, earned by or paid to each of our named executive officers for the year indicated. </w:t>
      </w:r>
    </w:p>
    <w:tbl>
      <w:tblPr>
        <w:tblW w:w="11252" w:type="dxa"/>
        <w:jc w:val="left"/>
        <w:tblInd w:w="0" w:type="dxa"/>
        <w:tblLayout w:type="fixed"/>
        <w:tblCellMar>
          <w:top w:w="28" w:type="dxa"/>
          <w:left w:w="28" w:type="dxa"/>
          <w:bottom w:w="28" w:type="dxa"/>
          <w:right w:w="28" w:type="dxa"/>
        </w:tblCellMar>
      </w:tblPr>
      <w:tblGrid>
        <w:gridCol w:w="718"/>
        <w:gridCol w:w="248"/>
        <w:gridCol w:w="250"/>
        <w:gridCol w:w="109"/>
        <w:gridCol w:w="109"/>
        <w:gridCol w:w="109"/>
        <w:gridCol w:w="174"/>
        <w:gridCol w:w="174"/>
        <w:gridCol w:w="178"/>
        <w:gridCol w:w="109"/>
        <w:gridCol w:w="109"/>
        <w:gridCol w:w="109"/>
        <w:gridCol w:w="211"/>
        <w:gridCol w:w="826"/>
        <w:gridCol w:w="109"/>
        <w:gridCol w:w="109"/>
        <w:gridCol w:w="109"/>
        <w:gridCol w:w="10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54"/>
      </w:tblGrid>
      <w:tr>
        <w:trPr/>
        <w:tc>
          <w:tcPr>
            <w:tcW w:w="71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and Principal</w:t>
              <w:br/>
              <w:t>Position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Salary</w:t>
              <w:b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Stock</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Awards</w:t>
            </w:r>
          </w:p>
          <w:p>
            <w:pPr>
              <w:pStyle w:val="TableContents"/>
              <w:bidi w:val="0"/>
              <w:spacing w:lineRule="auto" w:line="240" w:before="0" w:after="0"/>
              <w:jc w:val="center"/>
              <w:rPr/>
            </w:pPr>
            <w:r>
              <w:rPr>
                <w:rFonts w:ascii="Times New Roman;serif" w:hAnsi="Times New Roman;serif"/>
                <w:b/>
                <w:color w:val="000000"/>
                <w:sz w:val="16"/>
              </w:rPr>
              <w:t>($)</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Option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Awards</w:t>
            </w:r>
          </w:p>
          <w:p>
            <w:pPr>
              <w:pStyle w:val="TableContents"/>
              <w:bidi w:val="0"/>
              <w:spacing w:lineRule="auto" w:line="240" w:before="0" w:after="0"/>
              <w:jc w:val="center"/>
              <w:rPr/>
            </w:pPr>
            <w:r>
              <w:rPr>
                <w:rFonts w:ascii="Times New Roman;serif" w:hAnsi="Times New Roman;serif"/>
                <w:b/>
                <w:color w:val="000000"/>
                <w:sz w:val="16"/>
              </w:rPr>
              <w:t>($)</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Non-equity</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Incentive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Plan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Compensation</w:t>
            </w:r>
          </w:p>
          <w:p>
            <w:pPr>
              <w:pStyle w:val="TableContents"/>
              <w:bidi w:val="0"/>
              <w:spacing w:lineRule="auto" w:line="240" w:before="0" w:after="0"/>
              <w:jc w:val="center"/>
              <w:rPr/>
            </w:pPr>
            <w:r>
              <w:rPr>
                <w:rFonts w:ascii="Times New Roman;serif" w:hAnsi="Times New Roman;serif"/>
                <w:b/>
                <w:color w:val="000000"/>
                <w:sz w:val="16"/>
              </w:rPr>
              <w: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All Other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Compensation</w:t>
            </w:r>
          </w:p>
          <w:p>
            <w:pPr>
              <w:pStyle w:val="TableContents"/>
              <w:bidi w:val="0"/>
              <w:spacing w:lineRule="auto" w:line="240" w:before="0" w:after="0"/>
              <w:jc w:val="center"/>
              <w:rPr/>
            </w:pPr>
            <w:r>
              <w:rPr>
                <w:rFonts w:ascii="Times New Roman;serif" w:hAnsi="Times New Roman;serif"/>
                <w:b/>
                <w:color w:val="000000"/>
                <w:sz w:val="16"/>
              </w:rPr>
              <w:t>($)</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w:t>
            </w:r>
          </w:p>
        </w:tc>
      </w:tr>
      <w:tr>
        <w:trPr/>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Lu, M.D., Ph.D.</w:t>
              <w:br/>
              <w:t>Chief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2,893,857 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Kanya Rajangam, M.D., Ph.D.</w:t>
              <w:br/>
              <w:t>President, Head of Research and Development and Chief Medical Officer</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859,438 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Jay Cross, Chief Financial Officer </w:t>
            </w:r>
            <w:r>
              <w:rPr>
                <w:rFonts w:ascii="Times New Roman;serif" w:hAnsi="Times New Roman;serif"/>
                <w:b w:val="false"/>
                <w:color w:val="000000"/>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949,566 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Yvonne Li,</w:t>
            </w:r>
            <w:r>
              <w:rPr>
                <w:rFonts w:ascii="Times New Roman;serif" w:hAnsi="Times New Roman;serif"/>
                <w:b w:val="false"/>
                <w:color w:val="000000"/>
                <w:sz w:val="13"/>
              </w:rPr>
              <w:t>(5)</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Former Interim Chief Financial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547,540 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547,540 </w:t>
            </w:r>
          </w:p>
        </w:tc>
        <w:tc>
          <w:tcPr>
            <w:tcW w:w="1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4"/>
        </w:rPr>
        <w:t>(1)</w:t>
      </w:r>
      <w:r>
        <w:rPr>
          <w:rFonts w:ascii="Times New Roman;serif" w:hAnsi="Times New Roman;serif"/>
          <w:b w:val="false"/>
          <w:color w:val="000000"/>
          <w:sz w:val="20"/>
        </w:rPr>
        <w:t>The amounts reported represent the aggregate grant date fair value of the RSUs or stock options, as applicable, granted to our named executive officers during the applicable fiscal year, calculated in accordance with Financial Accounting Standards Board Accounting Standards Codification Topic 718, or FASB ASC 718. Such grant date fair values do not take into account any estimated forfeitures. The assumptions used in calculating the grant date fair value of the RSUs reported in this column are set forth in Note 7 to our consolidated financial statements included in our Annual Report on Form 10-K, filed with the SEC on March 27, 2026, as amended and filed with the SEC on April 29, 2026. The amounts reported in this column reflect the accounting cost for the RSUs and do not correspond to the actual economic value that may be received by our named executive officers upon the vesting of the RSUs, issuance of shares of common stock, or any sale of shares of common stock received pursuant to such awards, in the case of RSUs, or upon exercise of the stock options, issuance of shares of common stock, or any sale of any of the underlying shares of common stock, in the case of options.</w:t>
      </w:r>
    </w:p>
    <w:p>
      <w:pPr>
        <w:pStyle w:val="TextBody"/>
        <w:bidi w:val="0"/>
        <w:spacing w:before="0" w:after="180"/>
        <w:jc w:val="left"/>
        <w:rPr/>
      </w:pPr>
      <w:r>
        <w:rPr/>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(2)Reflects performance-based cash bonuses awarded to our named executive officers. For 2025, amounts are not calculable as of the latest practicable date prior to the filing of this Form 10-K/A. We expect that such amounts will be determined later in the second quarter of the fiscal year ending December 31, 2026 and we will disclose the amount of such bonuses when they are determined. For 2024, amounts reflect the actual cash incentive bonuses received by our named executive officers for performance of services in 2024, and were paid in the subsequent year.</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(3)Reflects (i) for Dr. Lu, Dr. Rajangam and Mr. Cross, employer matching contributions made under our 401(k) plan, and (ii) for Ms. Li, the aggregate consulting fees paid for her services as former Interim Chief Financial Officer.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(4)Mr. Cross was appointed Chief Financial Officer on February 23, 2025. Accordingly, compensation information is only provided for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80"/>
        <w:jc w:val="left"/>
        <w:rPr/>
      </w:pPr>
      <w:hyperlink w:anchor="i04e45f5eecf04a289de970267f3a1cd1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(5)Ms. Li was appointed our Interim Chief Financial Officer effective as of May 4, 2024, and the amounts reported in the “All Other Compensation” column for 2025 and 2024 reflect the consulting fees earned by Ms. Li following her commencement of service with us. Effective as of January 31, 2025, Ms. Li is no longer our principal financial officer and principal accounting officer. Pursuant to the consulting agreement entered by and between Ms. Li and us, effective February 5, 2025, she served as a consultant until March 31, 2025.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18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80"/>
        <w:jc w:val="left"/>
        <w:rPr/>
      </w:pPr>
      <w:hyperlink w:anchor="i04e45f5eecf04a289de970267f3a1cd1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Narrative to Summary Compensation Table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compensation committee or Board of Directors reviews compensation annually for all employees, including named executive officers. In making compensation determinations, we consider compensation for comparable positions in the market and with peer companies, the historical compensation levels of executives, individual performance as compared to our expectations and objectives, our desire to motivate employees to achieve short- and long-term results that are in the best interests of our stockholders and a long-term commitment to the company.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Annual Base Salaries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Base salaries for the executive officers who are employees are initially established through arm’s-length negotiations at the time of the executive officer’s hiring, taking into account such executive officer’s qualifications, experience, the scope of his or her responsibilities and competitive market compensation paid by other companies for similar positions within the industry and geography. Base salaries are reviewed periodically, typically in connection with our annual performance review process, and adjusted from time to time to realign salaries with market levels after taking into account individual responsibilities, performance and experience. In making decisions regarding salary increases, we may also draw upon the experience of members of the Board of Directors with executives at other companies. The 2025 base salaries for the named executive officers who are employees were as follows: (a) $618,757 for Dr. Lu; (b) $526,789 for Dr. Rajangam and (c) $465,000 for Mr. Cross.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Non-Equity Incentive Plan Compensation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named executive officers who are employees are each eligible to receive a discretionary annual bonus based on individual and company performance. In 2025, Dr. Lu was eligible to earn an annual target performance bonus equal to 55% of his 2025 base salary based on the achievement of corporate objectives. Dr. Rajangam was eligible to earn an annual target performance bonus equal to 45% of her 2025 base salary based on the achievement of both individual and corporate objectives. Mr. Cross is eligible to earn an annual target performance bonus equal to 40% of his 2025 base salary based on the achievement of both individual and corporate objectives. Bonus amounts for 2025 have not yet been determined as of the date of this filing; we expect that such amounts will be determined later in the second quarter of the fiscal year ending December 31, 2026 and we will disclose the amount of such bonuses when they are determined.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Equity Incentive Awards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equity incentive awards are designed to align our interests and those of our stockholders with those of our employees and consultants, including our named executive officers.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have historically used stock options and RSUs as incentives for long-term compensation to the named executive officers as the return on such awards is tied to an increase in our stock price. We may grant equity awards at such times as our Board of Directors or compensation committee determines appropriate in their discretion. Additional grants may occur periodically in order to incentivize executives with respect to achieving certain corporate goals or to reward them for exceptional performance.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Prior to the completion of the Merger, all of the equity incentive awards were made pursuant to our 2016 Plan, as amended, or the 2016 Plan. Following the completion of the Merger, all equity incentive awards have been granted under either our 2022 Plan or our 2022 Inducement Plan, or the Inducement Plan.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80"/>
        <w:jc w:val="left"/>
        <w:rPr/>
      </w:pPr>
      <w:hyperlink w:anchor="i04e45f5eecf04a289de970267f3a1cd1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Outstanding Equity Awards at Fiscal Year-End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regarding outstanding equity awards held by our named executive officers as of December 31, 2025:</w:t>
      </w:r>
    </w:p>
    <w:tbl>
      <w:tblPr>
        <w:tblW w:w="17311" w:type="dxa"/>
        <w:jc w:val="left"/>
        <w:tblInd w:w="0" w:type="dxa"/>
        <w:tblLayout w:type="fixed"/>
        <w:tblCellMar>
          <w:top w:w="28" w:type="dxa"/>
          <w:left w:w="28" w:type="dxa"/>
          <w:bottom w:w="28" w:type="dxa"/>
          <w:right w:w="28" w:type="dxa"/>
        </w:tblCellMar>
      </w:tblPr>
      <w:tblGrid>
        <w:gridCol w:w="396"/>
        <w:gridCol w:w="285"/>
        <w:gridCol w:w="265"/>
        <w:gridCol w:w="109"/>
        <w:gridCol w:w="109"/>
        <w:gridCol w:w="109"/>
        <w:gridCol w:w="200"/>
        <w:gridCol w:w="185"/>
        <w:gridCol w:w="186"/>
        <w:gridCol w:w="109"/>
        <w:gridCol w:w="109"/>
        <w:gridCol w:w="109"/>
        <w:gridCol w:w="526"/>
        <w:gridCol w:w="420"/>
        <w:gridCol w:w="420"/>
        <w:gridCol w:w="421"/>
        <w:gridCol w:w="360"/>
        <w:gridCol w:w="361"/>
        <w:gridCol w:w="109"/>
        <w:gridCol w:w="431"/>
        <w:gridCol w:w="395"/>
        <w:gridCol w:w="396"/>
        <w:gridCol w:w="413"/>
        <w:gridCol w:w="413"/>
        <w:gridCol w:w="109"/>
        <w:gridCol w:w="488"/>
        <w:gridCol w:w="488"/>
        <w:gridCol w:w="371"/>
        <w:gridCol w:w="115"/>
        <w:gridCol w:w="115"/>
        <w:gridCol w:w="116"/>
        <w:gridCol w:w="325"/>
        <w:gridCol w:w="325"/>
        <w:gridCol w:w="326"/>
        <w:gridCol w:w="211"/>
        <w:gridCol w:w="616"/>
        <w:gridCol w:w="109"/>
        <w:gridCol w:w="211"/>
        <w:gridCol w:w="616"/>
        <w:gridCol w:w="109"/>
        <w:gridCol w:w="175"/>
        <w:gridCol w:w="175"/>
        <w:gridCol w:w="176"/>
        <w:gridCol w:w="295"/>
        <w:gridCol w:w="295"/>
        <w:gridCol w:w="296"/>
        <w:gridCol w:w="109"/>
        <w:gridCol w:w="109"/>
        <w:gridCol w:w="109"/>
        <w:gridCol w:w="616"/>
        <w:gridCol w:w="286"/>
        <w:gridCol w:w="596"/>
        <w:gridCol w:w="230"/>
        <w:gridCol w:w="231"/>
        <w:gridCol w:w="211"/>
        <w:gridCol w:w="616"/>
        <w:gridCol w:w="109"/>
        <w:gridCol w:w="211"/>
        <w:gridCol w:w="826"/>
        <w:gridCol w:w="154"/>
      </w:tblGrid>
      <w:tr>
        <w:trPr/>
        <w:tc>
          <w:tcPr>
            <w:tcW w:w="39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0" w:type="dxa"/>
            <w:gridSpan w:val="27"/>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Option Awards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02" w:type="dxa"/>
            <w:gridSpan w:val="2"/>
            <w:tcBorders/>
            <w:vAlign w:val="center"/>
          </w:tcPr>
          <w:p>
            <w:pPr>
              <w:pStyle w:val="TableContents"/>
              <w:bidi w:val="0"/>
              <w:spacing w:before="0" w:after="283"/>
              <w:jc w:val="left"/>
              <w:rPr>
                <w:sz w:val="4"/>
                <w:szCs w:val="4"/>
              </w:rPr>
            </w:pPr>
            <w:r>
              <w:rPr>
                <w:sz w:val="4"/>
                <w:szCs w:val="4"/>
              </w:rPr>
            </w:r>
          </w:p>
        </w:tc>
        <w:tc>
          <w:tcPr>
            <w:tcW w:w="3184"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Stock Awards</w:t>
            </w:r>
            <w:r>
              <w:rPr>
                <w:rFonts w:ascii="Times New Roman;serif" w:hAnsi="Times New Roman;serif"/>
                <w:b/>
                <w:color w:val="000000"/>
                <w:sz w:val="10"/>
              </w:rPr>
              <w:t>(1)</w:t>
            </w:r>
          </w:p>
        </w:tc>
      </w:tr>
      <w:tr>
        <w:trPr/>
        <w:tc>
          <w:tcPr>
            <w:tcW w:w="9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Vesting</w:t>
              <w:br/>
              <w:t>Commencement</w:t>
              <w:br/>
              <w:t>Date</w:t>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Securities Underlying Unexercised Options (#) Exercisable</w:t>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Securities</w:t>
              <w:br/>
              <w:t>Underlying</w:t>
              <w:br/>
              <w:t>Unexercised</w:t>
              <w:br/>
              <w:t>Options</w:t>
              <w:br/>
              <w:t>(#)</w:t>
              <w:br/>
              <w:t>Unexercisable</w:t>
            </w:r>
          </w:p>
        </w:tc>
        <w:tc>
          <w:tcPr>
            <w:tcW w:w="3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Equity</w:t>
              <w:br/>
              <w:t>Incentive</w:t>
              <w:br/>
              <w:t>Plan Awards: Number of</w:t>
              <w:br/>
              <w:t>Securities</w:t>
              <w:br/>
              <w:t>Underlying</w:t>
              <w:br/>
              <w:t>Unexercised</w:t>
              <w:br/>
              <w:t>Unearned</w:t>
              <w:br/>
              <w:t>Options</w:t>
              <w:br/>
              <w:t>(#)</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w:t>
              <w:br/>
              <w:t>Exercise</w:t>
              <w:br/>
              <w:t>Price</w:t>
              <w:br/>
              <w:t>($)</w:t>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w:t>
              <w:br/>
              <w:t>Expiration</w:t>
              <w:br/>
              <w:t>Date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02" w:type="dxa"/>
            <w:gridSpan w:val="2"/>
            <w:tcBorders/>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 or Units of Stock That Have Not Vested</w:t>
              <w:br/>
              <w:t>(#)</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Market Value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 or Units of</w:t>
            </w:r>
          </w:p>
          <w:p>
            <w:pPr>
              <w:pStyle w:val="TableContents"/>
              <w:bidi w:val="0"/>
              <w:spacing w:lineRule="auto" w:line="240" w:before="0" w:after="0"/>
              <w:jc w:val="center"/>
              <w:rPr/>
            </w:pPr>
            <w:r>
              <w:rPr>
                <w:rFonts w:ascii="Times New Roman;serif" w:hAnsi="Times New Roman;serif"/>
                <w:b/>
                <w:color w:val="000000"/>
                <w:sz w:val="16"/>
              </w:rPr>
              <w:t>Stock That Have Not Vested ($)</w:t>
            </w:r>
            <w:r>
              <w:rPr>
                <w:rFonts w:ascii="Times New Roman;serif" w:hAnsi="Times New Roman;serif"/>
                <w:b/>
                <w:color w:val="000000"/>
                <w:sz w:val="10"/>
              </w:rPr>
              <w:t>(2)</w:t>
            </w:r>
          </w:p>
        </w:tc>
      </w:tr>
      <w:tr>
        <w:trPr/>
        <w:tc>
          <w:tcPr>
            <w:tcW w:w="9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Lu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1/1/2021</w:t>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45,402</w:t>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12/19/2021</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6/8/2022</w:t>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191,440 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27,344 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12/19/2021</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12/19/2021</w:t>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31,568</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2/1/2023</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2/1/2023</w:t>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44,620 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18,379 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2/2/2024</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2/1/2024</w:t>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21,038 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24,861 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12/20/2024</w:t>
            </w:r>
            <w:r>
              <w:rPr>
                <w:rFonts w:ascii="Times New Roman;serif" w:hAnsi="Times New Roman;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3/31/2025</w:t>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482,538 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1,444,535 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2/1/2024</w:t>
            </w:r>
            <w:r>
              <w:rPr>
                <w:rFonts w:ascii="Times New Roman;serif" w:hAnsi="Times New Roman;serif"/>
                <w:b w:val="false"/>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2/1/2024</w:t>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3/7/2025 </w:t>
            </w:r>
            <w:r>
              <w:rPr>
                <w:rFonts w:ascii="Times New Roman;serif" w:hAnsi="Times New Roman;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3/7/2025</w:t>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642,358 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668,052 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Kanya Rajangam</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7/18/2022</w:t>
            </w:r>
            <w:r>
              <w:rPr>
                <w:rFonts w:ascii="Times New Roman;serif" w:hAnsi="Times New Roman;serif"/>
                <w:b w:val="false"/>
                <w:color w:val="000000"/>
                <w:sz w:val="13"/>
              </w:rPr>
              <w:t>(8)</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7/5/2022</w:t>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7/17/2032</w:t>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Pr>
          <w:p>
            <w:pPr>
              <w:pStyle w:val="TableContents"/>
              <w:bidi w:val="0"/>
              <w:spacing w:before="0" w:after="283"/>
              <w:jc w:val="left"/>
              <w:rPr>
                <w:sz w:val="4"/>
                <w:szCs w:val="4"/>
              </w:rPr>
            </w:pPr>
            <w:r>
              <w:rPr>
                <w:sz w:val="4"/>
                <w:szCs w:val="4"/>
              </w:rPr>
            </w:r>
          </w:p>
        </w:tc>
      </w:tr>
      <w:tr>
        <w:trPr/>
        <w:tc>
          <w:tcPr>
            <w:tcW w:w="9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2/1/2023</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2/1/2023</w:t>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1/31/2033</w:t>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Pr>
          <w:p>
            <w:pPr>
              <w:pStyle w:val="TableContents"/>
              <w:bidi w:val="0"/>
              <w:spacing w:before="0" w:after="283"/>
              <w:jc w:val="left"/>
              <w:rPr>
                <w:sz w:val="4"/>
                <w:szCs w:val="4"/>
              </w:rPr>
            </w:pPr>
            <w:r>
              <w:rPr>
                <w:sz w:val="4"/>
                <w:szCs w:val="4"/>
              </w:rPr>
            </w:r>
          </w:p>
        </w:tc>
      </w:tr>
      <w:tr>
        <w:trPr/>
        <w:tc>
          <w:tcPr>
            <w:tcW w:w="9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2/2/2024</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2/1/2024</w:t>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1/31/2034</w:t>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Pr>
          <w:p>
            <w:pPr>
              <w:pStyle w:val="TableContents"/>
              <w:bidi w:val="0"/>
              <w:spacing w:before="0" w:after="283"/>
              <w:jc w:val="left"/>
              <w:rPr>
                <w:sz w:val="4"/>
                <w:szCs w:val="4"/>
              </w:rPr>
            </w:pPr>
            <w:r>
              <w:rPr>
                <w:sz w:val="4"/>
                <w:szCs w:val="4"/>
              </w:rPr>
            </w:r>
          </w:p>
        </w:tc>
      </w:tr>
      <w:tr>
        <w:trPr/>
        <w:tc>
          <w:tcPr>
            <w:tcW w:w="9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12/20/2024</w:t>
            </w:r>
            <w:r>
              <w:rPr>
                <w:rFonts w:ascii="Times New Roman;serif" w:hAnsi="Times New Roman;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3/31/2025</w:t>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58,865 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176,223 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2/1/2024</w:t>
            </w:r>
            <w:r>
              <w:rPr>
                <w:rFonts w:ascii="Times New Roman;serif" w:hAnsi="Times New Roman;serif"/>
                <w:b w:val="false"/>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2/1/2024</w:t>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Pr>
          <w:p>
            <w:pPr>
              <w:pStyle w:val="TableContents"/>
              <w:bidi w:val="0"/>
              <w:spacing w:before="0" w:after="283"/>
              <w:jc w:val="left"/>
              <w:rPr>
                <w:sz w:val="4"/>
                <w:szCs w:val="4"/>
              </w:rPr>
            </w:pPr>
            <w:r>
              <w:rPr>
                <w:sz w:val="4"/>
                <w:szCs w:val="4"/>
              </w:rPr>
            </w:r>
          </w:p>
        </w:tc>
      </w:tr>
      <w:tr>
        <w:trPr/>
        <w:tc>
          <w:tcPr>
            <w:tcW w:w="9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3/7/2025 </w:t>
            </w:r>
            <w:r>
              <w:rPr>
                <w:rFonts w:ascii="Times New Roman;serif" w:hAnsi="Times New Roman;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3/7/2025</w:t>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78,363 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Jay Cross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3/7/2025 </w:t>
            </w:r>
            <w:r>
              <w:rPr>
                <w:rFonts w:ascii="Times New Roman;serif" w:hAnsi="Times New Roman;serif"/>
                <w:b w:val="false"/>
                <w:color w:val="000000"/>
                <w:sz w:val="13"/>
              </w:rPr>
              <w:t>(8)</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3/3/2025</w:t>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3/6/2035</w:t>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80"/>
        <w:jc w:val="left"/>
        <w:rPr/>
      </w:pPr>
      <w:hyperlink w:anchor="i04e45f5eecf04a289de970267f3a1cd1_10">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3186"/>
        <w:gridCol w:w="2761"/>
        <w:gridCol w:w="39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6"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39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Amounts reported have been retroactively adjusted to reflect the 1-for-10 reverse stock split effected on July 17, 2024.</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amounts reported in this column reflect the number of unvested shares multiplied by $1.04, which was the closing market price of our common stock on December 31, 2025, the last trading day of fiscal year 2025.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shares underlying this option were subject to both time-based and performance-based vesting conditions. 100% of the shares underlying the option satisfied the performance based vesting condition upon consummation of the Merger. The shares underlying the option shall satisfy the time-based vesting condition as follows: 25% on the one-year anniversary of the vesting commencement date and the remainder vest in 36 equal monthly installments thereafter, subject to the named executive officer’s continued service relationship through the applicable vesting date.</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shares underlying this option are subject to the service-based and market-based vesting conditions. The market-based vesting conditions are satisfied upon attainment of certain share prices, or hurdle prices, for 20 out of 30 consecutive trading days. The hurdle prices are $148.20, $197.80, $247.30 and $296.90, which each relate to 25% of the option shares. Upon the date that the market-based hurdles are satisfied, 50% of the applicable shares vest on the later of such date or the first anniversary of the vesting commencement date, and the remaining 50% of the shares vest on the later of the earned date or the second anniversary of the vesting commencement date, in each case subject to Dr. Lu’s continued service relationship.</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shares underlying this option vest in 48 substantially equal monthly installments over four years from the vesting commencement date, subject to the named executive officer’s continued employment through the applicable vesting date.</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(6)</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Each Contingent Grant will vest and be earned over four years, with 3/48th of the Contingent Grant vesting on March 31, 2025 and the remainder vesting in 45 equal monthly installments thereafter, subject to the grantee’s continued service through the applicable vesting date.</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(7)</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All of the shares underlying this RSU will vest in three equal annual installments following the vesting commencement date, subject to the named executive officer’s continued employment.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(8)</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25% of the shares underlying this option vest on the one-year anniversary of the vesting commencement date and the remainder vest in 36 equal monthly installments thereafter, subject to the named executive officer’s continued employment through the applicable vesting date.</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80"/>
        <w:jc w:val="left"/>
        <w:rPr/>
      </w:pPr>
      <w:hyperlink w:anchor="i04e45f5eecf04a289de970267f3a1cd1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Equity Grant Timing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compensation committee has generally granted annual equity awards, including stock option grants to our named executive officers, in February of each year. In addition, new hires receive stock option grants at the time of their hiring. During 2025, our compensation committee did not take into account any material nonpublic information when determining the timing and terms of equity incentive awards, and we did not time the disclosure of material nonpublic information for the purpose of affecting the value of executive compensation. During 2025, we did not grant stock options to our named executive officers during any period beginning four business days before and ending one business day after the filing or furnishing of a Form 10-Q, 10-K or 8-K that discloses material nonpublic information.</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Pension and Retirement Benefits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named executive officers did not participate in, or otherwise receive any benefits under, any pension or defined benefit retirement plan sponsored by us during the fiscal year ended December 31, 2025.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Nonqualified Deferred Compensation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named executive officers did not participate in, or earn any benefits under, any nonqualified deferred compensation plan sponsored by the Company during the fiscal year ended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Employment Arrangements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have entered into employment offer letters with each of our named executive officers who are employees, which generally provide for at-will employment without any specific term and set forth the named executive officer’s initial base salary and eligibility for employee benefits. Each of our named executive officers has executed a form of our standard confidential information and inventions assignment agreement.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each of our named executive officers is entitled to certain severance benefits pursuant to their employment offer letters (or, for Dr. Lu, a Severance and Change in Control Agreement), the terms of which are described under the section titled “Potential Payments and Benefits upon Termination or Change in Control” below.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Offer Letter with Timothy Lu, M.D., Ph.D.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2018, we entered into an employment letter agreement with Dr. Lu, which sets forth the terms of his employment with Senti. Pursuant to his offer letter, Dr. Lu was initially entitled to an annual base salary of $400,000, a signing bonus of $168,333, and a discretionary annual target bonus equal to 40% of his base salary, contingent upon the achievement of performance objectives established by our Board of Directors. Dr. Lu is also eligible to participate in our employee benefits plans generally available to our employees, subject to the terms of such plans.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Agreement with Kanya Rajangam, M.D., Ph.D. </w:t>
      </w:r>
    </w:p>
    <w:p>
      <w:pPr>
        <w:pStyle w:val="TextBody"/>
        <w:bidi w:val="0"/>
        <w:spacing w:lineRule="auto" w:line="288" w:before="0" w:after="180"/>
        <w:jc w:val="left"/>
        <w:rPr/>
      </w:pPr>
      <w:r>
        <w:rPr>
          <w:rFonts w:ascii="Times New Roman;serif" w:hAnsi="Times New Roman;serif"/>
          <w:b w:val="false"/>
          <w:color w:val="000000"/>
          <w:sz w:val="20"/>
        </w:rPr>
        <w:t>In May 2022, we entered into an employment offer letter with Dr. Rajangam, which sets forth the terms of her employment with Senti. Pursuant to her offer letter, Dr. Rajangam was initially entitled to an annual base salary of $490,000, a signing bonus of $90,000, and a discretionary annual target bonus equal to 40% of her base salary, contingent upon the achievement of performance objectives established by our Board of Directors or compensation committee. Additionally, subject to approval of our Board of Directors, Dr. Rajangam was eligible to receive an option to purchase 0.75% of our issued and outstanding shares as of immediately following the closing of the Merger, which option vests over a four-year period subject to her continuous service. Dr. Rajangam is also eligible to participate in our employee benefit plans generally available to our employees, subject to the terms of such plans. Dr. Rajangam’s offer letter also includes severance benefits, as described under the section titled “</w:t>
      </w:r>
      <w:r>
        <w:rPr>
          <w:rFonts w:ascii="Times New Roman;serif" w:hAnsi="Times New Roman;serif"/>
          <w:b w:val="false"/>
          <w:i/>
          <w:color w:val="000000"/>
          <w:sz w:val="20"/>
        </w:rPr>
        <w:t>Potential Payments and Benefits upon Termination or Change in Control</w:t>
      </w:r>
      <w:r>
        <w:rPr>
          <w:color w:val="000000"/>
        </w:rPr>
        <w:t xml:space="preserve">” </w:t>
      </w:r>
      <w:r>
        <w:rPr>
          <w:rFonts w:ascii="Times New Roman;serif" w:hAnsi="Times New Roman;serif"/>
          <w:b w:val="false"/>
          <w:color w:val="000000"/>
          <w:sz w:val="20"/>
        </w:rPr>
        <w:t xml:space="preserve">below.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Offer Letter with Jay Cross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180"/>
        <w:jc w:val="left"/>
        <w:rPr/>
      </w:pPr>
      <w:hyperlink w:anchor="i04e45f5eecf04a289de970267f3a1cd1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pPr>
      <w:r>
        <w:rPr>
          <w:rFonts w:ascii="Times New Roman;serif" w:hAnsi="Times New Roman;serif"/>
          <w:b w:val="false"/>
          <w:color w:val="000000"/>
          <w:sz w:val="20"/>
        </w:rPr>
        <w:t>On February 23, 2025, we entered into an offer letter with Mr. Cross, which sets forth the terms of his employment with Senti. Pursuant to his offer letter, Mr. Cross receives an annual base salary of $465,000, is eligible for an annual discretionary bonus equal to 40% of his annual base salary, a one-time sign-on bonus of $50,000 (repayable if Mr. Cross terminates employment with us prior to May 3, 2026 except in certain instances as provided in the offer letter. Further, pursuant to the terms of his offer letter, Mr. Cross received an option to purchase 174,200 shares of the Company’s common stock under the Inducement Plan, which option vests over a four-year period, subject to his continuous service. Mr. Cross is also eligible to participate in our employee benefit plans generally available to our employees, subject to the terms of such plans. Mr. Cross’ offer letter also includes severance benefits, as described under the section titled “</w:t>
      </w:r>
      <w:r>
        <w:rPr>
          <w:rFonts w:ascii="Times New Roman;serif" w:hAnsi="Times New Roman;serif"/>
          <w:b w:val="false"/>
          <w:i/>
          <w:color w:val="000000"/>
          <w:sz w:val="20"/>
        </w:rPr>
        <w:t>Potential Payments and Benefits upon Termination or Change in Control</w:t>
      </w:r>
      <w:r>
        <w:rPr>
          <w:color w:val="000000"/>
        </w:rPr>
        <w:t xml:space="preserve">” </w:t>
      </w:r>
      <w:r>
        <w:rPr>
          <w:rFonts w:ascii="Times New Roman;serif" w:hAnsi="Times New Roman;serif"/>
          <w:b w:val="false"/>
          <w:color w:val="000000"/>
          <w:sz w:val="20"/>
        </w:rPr>
        <w:t xml:space="preserve">below.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Consulting Agreement with Ms. Li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May 2024, we entered into a consulting agreement with Yvonne Li, which sets forth the terms of her engagement with Senti as our Interim Chief Financial Officer. Pursuant to the consulting agreement, Ms. Li was initially entitled to receive consulting fees of $350 per hour in cash for services performed, with a maximum aggregate payment of $370,000 for services through November 1, 2024. Effective November 1, 2024, Ms. Li was entitled to receive consulting fees of $390 per hour in cash for services performed, with a maximum aggregate payment of $220,000 for services from November 1, 2024 through January 31, 2025. The consulting agreement had a one year term, unless extended by our Board of Directors and Ms. Li. Effective as of January 31, 2025, Ms. Li is no longer our principal financial officer and principal accounting officer following the expiry of her consulting agreement on its terms. Pursuant to the consulting agreement entered by and between Ms. Li and us, effective February 5, 2025, she served as a consultant until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Potential Payments and Benefits upon Termination or Change in Control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Regardless of the manner in which a named executive officer’s employment with us terminates, the named executive officer is entitled to receive amounts earned during his or her term of service, including salary and accrued unused vacation pay.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Termination Payments and Benefits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July 2022, we entered into a Severance and Change in Control Agreement with Dr. Lu, which sets forth the terms of his severance benefits and supersedes the severance benefits to which he was previously entitled to under his employment offer letter.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Dr. Lu’s Severance and Change in Control Agreement, Dr. Rajangam’s offer letter and Mr. Cross’ offer letter, each of Drs. Lu and Rajangam and Mr. Cross are eligible to receive the following severance payments and benefits, in accordance with the terms and conditions of their respective Severance and Change in Control Agreement or offer letter, upon a termination without “cause” or upon resignation for “good reason”, or qualifying termination, contingent upon the named executive officer’s timely delivery to the Company of an effective release of claims: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In the event of a qualifying termination, Dr. Lu is entitled to severance equal to (i) 12 months of his then current base salary, (ii) the prorated portion of his target annual bonus, (iii) all earned but unpaid annual bonus for the calendar year prior to the year in which his employment terminated, and (iv) up to 12 months of continued group health plan benefits at levels in effect at the time of termination. In lieu of the foregoing payments and benefits, if such qualifying termination occurs within 3 months before or 12 months after a “change of control”, then Dr. Lu is entitled to severance equal to (i) 18 months of his then current base salary, (ii) his target annual bonus for the year of termination, (iii) all earned but unpaid annual bonus for the calendar year prior to the year in which his employment terminated, (iv) up to 18 months of continued group health plan benefits at levels in effect at the time of termination, and (v) accelerated vesting of all outstanding time-based equity awards (and the time-based vesting conditions of equity awards which vest by a combination of time-based and performance-based vesting conditions) held by Dr. Lu.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180"/>
        <w:jc w:val="left"/>
        <w:rPr/>
      </w:pPr>
      <w:hyperlink w:anchor="i04e45f5eecf04a289de970267f3a1cd1_10">
        <w:r>
          <w:rPr>
            <w:rStyle w:val="InternetLink"/>
            <w:rFonts w:ascii="Times New Roman;serif" w:hAnsi="Times New Roman;serif"/>
            <w:b/>
            <w:color w:val="0000FF"/>
            <w:sz w:val="20"/>
            <w:u w:val="single"/>
          </w:rPr>
          <w:t>Table of Contents</w:t>
        </w:r>
      </w:hyperlink>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In the event of a qualifying termination, Dr. Rajangam and Mr. Cross are each entitled to severance equal to (i) 9 months of their then current base salary, (ii) all earned but unpaid bonus for the calendar year prior to the year in which their employment terminated, and (iii) up to 9 months of continued group health plan benefits at levels in effect at the time of termination. In lieu of the foregoing payments and benefits, if such qualifying termination occurs within 3 months before or 12 months after a “change of control”, then Dr. Rajangam and Mr. Cross are each entitled to severance equal to (i) 12 months of their then current base salary, (ii) their target annual bonus for the year of termination, (iii) all earned but unpaid annual bonus for the calendar year prior to the year in which their employment terminated, (iv) up to 18 months of continued group health plan benefits at levels in effect at the time of termination, and (v) accelerated vesting of the time-based equity awards (and the time-based vesting conditions of equity awards which vest by a combination of time-based and performance-based vesting conditions) held by each such named executive officer.</w: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payments and benefits provided to our named executive officers in connection with a change of control may not be eligible for a federal income tax deduction pursuant to Section 280G of the Internal Revenue Code of 1986, as amended, or the Code. These payments and benefits may also subject the named executive officers to an excise tax under Section 4999 of the Code. If the payments and benefits payable to Drs. Lu or Rajangam or Mr. Cross in connection with a change of control would subject them to the excise tax imposed under Section 4999 of the Code, such severance benefits will be reduced if such reduction would result in a higher net after-tax benefit to such named executive officer.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 the purposes of our named executive officers’ severance benefits, the following definitions apply: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cause” generally means the occurrence of any of the following: (i) the executive’s material breach of their employment offer letter; (ii) any act (other than retirement) or omission which has a material and adverse effect on our business, or on the executive’s ability to perform services for us, including the commission of any crime (other than minor traffic violations); or (iii) material misconduct or material neglect of the executive’s duties in connection with our business or affairs. </w:t>
      </w:r>
    </w:p>
    <w:p>
      <w:pPr>
        <w:pStyle w:val="TextBody"/>
        <w:bidi w:val="0"/>
        <w:spacing w:lineRule="auto" w:line="288" w:before="0" w:after="180"/>
        <w:jc w:val="left"/>
        <w:rPr/>
      </w:pPr>
      <w:r>
        <w:rPr>
          <w:color w:val="000000"/>
        </w:rPr>
        <w:t>•</w:t>
      </w:r>
      <w:r>
        <w:rPr>
          <w:color w:val="000000"/>
        </w:rPr>
        <w:t>“</w:t>
      </w:r>
      <w:r>
        <w:rPr>
          <w:rFonts w:ascii="Times New Roman;serif" w:hAnsi="Times New Roman;serif"/>
          <w:b w:val="false"/>
          <w:color w:val="000000"/>
          <w:sz w:val="20"/>
        </w:rPr>
        <w:t>change of control” has the meaning set forth in our 2022 Plan (excluding consummation of the Merger).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good reason” generally means the executive’s termination of their own employment because of any of the following: (i) our breach of any one or more of the material provisions of the executive’s employment offer letter; (ii) a material reduction by us of their annual base salary, unless they consent to such reduction or unless such reduction is applied equally, as a percentage of base salary, to all our senior executives; (iii) a material change in the geographic location at which they are required to provide services; or (iv) a material adverse change in their duties, authority, or responsibilities relative to their duties, authority, or responsibilities in effect immediately prior to such reduction (other than a change in title and provided that a change in title, reporting lines or position in connection with a change of control will not, in itself, be deemed to be a change in duties, authority or responsibility); provided, however, that the executive comply with notice and cure periods set forth in the applicable employment offer letter or Severance and Change in Control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Health and Welfare and Retirement Benefits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Health and Welfare Benefits and Perquisites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All of our current named executive officers who are employees are eligible to participate in our health and welfare employee benefit plans generally available to our employees, including our medical, dental, vision, disability and life insurance plans, in each case on the same basis as all of our other employees. We pay the premiums for the life, disability and accidental death and dismemberment insurance for all of our employees, including our named executive officers. We generally do not provide perquisites or personal benefits to our named executive officers.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401(k)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180"/>
        <w:jc w:val="left"/>
        <w:rPr/>
      </w:pPr>
      <w:hyperlink w:anchor="i04e45f5eecf04a289de970267f3a1cd1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currently maintain a 401(k) retirement savings plan for our employees, including our named executive officers, who satisfy certain eligibility requirements. Our 401(k) plan is intended to qualify as a tax-qualified plan under the Code. Our named executive officers are eligible to participate in the 401(k) plan on the same basis as our other employees. The Code allows eligible employees to defer a portion of their compensation, within prescribed limits, on a pre-tax basis through contributions to the 401(k) plan. We currently provide matching 401(k) contributions to participants in the 401(k) plan, including our named executive officers.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180"/>
        <w:jc w:val="left"/>
        <w:rPr/>
      </w:pPr>
      <w:hyperlink w:anchor="i04e45f5eecf04a289de970267f3a1cd1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Equity Compensation Plan Information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as of December 31, 2025 with respect to the shares of our common stock that may be issued under our existing equity compensation plans:</w:t>
      </w:r>
    </w:p>
    <w:tbl>
      <w:tblPr>
        <w:tblW w:w="10205" w:type="dxa"/>
        <w:jc w:val="left"/>
        <w:tblInd w:w="0" w:type="dxa"/>
        <w:tblLayout w:type="fixed"/>
        <w:tblCellMar>
          <w:top w:w="28" w:type="dxa"/>
          <w:left w:w="28" w:type="dxa"/>
          <w:bottom w:w="28" w:type="dxa"/>
          <w:right w:w="28" w:type="dxa"/>
        </w:tblCellMar>
      </w:tblPr>
      <w:tblGrid>
        <w:gridCol w:w="719"/>
        <w:gridCol w:w="631"/>
        <w:gridCol w:w="634"/>
        <w:gridCol w:w="109"/>
        <w:gridCol w:w="109"/>
        <w:gridCol w:w="109"/>
        <w:gridCol w:w="939"/>
        <w:gridCol w:w="664"/>
        <w:gridCol w:w="666"/>
        <w:gridCol w:w="109"/>
        <w:gridCol w:w="109"/>
        <w:gridCol w:w="109"/>
        <w:gridCol w:w="411"/>
        <w:gridCol w:w="1203"/>
        <w:gridCol w:w="215"/>
        <w:gridCol w:w="109"/>
        <w:gridCol w:w="109"/>
        <w:gridCol w:w="109"/>
        <w:gridCol w:w="914"/>
        <w:gridCol w:w="914"/>
        <w:gridCol w:w="917"/>
        <w:gridCol w:w="114"/>
        <w:gridCol w:w="114"/>
        <w:gridCol w:w="169"/>
      </w:tblGrid>
      <w:tr>
        <w:trPr/>
        <w:tc>
          <w:tcPr>
            <w:tcW w:w="71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9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Plan Category</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 </w:t>
            </w:r>
          </w:p>
        </w:tc>
        <w:tc>
          <w:tcPr>
            <w:tcW w:w="226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Number of securities to be issued upon exercise of outstanding options, warrants and rights</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 </w:t>
            </w:r>
          </w:p>
        </w:tc>
        <w:tc>
          <w:tcPr>
            <w:tcW w:w="1829"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16"/>
              </w:rPr>
              <w:t>Weighted average exercise price of outstanding options, warrants and rights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 </w:t>
            </w:r>
          </w:p>
        </w:tc>
        <w:tc>
          <w:tcPr>
            <w:tcW w:w="27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Number of securities remaining available for future issuance under equity compensation plans (excluding securities reflected in first column)</w:t>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 xml:space="preserve">Equity compensation plans approved by security holders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 </w:t>
            </w:r>
          </w:p>
        </w:tc>
        <w:tc>
          <w:tcPr>
            <w:tcW w:w="16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5,588,243 </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68" w:before="0" w:after="40"/>
              <w:jc w:val="left"/>
              <w:rPr>
                <w:rFonts w:ascii="Times New Roman;serif" w:hAnsi="Times New Roman;serif"/>
                <w:b w:val="false"/>
                <w:color w:val="000000"/>
                <w:sz w:val="16"/>
              </w:rPr>
            </w:pPr>
            <w:r>
              <w:rPr>
                <w:rFonts w:ascii="Times New Roman;serif" w:hAnsi="Times New Roman;serif"/>
                <w:b w:val="false"/>
                <w:color w:val="000000"/>
                <w:sz w:val="16"/>
              </w:rPr>
              <w:t>(3)</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11.44 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color w:val="000000"/>
              </w:rPr>
            </w:pPr>
            <w:r>
              <w:rPr>
                <w:color w:val="000000"/>
              </w:rPr>
              <w:t> </w:t>
            </w:r>
          </w:p>
        </w:tc>
        <w:tc>
          <w:tcPr>
            <w:tcW w:w="2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588655</w:t>
            </w:r>
          </w:p>
        </w:tc>
        <w:tc>
          <w:tcPr>
            <w:tcW w:w="397" w:type="dxa"/>
            <w:gridSpan w:val="3"/>
            <w:tcBorders/>
            <w:shd w:fill="CCEEFF" w:val="clear"/>
            <w:tcMar>
              <w:top w:w="0" w:type="dxa"/>
              <w:left w:w="0" w:type="dxa"/>
              <w:bottom w:w="0" w:type="dxa"/>
              <w:right w:w="0" w:type="dxa"/>
            </w:tcMar>
            <w:vAlign w:val="center"/>
          </w:tcPr>
          <w:p>
            <w:pPr>
              <w:pStyle w:val="TableContents"/>
              <w:bidi w:val="0"/>
              <w:spacing w:lineRule="auto" w:line="268" w:before="0" w:after="40"/>
              <w:jc w:val="left"/>
              <w:rPr>
                <w:rFonts w:ascii="Times New Roman;serif" w:hAnsi="Times New Roman;serif"/>
                <w:b w:val="false"/>
                <w:color w:val="000000"/>
                <w:sz w:val="13"/>
              </w:rPr>
            </w:pPr>
            <w:r>
              <w:rPr>
                <w:rFonts w:ascii="Times New Roman;serif" w:hAnsi="Times New Roman;serif"/>
                <w:b w:val="false"/>
                <w:color w:val="000000"/>
                <w:sz w:val="13"/>
              </w:rPr>
              <w:t>(4)(5)</w:t>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 xml:space="preserve">Equity compensation plans not approved by security holders </w:t>
            </w:r>
            <w:r>
              <w:rPr>
                <w:rFonts w:ascii="Times New Roman;serif" w:hAnsi="Times New Roman;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 </w:t>
            </w:r>
          </w:p>
        </w:tc>
        <w:tc>
          <w:tcPr>
            <w:tcW w:w="160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377,037 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color w:val="000000"/>
              </w:rPr>
            </w:pPr>
            <w:r>
              <w:rPr>
                <w:color w:val="000000"/>
              </w:rPr>
              <w:t> </w:t>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124,098</w:t>
            </w:r>
          </w:p>
        </w:tc>
        <w:tc>
          <w:tcPr>
            <w:tcW w:w="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 </w:t>
            </w:r>
          </w:p>
        </w:tc>
        <w:tc>
          <w:tcPr>
            <w:tcW w:w="160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5,965,280 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color w:val="000000"/>
              </w:rPr>
            </w:pP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3"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10.99 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color w:val="000000"/>
              </w:rPr>
            </w:pPr>
            <w:r>
              <w:rPr>
                <w:color w:val="000000"/>
              </w:rPr>
              <w:t> </w:t>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350,285</w:t>
            </w:r>
          </w:p>
        </w:tc>
        <w:tc>
          <w:tcPr>
            <w:tcW w:w="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3114"/>
        <w:gridCol w:w="2785"/>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4"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weighted average exercise price is calculated based solely on outstanding stock options.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Includes our 2016 Plan, our 2022 Plan, and our 2022 Employee Stock Purchase Plan, or the ESPP.</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Amount does not include any purchase rights under our ESPP. Offerings under our ESPP have been suspended until further notice.</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December 31, 2025, a total of 460,974 shares of our common stock were available for issuance under our 2022 Plan. Our 2022 Plan provides that on the first day of each year commencing January 1, 2023, the number of shares reserved for issuance under our 2022 Plan will automatically increase by 5% of the outstanding number of shares of our common stock on the last day of the preceding calendar year or such lesser number of shares as approved by our Board of Directors prior to the effective date of the annual increase. As a result of such automatic annual increase, 241,472 shares were added to the number of shares available for issuance under our 2022 Plan on January 1, 2025. The shares of common stock underlying any awards that are forfeited, cancelled, held back upon exercise or settlement of an award to satisfy the exercise price or tax withholding, reacquired by us prior to vesting, satisfied without the issuance of stock, expire or are otherwise terminated, other than by exercise, under our 2022 Plan (or under rollover options from the Merger) will be added back to the shares of common stock available for issuance under the 2022 Plan. The Company no longer makes grants under the 2016 Plan.</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December 31, 2025, a total of 127,681 shares of our common stock were available for issuance under our ESPP. Our ESPP provides that on the first day of each year commencing January 1, 2023, the number of shares reserved for issuance under our ESPP will automatically increase by the lesser of 1% of the outstanding number of shares of our common stock on the last day of the preceding calendar year, 1,000,000 shares, or such lesser number of shares as determined by our Board of Directors prior to the effective date of the annual increase. As a result of such automatic increase, 48,294 shares were added to the number of shares available for issuance under our ESPP on January 1, 2025.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(6)</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Inducement Plan is a non-stockholder approved plan which was adopted by our Board of Directors in 2022, amended by our Board of Directors on March 7, 2025, and is intended to satisfy the requirements of Nasdaq Listing Rul 5635(c)(4) or any successor thereto. Nonstatutory stock options, stock appreciation rights, restricted stock, restricted stock units and performance awards may be granted under the Inducement Plan to new employees of the Company. Our Board of Directors has authorized 2,500,000 shares of our common stock for issuance under the Inducement Plan. Additional features of the Inducement Plan are described in Note 7 to our consolidated financial statements included in our Annual Report on Form 10-K, filed with the SEC on March 27, 2026, as amended and filed with the SEC on April 29, 2026.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180"/>
        <w:jc w:val="left"/>
        <w:rPr/>
      </w:pPr>
      <w:hyperlink w:anchor="i04e45f5eecf04a289de970267f3a1cd1_10">
        <w:r>
          <w:rPr>
            <w:rStyle w:val="InternetLink"/>
            <w:rFonts w:ascii="Times New Roman;serif" w:hAnsi="Times New Roman;serif"/>
            <w:b/>
            <w:color w:val="0000FF"/>
            <w:sz w:val="20"/>
            <w:u w:val="single"/>
          </w:rPr>
          <w:t>Table of Contents</w:t>
        </w:r>
      </w:hyperlink>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to the extent known by us or ascertainable from public filings, with respect to the beneficial ownership of our common stock as of March 27, 2026:</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each of our directors;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each of our named executive officers;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all of our directors and executive officers as a group;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each person, or group of affiliated persons, who is known by us to beneficially own greater than 5.0% of our outstanding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column entitled “Shares Beneficially Owned” is based on a total of 31,144,754 shares of our common stock outstanding as of March 27, 2026.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Beneficial ownership is determined in accordance with the rules and regulations of the SEC and includes voting or investment power with respect to our common stock. Shares of our common stock subject to options that are currently exercisable or exercisable within 60 days of March 27, 2026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investing power with respect to all of the shares of our common stock beneficially owned by them, subject to community property laws, where applicable. Except as otherwise indicated in the table below, addresses of named beneficial owners are in care of Senti Biosciences, Inc., 2 Corporate Drive, First Floor, South San Francisco, CA 94080.</w:t>
      </w:r>
    </w:p>
    <w:tbl>
      <w:tblPr>
        <w:tblW w:w="8371" w:type="dxa"/>
        <w:jc w:val="left"/>
        <w:tblInd w:w="0" w:type="dxa"/>
        <w:tblLayout w:type="fixed"/>
        <w:tblCellMar>
          <w:top w:w="28" w:type="dxa"/>
          <w:left w:w="28" w:type="dxa"/>
          <w:bottom w:w="28" w:type="dxa"/>
          <w:right w:w="28" w:type="dxa"/>
        </w:tblCellMar>
      </w:tblPr>
      <w:tblGrid>
        <w:gridCol w:w="1850"/>
        <w:gridCol w:w="1621"/>
        <w:gridCol w:w="1629"/>
        <w:gridCol w:w="109"/>
        <w:gridCol w:w="109"/>
        <w:gridCol w:w="109"/>
        <w:gridCol w:w="488"/>
        <w:gridCol w:w="488"/>
        <w:gridCol w:w="231"/>
        <w:gridCol w:w="184"/>
        <w:gridCol w:w="184"/>
        <w:gridCol w:w="184"/>
        <w:gridCol w:w="307"/>
        <w:gridCol w:w="309"/>
        <w:gridCol w:w="569"/>
      </w:tblGrid>
      <w:tr>
        <w:trPr/>
        <w:tc>
          <w:tcPr>
            <w:tcW w:w="1850"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4"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Shares beneficially owned</w:t>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4"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Common Stock</w:t>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16"/>
              </w:rPr>
              <w:t>Name and address of beneficial owner</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Number</w:t>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51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Directors and Named Executive Officers: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20"/>
              </w:rPr>
              <w:t>Timothy Lu, M.D., Ph.D.</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1,141,294 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569"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20"/>
              </w:rPr>
              <w:t>Kanya Rajangam, M.D., Ph.D.</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161,974 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20"/>
              </w:rPr>
              <w:t xml:space="preserve">Jay Cross </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50,808 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20"/>
              </w:rPr>
              <w:t xml:space="preserve">Bryan Baum </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12,194 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20"/>
              </w:rPr>
              <w:t xml:space="preserve">James J. (Jim) Collins </w:t>
            </w:r>
            <w:r>
              <w:rPr>
                <w:rFonts w:ascii="Times New Roman;serif" w:hAnsi="Times New Roman;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87,569 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20"/>
              </w:rPr>
              <w:t xml:space="preserve">Brenda Cooperstone </w:t>
            </w:r>
            <w:r>
              <w:rPr>
                <w:rFonts w:ascii="Times New Roman;serif" w:hAnsi="Times New Roman;serif"/>
                <w:b w:val="false"/>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72,043 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20"/>
              </w:rPr>
              <w:t xml:space="preserve">Edward Mathers </w:t>
            </w:r>
            <w:r>
              <w:rPr>
                <w:rFonts w:ascii="Times New Roman;serif" w:hAnsi="Times New Roman;serif"/>
                <w:b w:val="false"/>
                <w:color w:val="000000"/>
                <w:sz w:val="13"/>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68,900 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20"/>
              </w:rPr>
              <w:t>Fran Schulz</w:t>
            </w:r>
            <w:r>
              <w:rPr>
                <w:rFonts w:ascii="Times New Roman;serif" w:hAnsi="Times New Roman;serif"/>
                <w:b w:val="false"/>
                <w:color w:val="000000"/>
                <w:sz w:val="13"/>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49,804 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20"/>
              </w:rPr>
              <w:t>Donald Tang</w:t>
            </w:r>
            <w:r>
              <w:rPr>
                <w:rFonts w:ascii="Times New Roman;serif" w:hAnsi="Times New Roman;serif"/>
                <w:b w:val="false"/>
                <w:color w:val="000000"/>
                <w:sz w:val="13"/>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60,172 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20"/>
              </w:rPr>
              <w:t>Feng Hsiung</w:t>
            </w:r>
            <w:r>
              <w:rPr>
                <w:rFonts w:ascii="Times New Roman;serif" w:hAnsi="Times New Roman;serif"/>
                <w:b w:val="false"/>
                <w:color w:val="000000"/>
                <w:sz w:val="13"/>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17,078 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20"/>
              </w:rPr>
              <w:t>All executive officers and directors as a group (11 persons)</w:t>
            </w:r>
            <w:r>
              <w:rPr>
                <w:rFonts w:ascii="Times New Roman;serif" w:hAnsi="Times New Roman;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1,721,836 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569"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5 Percent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20"/>
              </w:rPr>
              <w:t>Celadon Partners SPV 24</w:t>
            </w:r>
            <w:r>
              <w:rPr>
                <w:rFonts w:ascii="Times New Roman;serif" w:hAnsi="Times New Roman;serif"/>
                <w:b w:val="false"/>
                <w:color w:val="000000"/>
                <w:sz w:val="13"/>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9,777,000 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31.39 </w:t>
            </w:r>
          </w:p>
        </w:tc>
        <w:tc>
          <w:tcPr>
            <w:tcW w:w="569"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20"/>
              </w:rPr>
              <w:t>Entities Affiliated with NEA</w:t>
            </w:r>
            <w:r>
              <w:rPr>
                <w:rFonts w:ascii="Times New Roman;serif" w:hAnsi="Times New Roman;serif"/>
                <w:b w:val="false"/>
                <w:color w:val="000000"/>
                <w:sz w:val="13"/>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3,775,615 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12.12 </w:t>
            </w:r>
          </w:p>
        </w:tc>
        <w:tc>
          <w:tcPr>
            <w:tcW w:w="569"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20"/>
              </w:rPr>
              <w:t>Bayer Healthcare LLC</w:t>
            </w:r>
            <w:r>
              <w:rPr>
                <w:rFonts w:ascii="Times New Roman;serif" w:hAnsi="Times New Roman;serif"/>
                <w:b w:val="false"/>
                <w:color w:val="000000"/>
                <w:sz w:val="13"/>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2,809,848 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569"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20"/>
              </w:rPr>
              <w:t>Nantahala Capital Management, LLC.</w:t>
            </w:r>
            <w:r>
              <w:rPr>
                <w:rFonts w:ascii="Times New Roman;serif" w:hAnsi="Times New Roman;serif"/>
                <w:b w:val="false"/>
                <w:color w:val="000000"/>
                <w:sz w:val="13"/>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2,722,500 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569"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20"/>
              </w:rPr>
              <w:t>PharmaEssentia Corp.</w:t>
            </w:r>
            <w:r>
              <w:rPr>
                <w:rFonts w:ascii="Times New Roman;serif" w:hAnsi="Times New Roman;serif"/>
                <w:b w:val="false"/>
                <w:color w:val="000000"/>
                <w:sz w:val="13"/>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2,111,000 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569"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*Represents beneficial ownership of less than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180"/>
        <w:jc w:val="left"/>
        <w:rPr/>
      </w:pPr>
      <w:hyperlink w:anchor="i04e45f5eecf04a289de970267f3a1cd1_10">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44"/>
        <w:gridCol w:w="126"/>
        <w:gridCol w:w="128"/>
        <w:gridCol w:w="2881"/>
        <w:gridCol w:w="2868"/>
        <w:gridCol w:w="4058"/>
      </w:tblGrid>
      <w:tr>
        <w:trPr/>
        <w:tc>
          <w:tcPr>
            <w:tcW w:w="14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4058" w:type="dxa"/>
            <w:tcBorders/>
            <w:vAlign w:val="center"/>
          </w:tcPr>
          <w:p>
            <w:pPr>
              <w:pStyle w:val="TableContents"/>
              <w:bidi w:val="0"/>
              <w:spacing w:before="0" w:after="283"/>
              <w:jc w:val="left"/>
              <w:rPr>
                <w:sz w:val="4"/>
                <w:szCs w:val="4"/>
              </w:rPr>
            </w:pPr>
            <w:r>
              <w:rPr>
                <w:sz w:val="4"/>
                <w:szCs w:val="4"/>
              </w:rPr>
            </w:r>
          </w:p>
        </w:tc>
      </w:tr>
      <w:tr>
        <w:trPr/>
        <w:tc>
          <w:tcPr>
            <w:tcW w:w="398"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80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Unless otherwise noted, the business address of each of the individuals and entities listed in the table above is c/o Senti Biosciences, Inc., 2 Corporate Drive, First Floor, South San Francisco, California 94080.</w:t>
            </w:r>
          </w:p>
        </w:tc>
      </w:tr>
      <w:tr>
        <w:trPr/>
        <w:tc>
          <w:tcPr>
            <w:tcW w:w="398"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0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Consists of (i) 55,949 shares of Common Stock held directly by Dr. Lu, (ii) 52,839 shares of Common Stock held by Luminen Services, LLC, as trustee of the Luminen Trust, of which Dr. Lu is the settlor, (iii) 52,839 shares of Common Stock held by Dr. Lu’s wife, Sandy Shan Wang, and (iv) 979,667 shares of Common Stock issuable upon exercise of stock options held by Dr. Lu that are exercisable within 60 days of March 27, 2026.</w:t>
            </w:r>
          </w:p>
        </w:tc>
      </w:tr>
      <w:tr>
        <w:trPr/>
        <w:tc>
          <w:tcPr>
            <w:tcW w:w="398"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0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Consists of (i) 128,974 shares of Common Stock issuance upon exercise of stock options held by Dr. Rajangam that are exercisable within 60 days of March 27, 2026 and (ii) 33,000 shares of Common Stock which are held by the Iyer Family Revocable Trust dated Aug 26, 2012, or the Iyer Trust, of which Dr. Rajangam is one of the two authorized trustees. The Iyer Trust also holds a Warrant exercisable for 49,500 shares of Common Stock upon the stockholder approval more fully described in Proposal No. 1 of our definitive proxy statement filed with the SEC on January 27, 2025, of which 2,470 shares of Common Stock became exercisable upon stockholder approval subject to beneficial ownership limitations.</w:t>
            </w:r>
          </w:p>
        </w:tc>
      </w:tr>
      <w:tr>
        <w:trPr/>
        <w:tc>
          <w:tcPr>
            <w:tcW w:w="398"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0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Consists of 50,808 shares of Common Stock issuable upon exercise of stock options held by Mr. Cross that are exercisable within 60 days of March 27, 2026. Mr. Cross was appointed the CFO effective March 3, 2025 and became our principal financial officer and principal accounting officer on March 20, 2025.</w:t>
            </w:r>
          </w:p>
        </w:tc>
      </w:tr>
      <w:tr>
        <w:trPr/>
        <w:tc>
          <w:tcPr>
            <w:tcW w:w="398"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0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Consists of 12,194 shares of Common Stock issuable upon exercise of stock options held by Mr. Baum that are exercisable within 60 days of March 27, 2026. Mr. Baum was appointed to the Board effective July 18, 2025.</w:t>
            </w:r>
          </w:p>
        </w:tc>
      </w:tr>
      <w:tr>
        <w:trPr/>
        <w:tc>
          <w:tcPr>
            <w:tcW w:w="398"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(6)</w:t>
            </w:r>
          </w:p>
        </w:tc>
        <w:tc>
          <w:tcPr>
            <w:tcW w:w="980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Consists of 17,613 shares of Common Stock held directly by Dr. Collins and 69,956 shares of Common Stock issuable upon exercise of stock options held by Dr. Collins that are exercisable within 60 days of March 27, 2026.</w:t>
            </w:r>
          </w:p>
        </w:tc>
      </w:tr>
      <w:tr>
        <w:trPr/>
        <w:tc>
          <w:tcPr>
            <w:tcW w:w="398"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(7)</w:t>
            </w:r>
          </w:p>
        </w:tc>
        <w:tc>
          <w:tcPr>
            <w:tcW w:w="980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Consists of 72,043 shares of Common Stock issuable upon exercise of stock options held by Ms. Cooperstone that are exercisable within 60 days of March 27, 2026.</w:t>
            </w:r>
          </w:p>
        </w:tc>
      </w:tr>
      <w:tr>
        <w:trPr/>
        <w:tc>
          <w:tcPr>
            <w:tcW w:w="398"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(8)</w:t>
            </w:r>
          </w:p>
        </w:tc>
        <w:tc>
          <w:tcPr>
            <w:tcW w:w="980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Consists of 68,900 shares of Common Stock issuable upon exercise of stock options held by Mr. Mathers that are exercisable within 60 days of March 27, 2026.</w:t>
            </w:r>
          </w:p>
        </w:tc>
      </w:tr>
      <w:tr>
        <w:trPr/>
        <w:tc>
          <w:tcPr>
            <w:tcW w:w="398"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(9)</w:t>
            </w:r>
          </w:p>
        </w:tc>
        <w:tc>
          <w:tcPr>
            <w:tcW w:w="980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Consists of 49,804 shares of Common Stock issuable upon exercise of stock options held by Ms. Schulz that are exercisable within 60 days of March 27, 2026.</w:t>
            </w:r>
          </w:p>
        </w:tc>
      </w:tr>
      <w:tr>
        <w:trPr/>
        <w:tc>
          <w:tcPr>
            <w:tcW w:w="398"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(10)</w:t>
            </w:r>
          </w:p>
        </w:tc>
        <w:tc>
          <w:tcPr>
            <w:tcW w:w="980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Consists of (i) 10,368 shares of Common Stock held directly by Mr. Tang and (ii) 49,804 shares of Common Stock issuable upon exercise of stock options held by Mr. Tang that are exercisable within 60 days of March 27, 2026.</w:t>
            </w:r>
          </w:p>
        </w:tc>
      </w:tr>
      <w:tr>
        <w:trPr/>
        <w:tc>
          <w:tcPr>
            <w:tcW w:w="398"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(11)</w:t>
            </w:r>
          </w:p>
        </w:tc>
        <w:tc>
          <w:tcPr>
            <w:tcW w:w="980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Consists of 17,078 shares of Common Stock issuable upon exercise of stock options held by Mr. Hsiung that are exercisable within 60 days of March 27, 2026. Mr. Hsiung was appointed to the Board effective March 7, 2025.</w:t>
            </w:r>
          </w:p>
        </w:tc>
      </w:tr>
      <w:tr>
        <w:trPr/>
        <w:tc>
          <w:tcPr>
            <w:tcW w:w="398"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(12)</w:t>
            </w:r>
          </w:p>
        </w:tc>
        <w:tc>
          <w:tcPr>
            <w:tcW w:w="980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Consists of shares beneficially owned by the executive officers and directors listed in the table above.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180"/>
        <w:jc w:val="left"/>
        <w:rPr/>
      </w:pPr>
      <w:hyperlink w:anchor="i04e45f5eecf04a289de970267f3a1cd1_10">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42"/>
        <w:gridCol w:w="125"/>
        <w:gridCol w:w="127"/>
        <w:gridCol w:w="2892"/>
        <w:gridCol w:w="2863"/>
        <w:gridCol w:w="4056"/>
      </w:tblGrid>
      <w:tr>
        <w:trPr/>
        <w:tc>
          <w:tcPr>
            <w:tcW w:w="14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892" w:type="dxa"/>
            <w:tcBorders/>
            <w:vAlign w:val="center"/>
          </w:tcPr>
          <w:p>
            <w:pPr>
              <w:pStyle w:val="TableContents"/>
              <w:bidi w:val="0"/>
              <w:spacing w:before="0" w:after="283"/>
              <w:jc w:val="left"/>
              <w:rPr>
                <w:sz w:val="4"/>
                <w:szCs w:val="4"/>
              </w:rPr>
            </w:pPr>
            <w:r>
              <w:rPr>
                <w:sz w:val="4"/>
                <w:szCs w:val="4"/>
              </w:rPr>
            </w:r>
          </w:p>
        </w:tc>
        <w:tc>
          <w:tcPr>
            <w:tcW w:w="2863" w:type="dxa"/>
            <w:tcBorders/>
            <w:vAlign w:val="center"/>
          </w:tcPr>
          <w:p>
            <w:pPr>
              <w:pStyle w:val="TableContents"/>
              <w:bidi w:val="0"/>
              <w:spacing w:before="0" w:after="283"/>
              <w:jc w:val="left"/>
              <w:rPr>
                <w:sz w:val="4"/>
                <w:szCs w:val="4"/>
              </w:rPr>
            </w:pPr>
            <w:r>
              <w:rPr>
                <w:sz w:val="4"/>
                <w:szCs w:val="4"/>
              </w:rPr>
            </w:r>
          </w:p>
        </w:tc>
        <w:tc>
          <w:tcPr>
            <w:tcW w:w="4056" w:type="dxa"/>
            <w:tcBorders/>
            <w:vAlign w:val="center"/>
          </w:tcPr>
          <w:p>
            <w:pPr>
              <w:pStyle w:val="TableContents"/>
              <w:bidi w:val="0"/>
              <w:spacing w:before="0" w:after="283"/>
              <w:jc w:val="left"/>
              <w:rPr>
                <w:sz w:val="4"/>
                <w:szCs w:val="4"/>
              </w:rPr>
            </w:pPr>
            <w:r>
              <w:rPr>
                <w:sz w:val="4"/>
                <w:szCs w:val="4"/>
              </w:rPr>
            </w:r>
          </w:p>
        </w:tc>
      </w:tr>
      <w:tr>
        <w:trPr/>
        <w:tc>
          <w:tcPr>
            <w:tcW w:w="39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(13)</w:t>
            </w:r>
          </w:p>
        </w:tc>
        <w:tc>
          <w:tcPr>
            <w:tcW w:w="9811"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Based on a Schedule 13D/A filed with the SEC on March 31, 2026. Consists of 9,777,000 shares of Common Stock held by Celadon Partners SPV 24, or Celadon. Celadon also holds a Warrant exercisable for (i) 7,999,500 shares of Common Stock and (ii) 6,666,000 shares of Common Stock upon the stockholder approval more fully described in Proposal No. 1 our definitive proxy statement filed with the SEC on January 27, 2025, of which (i) 799,150 shares of Common Stock and (ii) 665,933 shares of Common Stock, respectively, became exercisable upon stockholder approval subject to beneficial ownership limitations. Under the so-called “rule of three,” if voting and dispositive decisions regarding an entity’s securities are made by two or more individuals, and a voting and dispositive decision requires the approval of a majority of those individuals, then none of the individuals is deemed a beneficial owner of the entity’s securities. This is the situation with regard to Celadon. Based upon the foregoing analysis, no individual shareholder of Celadon exercises voting or dispositive control over any of the securities held by Celadon, even those in which he directly holds an economic interest. Accordingly, none of them are deemed to have or share beneficial ownership of such shares. Mr. Donald Tang, a member of our Board of Directors, is a manager of Celadon Partners, LLC, which is the sole manager of Celadon, but does not have voting or investment power over the shares held by Celadon. The business address of Celadon is PO Box 500, 71 Fort Street, Grand Cayman, KY1-1106, Cayman Islands.</w:t>
            </w:r>
          </w:p>
        </w:tc>
      </w:tr>
      <w:tr>
        <w:trPr/>
        <w:tc>
          <w:tcPr>
            <w:tcW w:w="39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(14)</w:t>
            </w:r>
          </w:p>
        </w:tc>
        <w:tc>
          <w:tcPr>
            <w:tcW w:w="9811"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Based on a Schedule 13D/A filed with the SEC on March 31, 2026. Consists of 3,775,615 shares of Common Stock held by New Enterprise Associates 15, L.P., or NEA 15. NEA 15 also holds a Warrant exercisable for 4,999,500 shares of Common Stock upon the stockholder approval more fully described in Proposal No. 1 our definitive proxy statement filed with the SEC on January 27, 2025, of which 499,450 shares of Common Stock became exercisable upon stockholder approval subject to beneficial ownership limitations. The securities directly held by NEA 15 are indirectly held by NEA Partners 15, L.P., or NEA Partners 15, which is the sole general partner of NEA 15, NEA 15 GP, LLC, or NEA 15 LLC, which is the sole general partner of NEA Partners 15, and each of the individual managers of NEA 15 LLC. The individual managers of NEA 15 LLC, or collectively, the NEA 15 Managers, are Forest Baskett, Anthony A. Florence, Mohamad Makhzoumi, and Scott D. Sandell. NEA 15, NEA Partners 15, NEA 15 LLC and the NEA 15 Managers share voting and dispositive power with regard to the shares directly held by NEA 15. Mr. Edward Mathers, a member of the Board, is a partner at New Enterprise Associates, Inc., which is affiliated with NEA 15, but does not have voting or investment power over the shares held by NEA 15. All indirect holders of the above referenced shares disclaim beneficial ownership of all applicable shares of Common Stock. The address of the principal business office of each of NEA 15 LLC, NEA Partners 15 and Sandell is New Enterprise Associates, 1954 Greenspring Drive, Suite 600, Timonium, MD 21093. The address of the principal business office of Baskett and Makhzoumi is New Enterprise Associates, 2855 Sand Hill Road, Menlo Park, CA 94025. The address of the principal business office of Florence is New Enterprise Associates, 104 5th Avenue, 19th Floor, New York, NY 10011.</w:t>
            </w:r>
          </w:p>
        </w:tc>
      </w:tr>
      <w:tr>
        <w:trPr/>
        <w:tc>
          <w:tcPr>
            <w:tcW w:w="39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(15)</w:t>
            </w:r>
          </w:p>
        </w:tc>
        <w:tc>
          <w:tcPr>
            <w:tcW w:w="9811"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Based on a Schedule 13D filed with the SEC on April 16, 2026. Consists of 2,809,848 shares of Common Stock held by Bayer HealthCare LLC, or BHC, Bayer US Holding LP, or BUSH LP, Sebastian Guth, or Guth and Gurumurthy Ramamurthy, or Ramamurthy, of which each of BUSH LP, Guth and Ramamurthy share voting and dispositive power. BHC also holds a Warrant exercisable for 3,333,000 shares of Common Stock upon the stockholder approval more fully described in Proposal No. 1 our definitive proxy statement filed with the SEC on January 27, 2025, of which 666,267 shares of Common Stock became exercisable upon stockholder approval subject to beneficial ownership limitations. The business address for BHC, BUSH LP, Guth and Ramamurthy is 100 Bayer Boulevard, Whippany, New Jersey 07981.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180"/>
        <w:jc w:val="left"/>
        <w:rPr/>
      </w:pPr>
      <w:hyperlink w:anchor="i04e45f5eecf04a289de970267f3a1cd1_10">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42"/>
        <w:gridCol w:w="125"/>
        <w:gridCol w:w="127"/>
        <w:gridCol w:w="2945"/>
        <w:gridCol w:w="2835"/>
        <w:gridCol w:w="4031"/>
      </w:tblGrid>
      <w:tr>
        <w:trPr/>
        <w:tc>
          <w:tcPr>
            <w:tcW w:w="14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945" w:type="dxa"/>
            <w:tcBorders/>
            <w:vAlign w:val="center"/>
          </w:tcPr>
          <w:p>
            <w:pPr>
              <w:pStyle w:val="TableContents"/>
              <w:bidi w:val="0"/>
              <w:spacing w:before="0" w:after="283"/>
              <w:jc w:val="left"/>
              <w:rPr>
                <w:sz w:val="4"/>
                <w:szCs w:val="4"/>
              </w:rPr>
            </w:pPr>
            <w:r>
              <w:rPr>
                <w:sz w:val="4"/>
                <w:szCs w:val="4"/>
              </w:rPr>
            </w:r>
          </w:p>
        </w:tc>
        <w:tc>
          <w:tcPr>
            <w:tcW w:w="2835" w:type="dxa"/>
            <w:tcBorders/>
            <w:vAlign w:val="center"/>
          </w:tcPr>
          <w:p>
            <w:pPr>
              <w:pStyle w:val="TableContents"/>
              <w:bidi w:val="0"/>
              <w:spacing w:before="0" w:after="283"/>
              <w:jc w:val="left"/>
              <w:rPr>
                <w:sz w:val="4"/>
                <w:szCs w:val="4"/>
              </w:rPr>
            </w:pPr>
            <w:r>
              <w:rPr>
                <w:sz w:val="4"/>
                <w:szCs w:val="4"/>
              </w:rPr>
            </w:r>
          </w:p>
        </w:tc>
        <w:tc>
          <w:tcPr>
            <w:tcW w:w="4031" w:type="dxa"/>
            <w:tcBorders/>
            <w:vAlign w:val="center"/>
          </w:tcPr>
          <w:p>
            <w:pPr>
              <w:pStyle w:val="TableContents"/>
              <w:bidi w:val="0"/>
              <w:spacing w:before="0" w:after="283"/>
              <w:jc w:val="left"/>
              <w:rPr>
                <w:sz w:val="4"/>
                <w:szCs w:val="4"/>
              </w:rPr>
            </w:pPr>
            <w:r>
              <w:rPr>
                <w:sz w:val="4"/>
                <w:szCs w:val="4"/>
              </w:rPr>
            </w:r>
          </w:p>
        </w:tc>
      </w:tr>
      <w:tr>
        <w:trPr/>
        <w:tc>
          <w:tcPr>
            <w:tcW w:w="39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(16)</w:t>
            </w:r>
          </w:p>
        </w:tc>
        <w:tc>
          <w:tcPr>
            <w:tcW w:w="9811"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Based on a Schedule 13G/A filed with the SEC on May 15, 2025. Consists of an aggregate of 2,722,500 shares of Common Stock beneficially owned as of March 31, 2025 by Nantahala Capital Management, LLC, or Nantahala, including shares held by Nantahala Capital Partners Limited Partnership and other funds and separately managed accounts under its control. As the managing members of Nantahala, each of Wilmot B. Harkey and Daniel Mack may be deemed to be the beneficial owner of such shares. The aggregate shares include 1,633,500 shares which may be acquired within sixty days through the exercise of warrants. Nantahala, Mr. Harkey and Mr. Mack share voting and dispositive power with respect to such shares. The filing also states that BLACKWELL PARTNERS LLC – SERIES A, a fund advised by Nantahala, has the right to receive, or the power to direct the receipt of, dividends from, or the proceeds from the sale of, more than five percent of the outstanding shares of Common Stock beneficially owned by Nantahala reported therein. The address of the principal business office of Nantahala, Mr. Harkey and Mr. Mack is 130 Main St., 2nd Floor, New Canaan, Connecticut 06840.</w:t>
            </w:r>
          </w:p>
        </w:tc>
      </w:tr>
      <w:tr>
        <w:trPr/>
        <w:tc>
          <w:tcPr>
            <w:tcW w:w="39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(17)</w:t>
            </w:r>
          </w:p>
        </w:tc>
        <w:tc>
          <w:tcPr>
            <w:tcW w:w="9811"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Consists of 2,111,000 shares of Common Stock held by PharmaEssentia Corp., or PharmaEssentia. PharmaEssentia also holds a Warrant exercisable for 3,166,500 shares of Common Stock upon the stockholder approval more fully described in Proposal No. 1 our definitive proxy statement filed with the SEC on January 27, 2025, of which 316,333 shares of Common Stock became exercisable upon stockholder approval subject to beneficial ownership limitations. Ching-Leou Teng has sole voting and dispositive power with respect to the shares held by PharmaEssentia. The business address of PharmaEssentia is 13F, No.3, Park Street, Nangang District, Taipei 115, Taiwan.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180"/>
        <w:jc w:val="left"/>
        <w:rPr/>
      </w:pPr>
      <w:hyperlink w:anchor="i04e45f5eecf04a289de970267f3a1cd1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Other than the transactions described below, since January 1, 2023, there has not been and there is not currently proposed, any transaction or series of similar transactions to which we were, or will be, a party in which the amount involved exceeded, or will exceed, $120,000 or one percent of the average of our total assets at year-end for the last two completed fiscal years and in which any director, executive officer, holder of five percent or more of any class of our capital stock or any member of the immediate family of, or entities affiliated with, any of the foregoing persons, had, or will have, a direct or indirect material interest.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Private Placement (“PIPE”)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disclosed previously in this Form 10-K, on December 2, 2024, we entered into the PIPE Purchase Agreement with the Investors, pursuant to which we agreed to issue and sell, in the PIPE, (i) 21,157 shares of Series A redeemable convertible preferred stock for an aggregate offering price of $47.6 million and (ii) 31,735,500 Warrant Shares. The table below sets forth the number of Series A redeemable convertible preferred stock and Warrant Shares purchased by our related parties: </w:t>
      </w:r>
    </w:p>
    <w:tbl>
      <w:tblPr>
        <w:tblW w:w="10205" w:type="dxa"/>
        <w:jc w:val="left"/>
        <w:tblInd w:w="0" w:type="dxa"/>
        <w:tblLayout w:type="fixed"/>
        <w:tblCellMar>
          <w:top w:w="28" w:type="dxa"/>
          <w:left w:w="28" w:type="dxa"/>
          <w:bottom w:w="28" w:type="dxa"/>
          <w:right w:w="28" w:type="dxa"/>
        </w:tblCellMar>
      </w:tblPr>
      <w:tblGrid>
        <w:gridCol w:w="939"/>
        <w:gridCol w:w="773"/>
        <w:gridCol w:w="709"/>
        <w:gridCol w:w="109"/>
        <w:gridCol w:w="109"/>
        <w:gridCol w:w="109"/>
        <w:gridCol w:w="532"/>
        <w:gridCol w:w="532"/>
        <w:gridCol w:w="534"/>
        <w:gridCol w:w="109"/>
        <w:gridCol w:w="109"/>
        <w:gridCol w:w="109"/>
        <w:gridCol w:w="317"/>
        <w:gridCol w:w="1626"/>
        <w:gridCol w:w="163"/>
        <w:gridCol w:w="109"/>
        <w:gridCol w:w="109"/>
        <w:gridCol w:w="109"/>
        <w:gridCol w:w="424"/>
        <w:gridCol w:w="388"/>
        <w:gridCol w:w="327"/>
        <w:gridCol w:w="109"/>
        <w:gridCol w:w="109"/>
        <w:gridCol w:w="109"/>
        <w:gridCol w:w="237"/>
        <w:gridCol w:w="1216"/>
        <w:gridCol w:w="180"/>
      </w:tblGrid>
      <w:tr>
        <w:trPr/>
        <w:tc>
          <w:tcPr>
            <w:tcW w:w="93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421"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Related 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Shares of Series A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Series A Preferred Stock Purchase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Warrant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Warrant Exercise Price</w:t>
            </w:r>
          </w:p>
        </w:tc>
      </w:tr>
      <w:tr>
        <w:trPr/>
        <w:tc>
          <w:tcPr>
            <w:tcW w:w="24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20"/>
              </w:rPr>
              <w:t>Iyer Family Revocable Trust dated Aug 26 2012</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74,250 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49,500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113,850 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20"/>
              </w:rPr>
              <w:t>New Enterprise Associates 15, L.P.</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3,333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2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7,499,250 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4,999,500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1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11,498,850 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20"/>
              </w:rPr>
              <w:t>Bayer HealthCare LLC</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2,222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2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4,999,500 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3,333,000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1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7,665,900 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20"/>
              </w:rPr>
              <w:t>Celadon Partners SPV 24</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9,777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2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21,998,250 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14,665,500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1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33,730,650 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Kanya Rajangam, our current President, Head of Research Development and Chief Medical Officer, is one of the two authorized trustees of the Iyer Trust.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Edward Mathers, a member of our Board of Directors, is employed as a Partner at New Enterprise Associates, Inc., which is affiliated with New Enterprise Associates 15, L.P, which holds greater than 5% of our outstanding stock.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Bayer HealthCare LLC holds greater than 5% of our outstanding stock.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Donald Tang, a member of our Board of Directors, is affiliated with Celadon Partners SPV 24. </w:t>
            </w:r>
          </w:p>
        </w:tc>
      </w:tr>
    </w:tbl>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Non-Employee Director Agreements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Agreement with James Collins </w:t>
      </w:r>
    </w:p>
    <w:p>
      <w:pPr>
        <w:pStyle w:val="TextBody"/>
        <w:bidi w:val="0"/>
        <w:spacing w:lineRule="auto" w:line="288" w:before="0" w:after="180"/>
        <w:jc w:val="left"/>
        <w:rPr/>
      </w:pPr>
      <w:r>
        <w:rPr>
          <w:rFonts w:ascii="Times New Roman;serif" w:hAnsi="Times New Roman;serif"/>
          <w:b w:val="false"/>
          <w:color w:val="000000"/>
          <w:sz w:val="20"/>
        </w:rPr>
        <w:t>On May 14, 2021, we entered into an agreement with our director James Collins, pursuant to which he is a member and chair of our Scientific Advisory Board, or SAB, and as more fully described in the section titled “</w:t>
      </w:r>
      <w:r>
        <w:rPr>
          <w:rFonts w:ascii="Times New Roman;serif" w:hAnsi="Times New Roman;serif"/>
          <w:b w:val="false"/>
          <w:i/>
          <w:color w:val="000000"/>
          <w:sz w:val="20"/>
        </w:rPr>
        <w:t>Non-Employee Director Agreements</w:t>
      </w:r>
      <w:r>
        <w:rPr>
          <w:color w:val="000000"/>
        </w:rPr>
        <w:t xml:space="preserve">” </w:t>
      </w:r>
      <w:r>
        <w:rPr>
          <w:rFonts w:ascii="Times New Roman;serif" w:hAnsi="Times New Roman;serif"/>
          <w:b w:val="false"/>
          <w:color w:val="000000"/>
          <w:sz w:val="20"/>
        </w:rPr>
        <w:t xml:space="preserve">under Item 11 of our Annual Report on Form 10-K, filed with the SEC on March 21, 2024, as amended and filed with the SEC on April 26, 2024.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Agreements with GeneFab, LLC </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Framework Agreement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7, 2023, we entered into a framework agreement, or the Framework Agreement, with GeneFab, LLC, a Delaware limited liability company, or GeneFab, and Valere Bio, Inc., a Delaware corporation and the parent company of GeneFab, or Valere, which is wholly owned by a company managed by Celadon Partners, LLC, pursuant to which we, subject to the terms and conditions therein, (i) sold, assigned and transferred its rights, title and interest in certain of the assets and contractual rights to GeneFab, including all of our equipment and leasehold improvements at our facilities in Alameda, California, or the Alameda Facility and certain of our intellectual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180"/>
        <w:jc w:val="left"/>
        <w:rPr/>
      </w:pPr>
      <w:hyperlink w:anchor="i04e45f5eecf04a289de970267f3a1cd1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property related to the schematics for and design of the Alameda Facility, and (ii) subleased to GeneFab its premises under the lease for the Alameda Facility (a portion of which is subject to the satisfaction of certain conditions), or collectively, the Purchased Assets. In addition, we agreed to grant a license to GeneFab under certain of its intellectual property rights to conduct manufacturing services and to research, develop, manufacture and commercialize products outside of oncology, pursuant to a license agreement under negotiation, or the License Agreement. Donald Tang, a member of our Board of Directors, is a manager of Celadon Partners, LLC.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the Framework Agreement, we sold the Purchased Assets, and consummated, or will consummate, the other transactions contemplated thereby, for total consideration of $37.8 million in cash of which the amounts payable at closing of the transactions contemplated by the Agreement shall be subject to certain offsets against the advance payment under the DMSA (as defined below), or the Cash Consideration, and the grant of the Seller Economic Share (as defined below) by Valere. Fifty percent of the Cash Consideration was paid at closing and the remaining was due to us following the signing of an IP license agreement. We signed an amendment to the Framework Agreement wherein the parties waived payment of the remaining amount in connection with Celadon’s investment in the 2024 PIPE as described herein.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Seller Economic Share Agreement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connection with the Agreement, we, GeneFab and Valere entered into a seller economic share agreement, or the SESA, pursuant to which we will be entitled to receive ten percent of the realized gains of Valere arising and resulting from any cash or in-kind distributions from GeneFab in connection with the dividend or sale event, subject to the terms and conditions of the SESA.</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Development and Manufacturing Services Agreement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connection with the Agreement, we entered into a development and manufacturing services agreement with GeneFab, which was subsequently amended and restated, or the DMSA, pursuant to which GeneFab will provide to us, certain research, development, and manufacturing services. Subject to GeneFab’s meeting of certain criteria, we and our licensees will be obligated to engage GeneFab for certain services. We made an advance payment to GeneFab of $18.9 million for such services and received a credit of $8 million from GeneFab to be applied to a portion of the future invoices for such services. Each party may terminate the DMSA for the other party’s uncured material breach of the DMSA, or for insolvency events or for certain technical events. In December 2024, we entered into an Amended and Restated DMSA with GeneFab in connection with the PIPE.</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Option Agreement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Framework Agreement, we also entered into a letter agreement with GeneFab, which was subsequently amended and is referred to herein as the Option Agreement, pursuant to which GeneFab has the right to invest up to approximately $20.0 million to purchase up to 1,963,344 shares of our common stock, subject to approval by our stockholders to the extent required pursuant to applicable Nasdaq rules, at a price of $10.18670 per share in private placements in up to ten installments, or the Option. Pursuant to the Option Agreement and applicable Nasdaq rules, in no event may we issue shares of common stock under the Option Agreement equal to more than 19.99% of the shares of common stock outstanding immediately prior to the execution of the Option Agreement, or the Exchange Cap, unless we obtain stockholder approval to issue shares of common stock in excess of the Exchange Cap in accordance with applicable Nasdaq rules. The Option is exercisable for a period of 36 months following the execution of the License Agreement. Pursuant to the Option Agreement, we also agreed to register all the shares of common stock purchased by GeneFab under the Option Agreement for resale by filing up to four registration statements, subject to certain conditions and restrictions contained in the Option Agreement. The Option Agreement was assigned to Celadon Partners, the sole investor of GeneFab, on May 28, 2024.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Consulting Agreement with Ms. Li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May 2024, we entered into a consulting agreement with Yvonne Li, which sets forth the terms of her engagement with Senti as our former Interim Chief Financial Officer. Pursuant to the consulting agreement, Ms. Li was initially entitled to receive consulting fees of $350 per hour in cash for services performed, with a maximum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180"/>
        <w:jc w:val="left"/>
        <w:rPr/>
      </w:pPr>
      <w:hyperlink w:anchor="i04e45f5eecf04a289de970267f3a1cd1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aggregate payment of $370,000 for services through November 1, 2024. Effective November 1, 2024, Ms. Li is entitled to receive consulting fees of $390 per hour in cash for services performed, with a maximum aggregate payment of $220,000 for services from November 1, 2024 through January 31, 2025. The consulting agreement has a one year term, unless extended by our Board of Directors and Ms. Li. Effective as of January 31, 2025, Ms. Li is no longer our principal financial officer and principal accounting officer following the expiry of her consulting agreement on its terms. Pursuant to the consulting agreement entered by and between Ms. Li and us, effective February 5, 2025, she will serve as a consultant until March 31, 2025.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Indemnification Agreements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certificate of incorporation contains provisions limiting the liability of directors, and the bylaws provide that we will indemnify each of our directors and officers to the fullest extent permitted under Delaware law. The certificate of incorporation and bylaws also provide our Board of Directors with discretion to indemnify our employees and other agents when determined appropriate by the Board of Directors.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have entered into or intend to enter into an indemnification agreement with each of our directors and executive officers, which will require us to indemnify them.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Stock Option Grants to Directors and Executive Officers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have granted stock options to our directors and executive officers, as more fully described in Item 11 herein.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Related Person Transactions Policy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Board of Directors has adopted a related person transaction policy setting forth the policies and procedures for the identification,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Senti and a related person were or will be participants and the amount involved exceeds $120,000, including purchases of goods or services by or from the related person or entities in which the related person has a material interest, indebtedness and guarantees of indebtedness. In reviewing and approving or rejecting any such transactions, our Audit Committee will consider all relevant facts and circumstances as appropriate, such as the purpose of the transaction, the availability of other sources of comparable products or services, whether the transaction is on terms comparable to those that could be obtained in an arm’s length transaction, management’s recommendation with respect to the proposed related person transaction, and the extent of the related person’s interest in the transaction.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Registration Rights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2022 Registration Rights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previously disclosed herein, the holders of the Founder Shares, the holders of the Private Placement Shares, and the Anchor Investors are entitled to registration rights pursuant to the registration and stockholder rights agreement requiring us to register such securities for resale. As at the date of this Form 10-K, there are 575,000 Founder Shares, 87,102 of which were distributed to the Anchor Investors, and 71,550 Private Placement Shares outstanding. The holders of these securities are entitled to make up to three demands, excluding short form demands, that DYNS registers such securities. In addition, the holders have certain “piggy-back” registration rights with respect to registration statements filed subsequent to the completion of an initial business combination and rights to require us to register for resale such securities pursuant to Rule 415 under the Securities Act. The registration rights agreement does not contain liquidated damages or other cash settlement provisions resulting from delays in registering our securities. DYNS will bear the expenses incurred in connection with the filing of any such registration statements. Under the Investor Rights and Lock-up Agreement, the Anchor Investors will be entitled to registration rights in respect of these shares.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PIPE Investors are entitled to registration rights pursuant to the subscription agreements they entered into with DYNS in connection with the PIPE Investment. The PIPE Investors subscribed for, in aggregate,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180"/>
        <w:jc w:val="left"/>
        <w:rPr/>
      </w:pPr>
      <w:hyperlink w:anchor="i04e45f5eecf04a289de970267f3a1cd1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506,000 shares of common stock concurrently with the consummation of the Merger, and all such shares have registration rights.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total, after the consummation of the Merger, an aggregate of 1,152,550 shares of our common stock held by stockholders of DYNS prior to the consummation of the Merger and by the PIPE Investors are subject to registration rights, comprising 71,550 Private Placement Shares, 487,897 Founder Shares, 87,102 shares of common stock issued to Anchor Investors and 506,000 shares of common stock issued to PIPE Investors.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These registration rights are only applicable so long as the Company does not already have a resale registration statement in effective for these shares. As of the date of this Form 10-K, we currently have in effect a resale registration statement for the shares included in the Investor Rights and Lock-up Agreement.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PIPE Registration Rights Agreement </w:t>
      </w:r>
    </w:p>
    <w:p>
      <w:pPr>
        <w:pStyle w:val="TextBody"/>
        <w:bidi w:val="0"/>
        <w:spacing w:lineRule="auto" w:line="288" w:before="0" w:after="180"/>
        <w:jc w:val="left"/>
        <w:rPr/>
      </w:pPr>
      <w:r>
        <w:rPr>
          <w:rFonts w:ascii="Times New Roman;serif" w:hAnsi="Times New Roman;serif"/>
          <w:b w:val="false"/>
          <w:color w:val="000000"/>
          <w:sz w:val="20"/>
        </w:rPr>
        <w:t>We and the Investors who participated in the PIPE entered into the Registration Rights Agreement, pursuant to which, among other things, we agreed to file, as promptly as reasonably practicable following the closing of the PIPE, but, in any event, not later than one hundred twenty (120) days thereafter, or the Filing Date, a resale registration statement on Form S-3 (or Form S-1 if Form S-3 is not available) providing for the resale by the Investors of (i) the shares of common stock issuable upon conversion of the Series A redeemable convertible preferred stock and (ii) the Warrant Shares, wherein (i) and (ii) collectively are referred to as the Registrable Shares, and to use commercially reasonable efforts to cause such resale registration statement to be declared effective as soon as practicable but in any event no later than the earlier of (a) the seventy-fifth (75</w:t>
      </w:r>
      <w:r>
        <w:rPr>
          <w:rFonts w:ascii="Times New Roman;serif" w:hAnsi="Times New Roman;serif"/>
          <w:b w:val="false"/>
          <w:color w:val="000000"/>
          <w:sz w:val="13"/>
        </w:rPr>
        <w:t>th</w:t>
      </w:r>
      <w:r>
        <w:rPr>
          <w:rFonts w:ascii="Times New Roman;serif" w:hAnsi="Times New Roman;serif"/>
          <w:b w:val="false"/>
          <w:color w:val="000000"/>
          <w:sz w:val="20"/>
        </w:rPr>
        <w:t>) calendar day following the Filing Date of the registration statement if the SEC notifies us that it will “review” the registration statement and (b) the fifth (5</w:t>
      </w:r>
      <w:r>
        <w:rPr>
          <w:rFonts w:ascii="Times New Roman;serif" w:hAnsi="Times New Roman;serif"/>
          <w:b w:val="false"/>
          <w:color w:val="000000"/>
          <w:sz w:val="13"/>
        </w:rPr>
        <w:t>th</w:t>
      </w:r>
      <w:r>
        <w:rPr>
          <w:rFonts w:ascii="Times New Roman;serif" w:hAnsi="Times New Roman;serif"/>
          <w:b w:val="false"/>
          <w:color w:val="000000"/>
          <w:sz w:val="20"/>
        </w:rPr>
        <w:t>) business day after the date we are notified (orally or in writing, whichever is earlier) by the SEC that the registration statement will not be “reviewed” or will not be subject to further review. We also agreed to take all steps necessary to keep such registration statement effective at all times until all Registrable Shares have been resold, or there remains no Registrable Shares. We have agreed to pay a liquidated damages penalty upon certain failures to meet the deadlines set forth above or to keep the resale registration statement continuously effective, which penalties will not exceed 5% of the aggregate subscription amount.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180"/>
        <w:jc w:val="left"/>
        <w:rPr/>
      </w:pPr>
      <w:hyperlink w:anchor="i04e45f5eecf04a289de970267f3a1cd1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independent registered public accounting firm is KPMG LLP, San Francisco, CA, Auditor ID: 185.</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incurred the following fees from KPMG LLP for the audit of the financial statements and for other services provided during the years ended December 31, 2025 and 2024.</w:t>
      </w:r>
    </w:p>
    <w:tbl>
      <w:tblPr>
        <w:tblW w:w="4175" w:type="dxa"/>
        <w:jc w:val="left"/>
        <w:tblInd w:w="0" w:type="dxa"/>
        <w:tblLayout w:type="fixed"/>
        <w:tblCellMar>
          <w:top w:w="28" w:type="dxa"/>
          <w:left w:w="28" w:type="dxa"/>
          <w:bottom w:w="28" w:type="dxa"/>
          <w:right w:w="28" w:type="dxa"/>
        </w:tblCellMar>
      </w:tblPr>
      <w:tblGrid>
        <w:gridCol w:w="688"/>
        <w:gridCol w:w="606"/>
        <w:gridCol w:w="610"/>
        <w:gridCol w:w="109"/>
        <w:gridCol w:w="109"/>
        <w:gridCol w:w="109"/>
        <w:gridCol w:w="211"/>
        <w:gridCol w:w="466"/>
        <w:gridCol w:w="109"/>
        <w:gridCol w:w="109"/>
        <w:gridCol w:w="109"/>
        <w:gridCol w:w="109"/>
        <w:gridCol w:w="211"/>
        <w:gridCol w:w="466"/>
        <w:gridCol w:w="154"/>
      </w:tblGrid>
      <w:tr>
        <w:trPr/>
        <w:tc>
          <w:tcPr>
            <w:tcW w:w="688"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Audit fees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Audit-Related fees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Tax fees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All other fees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Total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_______</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(1) Audit fees consist of fees billed for the audit of our annual financial statements, the review of our interim financial statements included in our quarterly reports on Form 10-Q, and services in connection with our securities offerings, including registration statements, responding to SEC comment letters, comfort letters and consents.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(2) Audit-related fees consist of services that are reasonably related to the performance of the audit or review of our financial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(3) Tax Fees consist of fees for tax compliance, advice and tax planning and includes fees for tax return preparation.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(4) All other fees include any fees billed that are not audit, audit related or tax fees.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Audit Committee Pre-approval Policy and Procedures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Audit Committee has adopted policies and procedures relating to the approval of all audit and non-audit services that are to be performed by our independent registered public accounting firm. This policy provides that we will not engage our independent registered public accounting firm to render audit or non-audit services unless the service is specifically approved in advance by our Audit Committee or the engagement is entered into pursuant to the pre-approval procedure described below.</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our Audit Committee may pre-approve specified types of services that are expected to be provided to us by our independent registered public accounting firm during the next 12 months. Any such pre-approval details the particular service or type of services to be provided and is also generally subject to a maximum dollar amount.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During our 2025 and 2024 fiscal years, no services were provided to us by KPMG LLP other than in accordance with the pre-approval policies and procedures described above.</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04e45f5eecf04a289de970267f3a1cd1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exhibits are filed as part of, or incorporated by reference into, this Annual Report on Form 10-K.</w:t>
      </w:r>
    </w:p>
    <w:tbl>
      <w:tblPr>
        <w:tblW w:w="10205" w:type="dxa"/>
        <w:jc w:val="left"/>
        <w:tblInd w:w="0" w:type="dxa"/>
        <w:tblLayout w:type="fixed"/>
        <w:tblCellMar>
          <w:top w:w="28" w:type="dxa"/>
          <w:left w:w="28" w:type="dxa"/>
          <w:bottom w:w="28" w:type="dxa"/>
          <w:right w:w="28" w:type="dxa"/>
        </w:tblCellMar>
      </w:tblPr>
      <w:tblGrid>
        <w:gridCol w:w="290"/>
        <w:gridCol w:w="256"/>
        <w:gridCol w:w="257"/>
        <w:gridCol w:w="109"/>
        <w:gridCol w:w="109"/>
        <w:gridCol w:w="109"/>
        <w:gridCol w:w="1481"/>
        <w:gridCol w:w="1456"/>
        <w:gridCol w:w="1470"/>
        <w:gridCol w:w="109"/>
        <w:gridCol w:w="109"/>
        <w:gridCol w:w="109"/>
        <w:gridCol w:w="283"/>
        <w:gridCol w:w="283"/>
        <w:gridCol w:w="284"/>
        <w:gridCol w:w="109"/>
        <w:gridCol w:w="109"/>
        <w:gridCol w:w="109"/>
        <w:gridCol w:w="265"/>
        <w:gridCol w:w="265"/>
        <w:gridCol w:w="269"/>
        <w:gridCol w:w="109"/>
        <w:gridCol w:w="109"/>
        <w:gridCol w:w="109"/>
        <w:gridCol w:w="210"/>
        <w:gridCol w:w="210"/>
        <w:gridCol w:w="211"/>
        <w:gridCol w:w="109"/>
        <w:gridCol w:w="109"/>
        <w:gridCol w:w="109"/>
        <w:gridCol w:w="394"/>
        <w:gridCol w:w="369"/>
        <w:gridCol w:w="317"/>
      </w:tblGrid>
      <w:tr>
        <w:trPr/>
        <w:tc>
          <w:tcPr>
            <w:tcW w:w="29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1" w:type="dxa"/>
            <w:gridSpan w:val="21"/>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8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Schedule/Form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8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"https://www.sec.gov/Archives/edgar/data/1854270/000119312522146450/d189920ds4a.htm" \l "rom189920_361"</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Business Combination Agreement, dated as of December 19, 2021, by and among Dynamics Special Purpose Corp., Explore Merger Sub, Inc. and Senti Biosciences, Inc. (attached as Annex A to the Registration Statement).</w:t>
            </w:r>
            <w:r>
              <w:rPr>
                <w:rStyle w:val="InternetLink"/>
                <w:sz w:val="20"/>
                <w:u w:val="single"/>
                <w:b w:val="false"/>
                <w:rFonts w:ascii="Times New Roman;serif" w:hAnsi="Times New Roman;serif"/>
                <w:color w:val="0000FF"/>
              </w:rPr>
              <w:fldChar w:fldCharType="end"/>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S-4/A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333-262707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May 10, 2022</w:t>
            </w:r>
          </w:p>
        </w:tc>
      </w:tr>
      <w:tr>
        <w:trPr/>
        <w:tc>
          <w:tcPr>
            <w:tcW w:w="80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"https://www.sec.gov/Archives/edgar/data/1854270/000119312522146450/d189920ds4a.htm" \l "rom189920_361b"</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Amendment No. 1 to Business Combination Agreement, dated as of February 12, 2022, by and among Dynamics Special Purpose Corp., Explore Merger Sub, Inc. and Senti Biosciences, Inc. (attached as Annex AA to the Registration Statement).</w:t>
            </w:r>
            <w:r>
              <w:rPr>
                <w:rStyle w:val="InternetLink"/>
                <w:sz w:val="20"/>
                <w:u w:val="single"/>
                <w:b w:val="false"/>
                <w:rFonts w:ascii="Times New Roman;serif" w:hAnsi="Times New Roman;serif"/>
                <w:color w:val="0000FF"/>
              </w:rPr>
              <w:fldChar w:fldCharType="end"/>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S-4/A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333-262707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May 10, 2022</w:t>
            </w:r>
          </w:p>
        </w:tc>
      </w:tr>
      <w:tr>
        <w:trPr/>
        <w:tc>
          <w:tcPr>
            <w:tcW w:w="80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Amendment No. 2 to Business Combination Agreement, dated as of May 19, 2022, by and among Dynamics Special Purpose Corp., Explore Merger Sub, Inc. and Senti Biosciences,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May 24, 2022</w:t>
            </w:r>
          </w:p>
        </w:tc>
      </w:tr>
      <w:tr>
        <w:trPr/>
        <w:tc>
          <w:tcPr>
            <w:tcW w:w="80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hyperlink r:id="rId3">
              <w:r>
                <w:rPr>
                  <w:rStyle w:val="InternetLink"/>
                  <w:rFonts w:ascii="Times New Roman;serif" w:hAnsi="Times New Roman;serif"/>
                  <w:b w:val="false"/>
                  <w:color w:val="0000FF"/>
                  <w:sz w:val="20"/>
                  <w:u w:val="single"/>
                </w:rPr>
                <w:t>Second Amended and Restated Certificate of Incorporation of Senti Biosciences,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June 15, 2022</w:t>
            </w:r>
          </w:p>
        </w:tc>
      </w:tr>
      <w:tr>
        <w:trPr/>
        <w:tc>
          <w:tcPr>
            <w:tcW w:w="80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Certificate of Amendment to the Second Amended and Restated Certificate of Incorporation of Senti Biosciences, Inc. (Officer Exculpation Amendment)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July 12, 2024</w:t>
            </w:r>
          </w:p>
        </w:tc>
      </w:tr>
      <w:tr>
        <w:trPr/>
        <w:tc>
          <w:tcPr>
            <w:tcW w:w="80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Certificate of Amendment to the Second Amended and Restated Certificate of Incorporation of Senti Biosciences, Inc. (Reverse Stock Split Amendment)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July 17, 2024</w:t>
            </w:r>
          </w:p>
        </w:tc>
      </w:tr>
      <w:tr>
        <w:trPr/>
        <w:tc>
          <w:tcPr>
            <w:tcW w:w="80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Amended and Restated Bylaws of Senti Biosciences,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June 15, 2022</w:t>
            </w:r>
          </w:p>
        </w:tc>
      </w:tr>
      <w:tr>
        <w:trPr/>
        <w:tc>
          <w:tcPr>
            <w:tcW w:w="80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Certificate of Designation of Preferences, Rights and Limitations of the Series A Convertible Preferred Stock of Senti Biosciences,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2, 2024</w:t>
            </w:r>
          </w:p>
        </w:tc>
      </w:tr>
      <w:tr>
        <w:trPr/>
        <w:tc>
          <w:tcPr>
            <w:tcW w:w="80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Specimen Common Stock Certificate</w:t>
              </w:r>
            </w:hyperlink>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July 14, 2024</w:t>
            </w:r>
          </w:p>
        </w:tc>
      </w:tr>
      <w:tr>
        <w:trPr/>
        <w:tc>
          <w:tcPr>
            <w:tcW w:w="80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Form of Common Stock Warrant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2, 2024</w:t>
            </w:r>
          </w:p>
        </w:tc>
      </w:tr>
      <w:tr>
        <w:trPr/>
        <w:tc>
          <w:tcPr>
            <w:tcW w:w="80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pPr>
            <w:hyperlink r:id="rId10">
              <w:r>
                <w:rPr>
                  <w:rStyle w:val="InternetLink"/>
                  <w:rFonts w:ascii="Times New Roman;serif" w:hAnsi="Times New Roman;serif"/>
                  <w:b w:val="false"/>
                  <w:color w:val="0000FF"/>
                  <w:sz w:val="20"/>
                  <w:u w:val="single"/>
                </w:rPr>
                <w:t>Description of Securities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March 20, 2025</w:t>
            </w:r>
          </w:p>
        </w:tc>
      </w:tr>
      <w:tr>
        <w:trPr/>
        <w:tc>
          <w:tcPr>
            <w:tcW w:w="80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Note Subscription Agreement by and among Senti Biosciences, Inc., Dynamics Special Purpose Corp. and Bayer HealthCare LLC, dated as of May 19, 2022.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May 24, 2022</w:t>
            </w:r>
          </w:p>
        </w:tc>
      </w:tr>
      <w:tr>
        <w:trPr/>
        <w:tc>
          <w:tcPr>
            <w:tcW w:w="80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Senti Biosciences, Inc. 2016 Stock Incentive Plan, as amended, and forms of award agreements thereunder.</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333-262707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February 14, 2022</w:t>
            </w:r>
          </w:p>
        </w:tc>
      </w:tr>
      <w:tr>
        <w:trPr/>
        <w:tc>
          <w:tcPr>
            <w:tcW w:w="80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Senti Biosciences, Inc. 2022 Amended and Restated Equity Incentive Plan and forms of award agreements thereunder.</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March 10, 2025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04e45f5eecf04a289de970267f3a1cd1_10">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97"/>
        <w:gridCol w:w="262"/>
        <w:gridCol w:w="263"/>
        <w:gridCol w:w="109"/>
        <w:gridCol w:w="109"/>
        <w:gridCol w:w="109"/>
        <w:gridCol w:w="1614"/>
        <w:gridCol w:w="1388"/>
        <w:gridCol w:w="1403"/>
        <w:gridCol w:w="109"/>
        <w:gridCol w:w="109"/>
        <w:gridCol w:w="109"/>
        <w:gridCol w:w="287"/>
        <w:gridCol w:w="287"/>
        <w:gridCol w:w="289"/>
        <w:gridCol w:w="109"/>
        <w:gridCol w:w="109"/>
        <w:gridCol w:w="109"/>
        <w:gridCol w:w="337"/>
        <w:gridCol w:w="254"/>
        <w:gridCol w:w="222"/>
        <w:gridCol w:w="109"/>
        <w:gridCol w:w="109"/>
        <w:gridCol w:w="109"/>
        <w:gridCol w:w="210"/>
        <w:gridCol w:w="210"/>
        <w:gridCol w:w="211"/>
        <w:gridCol w:w="109"/>
        <w:gridCol w:w="109"/>
        <w:gridCol w:w="109"/>
        <w:gridCol w:w="428"/>
        <w:gridCol w:w="271"/>
        <w:gridCol w:w="337"/>
      </w:tblGrid>
      <w:tr>
        <w:trPr/>
        <w:tc>
          <w:tcPr>
            <w:tcW w:w="29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4" w:type="dxa"/>
            <w:gridSpan w:val="21"/>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82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Schedule/Form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822"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pPr>
            <w:hyperlink r:id="rId14">
              <w:r>
                <w:rPr>
                  <w:rStyle w:val="InternetLink"/>
                  <w:rFonts w:ascii="Times New Roman;serif" w:hAnsi="Times New Roman;serif"/>
                  <w:b w:val="false"/>
                  <w:color w:val="0000FF"/>
                  <w:sz w:val="20"/>
                  <w:u w:val="single"/>
                </w:rPr>
                <w:t>Senti Biosciences, Inc. 2022 Employee Stock Purchase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August 15, 2022</w:t>
            </w:r>
          </w:p>
        </w:tc>
      </w:tr>
      <w:tr>
        <w:trPr/>
        <w:tc>
          <w:tcPr>
            <w:tcW w:w="82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Form of Indemnification Agreement by and between the Registrant and each of its directors and executive officers. Combination.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S-4/A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333-262707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May 10, 2022</w:t>
            </w:r>
          </w:p>
        </w:tc>
      </w:tr>
      <w:tr>
        <w:trPr/>
        <w:tc>
          <w:tcPr>
            <w:tcW w:w="822"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Employee Offer Letter, by and between Timothy Lu and Senti Biosciences, Inc., dated December 27, 2018.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333-262707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February 14, 2022</w:t>
            </w:r>
          </w:p>
        </w:tc>
      </w:tr>
      <w:tr>
        <w:trPr/>
        <w:tc>
          <w:tcPr>
            <w:tcW w:w="82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Lease, by and between Britannia Biotech Gateway Limited Partnership and Senti Biosciences, Inc., dated July 17, 2018.</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333-262707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February 14, 2022</w:t>
            </w:r>
          </w:p>
        </w:tc>
      </w:tr>
      <w:tr>
        <w:trPr/>
        <w:tc>
          <w:tcPr>
            <w:tcW w:w="822"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First Amendment to Lease, by and between Britannia Biotech Gateway Limited Partnership and Senti Biosciences, Inc., dated May 8, 2019</w:t>
              </w:r>
            </w:hyperlink>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333-262707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February 14, 2022</w:t>
            </w:r>
          </w:p>
        </w:tc>
      </w:tr>
      <w:tr>
        <w:trPr/>
        <w:tc>
          <w:tcPr>
            <w:tcW w:w="82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Second Amendment to Lease, by and between Britannia Biotech Gateway Limited Partnership and Senti Biosciences, Inc., dated June 17, 2020.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333-262707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February 14, 2022</w:t>
            </w:r>
          </w:p>
        </w:tc>
      </w:tr>
      <w:tr>
        <w:trPr/>
        <w:tc>
          <w:tcPr>
            <w:tcW w:w="822"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Times New Roman;serif" w:hAnsi="Times New Roman;serif"/>
                  <w:b w:val="false"/>
                  <w:color w:val="0000FF"/>
                  <w:sz w:val="20"/>
                  <w:u w:val="single"/>
                </w:rPr>
                <w:t>Research and Development and Laboratory Lease Agreement, by and between 1430 Harbor Bay Pkwy LLC and Senti Biosciences, Inc., dated June 3, 2021.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March 22, 2023</w:t>
            </w:r>
          </w:p>
        </w:tc>
      </w:tr>
      <w:tr>
        <w:trPr/>
        <w:tc>
          <w:tcPr>
            <w:tcW w:w="82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Patent License Agreement by and between the U.S. Department of Health and Human Services, as represented by the National Cancer Institute, and Senti Biosciences, Inc., dated July 20, 2020.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333-262707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February 14, 2022</w:t>
            </w:r>
          </w:p>
        </w:tc>
      </w:tr>
      <w:tr>
        <w:trPr/>
        <w:tc>
          <w:tcPr>
            <w:tcW w:w="822"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Patent License Agreement by and between the U.S. Department of Health and Human Services, as represented by the National Cancer Institute, and Senti Biosciences, Inc., dated February 5, 2021.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333-262707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February 14, 2022</w:t>
            </w:r>
          </w:p>
        </w:tc>
      </w:tr>
      <w:tr>
        <w:trPr/>
        <w:tc>
          <w:tcPr>
            <w:tcW w:w="82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Research Collaboration and License Agreement by and between Spark Therapeutics, Inc. and Senti Biosciences, Inc., dated April 9, 2021</w:t>
              </w:r>
            </w:hyperlink>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333-262707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February 14, 2022</w:t>
            </w:r>
          </w:p>
        </w:tc>
      </w:tr>
      <w:tr>
        <w:trPr/>
        <w:tc>
          <w:tcPr>
            <w:tcW w:w="822"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Patent License Agreement by and between the U.S. Department of Health and Human Services, as represented by the National Cancer Institute, and Senti Biosciences, Inc., dated May 17, 2021.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333-262707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February 14, 2022</w:t>
            </w:r>
          </w:p>
        </w:tc>
      </w:tr>
      <w:tr>
        <w:trPr/>
        <w:tc>
          <w:tcPr>
            <w:tcW w:w="82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Collaboration and Option Agreement by and between BlueRock Therapeutics, LP and Senti Biosciences, Inc., dated May 21, 2021.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333-262707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February 14, 2022</w:t>
            </w:r>
          </w:p>
        </w:tc>
      </w:tr>
      <w:tr>
        <w:trPr/>
        <w:tc>
          <w:tcPr>
            <w:tcW w:w="822"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20"/>
                  <w:u w:val="single"/>
                </w:rPr>
                <w:t>Investor Rights and Lock-up Agreement.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June 15, 2022</w:t>
            </w:r>
          </w:p>
        </w:tc>
      </w:tr>
      <w:tr>
        <w:trPr/>
        <w:tc>
          <w:tcPr>
            <w:tcW w:w="82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20"/>
                  <w:u w:val="single"/>
                </w:rPr>
                <w:t xml:space="preserve">Senti Biosciences, Inc. Amended and Restated 2022 Inducement Plan and forms of award agreements thereunder. </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333-285655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March 7, 2025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04e45f5eecf04a289de970267f3a1cd1_10">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06"/>
        <w:gridCol w:w="270"/>
        <w:gridCol w:w="271"/>
        <w:gridCol w:w="109"/>
        <w:gridCol w:w="109"/>
        <w:gridCol w:w="109"/>
        <w:gridCol w:w="1454"/>
        <w:gridCol w:w="1297"/>
        <w:gridCol w:w="1311"/>
        <w:gridCol w:w="109"/>
        <w:gridCol w:w="109"/>
        <w:gridCol w:w="109"/>
        <w:gridCol w:w="355"/>
        <w:gridCol w:w="321"/>
        <w:gridCol w:w="323"/>
        <w:gridCol w:w="109"/>
        <w:gridCol w:w="109"/>
        <w:gridCol w:w="109"/>
        <w:gridCol w:w="339"/>
        <w:gridCol w:w="260"/>
        <w:gridCol w:w="230"/>
        <w:gridCol w:w="109"/>
        <w:gridCol w:w="109"/>
        <w:gridCol w:w="109"/>
        <w:gridCol w:w="210"/>
        <w:gridCol w:w="210"/>
        <w:gridCol w:w="211"/>
        <w:gridCol w:w="109"/>
        <w:gridCol w:w="109"/>
        <w:gridCol w:w="109"/>
        <w:gridCol w:w="349"/>
        <w:gridCol w:w="349"/>
        <w:gridCol w:w="504"/>
      </w:tblGrid>
      <w:tr>
        <w:trPr/>
        <w:tc>
          <w:tcPr>
            <w:tcW w:w="30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2" w:type="dxa"/>
            <w:gridSpan w:val="21"/>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8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Schedule/Form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84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20"/>
                  <w:u w:val="single"/>
                </w:rPr>
                <w:t>Registration Rights Agreement dated as of August 31, 2022, by and between Senti Biosciences, Inc. and Chardan Capital Markets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September 1, 2022</w:t>
            </w:r>
          </w:p>
        </w:tc>
      </w:tr>
      <w:tr>
        <w:trPr/>
        <w:tc>
          <w:tcPr>
            <w:tcW w:w="84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Amended and Restated Non-Employee Director Compensation Policy.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March 10, 2025</w:t>
            </w:r>
          </w:p>
        </w:tc>
      </w:tr>
      <w:tr>
        <w:trPr/>
        <w:tc>
          <w:tcPr>
            <w:tcW w:w="84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20"/>
                  <w:u w:val="single"/>
                </w:rPr>
                <w:t>Consulting Agreement between Senti Biosciences, Inc. and David Epstein.</w:t>
              </w:r>
            </w:hyperlink>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November 10, 2022</w:t>
            </w:r>
          </w:p>
        </w:tc>
      </w:tr>
      <w:tr>
        <w:trPr/>
        <w:tc>
          <w:tcPr>
            <w:tcW w:w="84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20"/>
                  <w:u w:val="single"/>
                </w:rPr>
                <w:t>Severance and Change in Control Agreement between the Company and Tim Lu.</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November 10, 2022</w:t>
            </w:r>
          </w:p>
        </w:tc>
      </w:tr>
      <w:tr>
        <w:trPr/>
        <w:tc>
          <w:tcPr>
            <w:tcW w:w="84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20"/>
                  <w:u w:val="single"/>
                </w:rPr>
                <w:t>Amendment No. 1 to the Research and License Agreement between Spark Therapeutics, Inc. and Senti Biosciences, Inc., dated December 8, 2022.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March 22, 2023</w:t>
            </w:r>
          </w:p>
        </w:tc>
      </w:tr>
      <w:tr>
        <w:trPr/>
        <w:tc>
          <w:tcPr>
            <w:tcW w:w="84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FF"/>
                  <w:sz w:val="20"/>
                  <w:u w:val="single"/>
                </w:rPr>
                <w:t>Side Letter between BlueRock Therapeutics, LP and Senti Biosciences, Inc., dated February 3, 2023.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March 22, 2023</w:t>
            </w:r>
          </w:p>
        </w:tc>
      </w:tr>
      <w:tr>
        <w:trPr/>
        <w:tc>
          <w:tcPr>
            <w:tcW w:w="84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FF"/>
                  <w:sz w:val="20"/>
                  <w:u w:val="single"/>
                </w:rPr>
                <w:t>Scientific Advisory Board Agreement between Senti Biosciences, Inc. and James Collins.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March 22, 2023</w:t>
            </w:r>
          </w:p>
        </w:tc>
      </w:tr>
      <w:tr>
        <w:trPr/>
        <w:tc>
          <w:tcPr>
            <w:tcW w:w="84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erif" w:hAnsi="Times New Roman;serif"/>
                  <w:b w:val="false"/>
                  <w:color w:val="0000FF"/>
                  <w:sz w:val="20"/>
                  <w:u w:val="single"/>
                </w:rPr>
                <w:t>Employee Offer Letter by and between Kanya Rajangam and Senti Biosciences, Inc., dated May 10, 2022.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May 9, 2023</w:t>
            </w:r>
          </w:p>
        </w:tc>
      </w:tr>
      <w:tr>
        <w:trPr/>
        <w:tc>
          <w:tcPr>
            <w:tcW w:w="84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erif" w:hAnsi="Times New Roman;serif"/>
                  <w:b w:val="false"/>
                  <w:color w:val="0000FF"/>
                  <w:sz w:val="20"/>
                  <w:u w:val="single"/>
                </w:rPr>
                <w:t>Amendment No. 2 to the Research and License Agreement between Spark Therapeutics, Inc. and Senti Biosciences, Inc., dated May 12, 2023.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August 11, 2023</w:t>
            </w:r>
          </w:p>
        </w:tc>
      </w:tr>
      <w:tr>
        <w:trPr/>
        <w:tc>
          <w:tcPr>
            <w:tcW w:w="84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erif" w:hAnsi="Times New Roman;serif"/>
                  <w:b w:val="false"/>
                  <w:color w:val="0000FF"/>
                  <w:sz w:val="20"/>
                  <w:u w:val="single"/>
                </w:rPr>
                <w:t>Framework Agreement by and among Senti Biosciences, Inc., GeneFab, LLC and Valere Bio, Inc., dated August 7, 2023.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November 14, 2023</w:t>
            </w:r>
          </w:p>
        </w:tc>
      </w:tr>
      <w:tr>
        <w:trPr/>
        <w:tc>
          <w:tcPr>
            <w:tcW w:w="84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erif" w:hAnsi="Times New Roman;serif"/>
                  <w:b w:val="false"/>
                  <w:color w:val="0000FF"/>
                  <w:sz w:val="20"/>
                  <w:u w:val="single"/>
                </w:rPr>
                <w:t>Seller Economic Share Agreement by and among Senti Biosciences, Inc., GeneFab, Inc and Valere Bio, Inc., dated August 7, 2023.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November 14, 2023</w:t>
            </w:r>
          </w:p>
        </w:tc>
      </w:tr>
      <w:tr>
        <w:trPr/>
        <w:tc>
          <w:tcPr>
            <w:tcW w:w="84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erif" w:hAnsi="Times New Roman;serif"/>
                  <w:b w:val="false"/>
                  <w:color w:val="0000FF"/>
                  <w:sz w:val="20"/>
                  <w:u w:val="single"/>
                </w:rPr>
                <w:t>Development and Manufacturing Services Agreement by and between Senti Biosciences, Inc. and GeneFab, LLC dated August 7, 2023.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November 14, 2023</w:t>
            </w:r>
          </w:p>
        </w:tc>
      </w:tr>
      <w:tr>
        <w:trPr/>
        <w:tc>
          <w:tcPr>
            <w:tcW w:w="84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erif" w:hAnsi="Times New Roman;serif"/>
                  <w:b w:val="false"/>
                  <w:color w:val="0000FF"/>
                  <w:sz w:val="20"/>
                  <w:u w:val="single"/>
                </w:rPr>
                <w:t>Sublease Agreement by and between Senti Biosciences, Inc. and GeneFab, LLC dated August 7, 2023.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November 14, 2023</w:t>
            </w:r>
          </w:p>
        </w:tc>
      </w:tr>
      <w:tr>
        <w:trPr/>
        <w:tc>
          <w:tcPr>
            <w:tcW w:w="84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erif" w:hAnsi="Times New Roman;serif"/>
                  <w:b w:val="false"/>
                  <w:color w:val="0000FF"/>
                  <w:sz w:val="20"/>
                  <w:u w:val="single"/>
                </w:rPr>
                <w:t>Option Agreement by and between Senti Biosciences, Inc. and GeneFab, LLC, dated August 7, 2023</w:t>
              </w:r>
            </w:hyperlink>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POS-AM (on 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333-265873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November 1, 2023</w:t>
            </w:r>
          </w:p>
        </w:tc>
      </w:tr>
      <w:tr>
        <w:trPr/>
        <w:tc>
          <w:tcPr>
            <w:tcW w:w="84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erif" w:hAnsi="Times New Roman;serif"/>
                  <w:b w:val="false"/>
                  <w:color w:val="0000FF"/>
                  <w:sz w:val="20"/>
                  <w:u w:val="single"/>
                </w:rPr>
                <w:t>Collaboration and Option Agreement by and between Senti Biosciences, Inc., and Celest Therapeutics (Shanghai) Co. Ltd., dated November 6, 2023.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March 21, 2024</w:t>
            </w:r>
          </w:p>
        </w:tc>
      </w:tr>
      <w:tr>
        <w:trPr/>
        <w:tc>
          <w:tcPr>
            <w:tcW w:w="84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erif" w:hAnsi="Times New Roman;serif"/>
                  <w:b w:val="false"/>
                  <w:color w:val="0000FF"/>
                  <w:sz w:val="20"/>
                  <w:u w:val="single"/>
                </w:rPr>
                <w:t>Amended and Restated ChEF Purchase Agreement, by and between Chardan Capital Markets LLC and Senti Biosciences, Inc., dated July 16, 2024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July 16, 2024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04e45f5eecf04a289de970267f3a1cd1_10">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08"/>
        <w:gridCol w:w="272"/>
        <w:gridCol w:w="273"/>
        <w:gridCol w:w="109"/>
        <w:gridCol w:w="109"/>
        <w:gridCol w:w="109"/>
        <w:gridCol w:w="1583"/>
        <w:gridCol w:w="1339"/>
        <w:gridCol w:w="1356"/>
        <w:gridCol w:w="109"/>
        <w:gridCol w:w="109"/>
        <w:gridCol w:w="109"/>
        <w:gridCol w:w="294"/>
        <w:gridCol w:w="294"/>
        <w:gridCol w:w="296"/>
        <w:gridCol w:w="109"/>
        <w:gridCol w:w="109"/>
        <w:gridCol w:w="109"/>
        <w:gridCol w:w="252"/>
        <w:gridCol w:w="252"/>
        <w:gridCol w:w="223"/>
        <w:gridCol w:w="109"/>
        <w:gridCol w:w="109"/>
        <w:gridCol w:w="109"/>
        <w:gridCol w:w="210"/>
        <w:gridCol w:w="210"/>
        <w:gridCol w:w="211"/>
        <w:gridCol w:w="109"/>
        <w:gridCol w:w="109"/>
        <w:gridCol w:w="109"/>
        <w:gridCol w:w="458"/>
        <w:gridCol w:w="366"/>
        <w:gridCol w:w="373"/>
      </w:tblGrid>
      <w:tr>
        <w:trPr/>
        <w:tc>
          <w:tcPr>
            <w:tcW w:w="30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21"/>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8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Schedule/Form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85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erif" w:hAnsi="Times New Roman;serif"/>
                  <w:b w:val="false"/>
                  <w:color w:val="0000FF"/>
                  <w:sz w:val="20"/>
                  <w:u w:val="single"/>
                </w:rPr>
                <w:t>Sublease Agreement by and between the Company and GeneFab, LLC, dated as of May 7, 2024.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August 13, 2024</w:t>
            </w:r>
          </w:p>
        </w:tc>
      </w:tr>
      <w:tr>
        <w:trPr/>
        <w:tc>
          <w:tcPr>
            <w:tcW w:w="85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erif" w:hAnsi="Times New Roman;serif"/>
                  <w:b w:val="false"/>
                  <w:color w:val="0000FF"/>
                  <w:sz w:val="20"/>
                  <w:u w:val="single"/>
                </w:rPr>
                <w:t>Consulting Agreement by and between the Company and Yvonne Li, effective as of May 1, 2024.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August 13, 2024</w:t>
            </w:r>
          </w:p>
        </w:tc>
      </w:tr>
      <w:tr>
        <w:trPr/>
        <w:tc>
          <w:tcPr>
            <w:tcW w:w="85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erif" w:hAnsi="Times New Roman;serif"/>
                  <w:b w:val="false"/>
                  <w:color w:val="0000FF"/>
                  <w:sz w:val="20"/>
                  <w:u w:val="single"/>
                </w:rPr>
                <w:t>Sublease Agreement by and among the Company, BKPBIOTECH, Inc. and JLSA2 Therapeutics, Inc., dated as of September 23, 2024.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November 14, 2024</w:t>
            </w:r>
          </w:p>
        </w:tc>
      </w:tr>
      <w:tr>
        <w:trPr/>
        <w:tc>
          <w:tcPr>
            <w:tcW w:w="85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10.37^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erif" w:hAnsi="Times New Roman;serif"/>
                  <w:b w:val="false"/>
                  <w:color w:val="0000FF"/>
                  <w:sz w:val="20"/>
                  <w:u w:val="single"/>
                </w:rPr>
                <w:t>Storage License Agreement by and among the Company, BKPBIOTECH, Inc. and JLSA2 Therapeutics, Inc., dated as of September 23, 2024.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November 14, 2024</w:t>
            </w:r>
          </w:p>
        </w:tc>
      </w:tr>
      <w:tr>
        <w:trPr/>
        <w:tc>
          <w:tcPr>
            <w:tcW w:w="85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10.38^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erif" w:hAnsi="Times New Roman;serif"/>
                  <w:b w:val="false"/>
                  <w:color w:val="0000FF"/>
                  <w:sz w:val="20"/>
                  <w:u w:val="single"/>
                </w:rPr>
                <w:t>Securities Purchase Agreement, dated December 2, 2024, by and among Senti Biosciences, Inc. and the purchasers named therein</w:t>
              </w:r>
            </w:hyperlink>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2, 2024</w:t>
            </w:r>
          </w:p>
        </w:tc>
      </w:tr>
      <w:tr>
        <w:trPr/>
        <w:tc>
          <w:tcPr>
            <w:tcW w:w="85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10.39^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erif" w:hAnsi="Times New Roman;serif"/>
                  <w:b w:val="false"/>
                  <w:color w:val="0000FF"/>
                  <w:sz w:val="20"/>
                  <w:u w:val="single"/>
                </w:rPr>
                <w:t>Registration Rights Agreement, dated December 2, 2024 by and among Senti Biosciences, Inc., and the investors named therein.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2, 2024</w:t>
            </w:r>
          </w:p>
        </w:tc>
      </w:tr>
      <w:tr>
        <w:trPr/>
        <w:tc>
          <w:tcPr>
            <w:tcW w:w="85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10.40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erif" w:hAnsi="Times New Roman;serif"/>
                  <w:b w:val="false"/>
                  <w:color w:val="0000FF"/>
                  <w:sz w:val="20"/>
                  <w:u w:val="single"/>
                </w:rPr>
                <w:t>Designation Agreement, dated December 2, 2024, by and between Senti Biosciences, Inc., and Celadon Partners SPV 24.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2, 2024</w:t>
            </w:r>
          </w:p>
        </w:tc>
      </w:tr>
      <w:tr>
        <w:trPr/>
        <w:tc>
          <w:tcPr>
            <w:tcW w:w="85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10.41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erif" w:hAnsi="Times New Roman;serif"/>
                  <w:b w:val="false"/>
                  <w:color w:val="0000FF"/>
                  <w:sz w:val="20"/>
                  <w:u w:val="single"/>
                </w:rPr>
                <w:t>Designation Agreement, dated December 2, 2024, by and between Senti Biosciences, Inc., and New Enterprise Associates 15, L.P.</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2, 2024</w:t>
            </w:r>
          </w:p>
        </w:tc>
      </w:tr>
      <w:tr>
        <w:trPr/>
        <w:tc>
          <w:tcPr>
            <w:tcW w:w="85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10.42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erif" w:hAnsi="Times New Roman;serif"/>
                  <w:b w:val="false"/>
                  <w:color w:val="0000FF"/>
                  <w:sz w:val="20"/>
                  <w:u w:val="single"/>
                </w:rPr>
                <w:t>Form of Performance Stock Unit Award Agreement.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March 20, 2025</w:t>
            </w:r>
          </w:p>
        </w:tc>
      </w:tr>
      <w:tr>
        <w:trPr/>
        <w:tc>
          <w:tcPr>
            <w:tcW w:w="85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10.43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erif" w:hAnsi="Times New Roman;serif"/>
                  <w:b w:val="false"/>
                  <w:color w:val="0000FF"/>
                  <w:sz w:val="20"/>
                  <w:u w:val="single"/>
                </w:rPr>
                <w:t>Amended and Restated Development and Manufacturing Services Agreement between Senti Biosciences, Inc. and GeneFab, LLC dated December 10, 2024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March 20, 2025</w:t>
            </w:r>
          </w:p>
        </w:tc>
      </w:tr>
      <w:tr>
        <w:trPr/>
        <w:tc>
          <w:tcPr>
            <w:tcW w:w="85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10.44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erif" w:hAnsi="Times New Roman;serif"/>
                  <w:b w:val="false"/>
                  <w:color w:val="0000FF"/>
                  <w:sz w:val="20"/>
                  <w:u w:val="single"/>
                </w:rPr>
                <w:t>Amendment No. 1 to Framework Agreement by and among Senti Biosciences, Inc., Valere Bio, Inc. and GeneFab, LLC dated December 10, 2024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March 20, 2025</w:t>
            </w:r>
          </w:p>
        </w:tc>
      </w:tr>
      <w:tr>
        <w:trPr/>
        <w:tc>
          <w:tcPr>
            <w:tcW w:w="85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10.45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erif" w:hAnsi="Times New Roman;serif"/>
                  <w:b w:val="false"/>
                  <w:color w:val="0000FF"/>
                  <w:sz w:val="20"/>
                  <w:u w:val="single"/>
                </w:rPr>
                <w:t>Amendment No. 1 to Option Agreement between Senti Biosciences, Inc. and Celadon Partners SPV XVI dated December 10, 2024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March 20, 2025</w:t>
            </w:r>
          </w:p>
        </w:tc>
      </w:tr>
      <w:tr>
        <w:trPr/>
        <w:tc>
          <w:tcPr>
            <w:tcW w:w="85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10.46+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erif" w:hAnsi="Times New Roman;serif"/>
                  <w:b w:val="false"/>
                  <w:color w:val="0000FF"/>
                  <w:sz w:val="20"/>
                  <w:u w:val="single"/>
                </w:rPr>
                <w:t>Consulting Agreement by and between the Company and Yvonne Li, effective as of February 5, 2025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May 6, 2025</w:t>
            </w:r>
          </w:p>
        </w:tc>
      </w:tr>
      <w:tr>
        <w:trPr/>
        <w:tc>
          <w:tcPr>
            <w:tcW w:w="85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Times New Roman;serif" w:hAnsi="Times New Roman;serif"/>
                  <w:b w:val="false"/>
                  <w:color w:val="0000FF"/>
                  <w:sz w:val="20"/>
                  <w:u w:val="single"/>
                </w:rPr>
                <w:t>Letter from Marcum LLC to the SEC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June 15, 2022</w:t>
            </w:r>
          </w:p>
        </w:tc>
      </w:tr>
      <w:tr>
        <w:trPr/>
        <w:tc>
          <w:tcPr>
            <w:tcW w:w="85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Times New Roman;serif" w:hAnsi="Times New Roman;serif"/>
                  <w:b w:val="false"/>
                  <w:color w:val="0000FF"/>
                  <w:sz w:val="20"/>
                  <w:u w:val="single"/>
                </w:rPr>
                <w:t>Insider Trading Policy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March 20, 2025</w:t>
            </w:r>
          </w:p>
        </w:tc>
      </w:tr>
      <w:tr>
        <w:trPr/>
        <w:tc>
          <w:tcPr>
            <w:tcW w:w="85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9">
              <w:r>
                <w:rPr>
                  <w:rStyle w:val="InternetLink"/>
                  <w:rFonts w:ascii="Times New Roman;serif" w:hAnsi="Times New Roman;serif"/>
                  <w:b w:val="false"/>
                  <w:color w:val="0000FF"/>
                  <w:sz w:val="20"/>
                  <w:u w:val="single"/>
                </w:rPr>
                <w:t>List of Subsidiaries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June 15, 2022</w:t>
            </w:r>
          </w:p>
        </w:tc>
      </w:tr>
      <w:tr>
        <w:trPr/>
        <w:tc>
          <w:tcPr>
            <w:tcW w:w="85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0">
              <w:r>
                <w:rPr>
                  <w:rStyle w:val="InternetLink"/>
                  <w:rFonts w:ascii="Times New Roman;serif" w:hAnsi="Times New Roman;serif"/>
                  <w:b w:val="false"/>
                  <w:color w:val="0000FF"/>
                  <w:sz w:val="20"/>
                  <w:u w:val="single"/>
                </w:rPr>
                <w:t>Consent of KPMG LLP, Independent Registered Public Accounting Firm (ID 185)</w:t>
              </w:r>
            </w:hyperlink>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March 27, 2026</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04e45f5eecf04a289de970267f3a1cd1_10">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97"/>
        <w:gridCol w:w="262"/>
        <w:gridCol w:w="263"/>
        <w:gridCol w:w="109"/>
        <w:gridCol w:w="109"/>
        <w:gridCol w:w="109"/>
        <w:gridCol w:w="1803"/>
        <w:gridCol w:w="1445"/>
        <w:gridCol w:w="1450"/>
        <w:gridCol w:w="109"/>
        <w:gridCol w:w="109"/>
        <w:gridCol w:w="109"/>
        <w:gridCol w:w="287"/>
        <w:gridCol w:w="287"/>
        <w:gridCol w:w="288"/>
        <w:gridCol w:w="109"/>
        <w:gridCol w:w="109"/>
        <w:gridCol w:w="109"/>
        <w:gridCol w:w="250"/>
        <w:gridCol w:w="250"/>
        <w:gridCol w:w="218"/>
        <w:gridCol w:w="109"/>
        <w:gridCol w:w="109"/>
        <w:gridCol w:w="109"/>
        <w:gridCol w:w="210"/>
        <w:gridCol w:w="210"/>
        <w:gridCol w:w="211"/>
        <w:gridCol w:w="109"/>
        <w:gridCol w:w="109"/>
        <w:gridCol w:w="109"/>
        <w:gridCol w:w="302"/>
        <w:gridCol w:w="219"/>
        <w:gridCol w:w="318"/>
      </w:tblGrid>
      <w:tr>
        <w:trPr/>
        <w:tc>
          <w:tcPr>
            <w:tcW w:w="29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1" w:type="dxa"/>
            <w:gridSpan w:val="21"/>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82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Schedule/Form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82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"https://www.sec.gov/ix?doc=/Archives/edgar/data/1854270/000162828026021580/snti-20251231.htm" \l "i9db53e3ed8cc405785017b4ca11c3776_268"</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Power of Attorney (included on the signature page to the Annual Report on Form 10-K which forms part of this Annual Report on Form 10-K).</w:t>
            </w:r>
            <w:r>
              <w:rPr>
                <w:rStyle w:val="InternetLink"/>
                <w:sz w:val="20"/>
                <w:u w:val="single"/>
                <w:b w:val="false"/>
                <w:rFonts w:ascii="Times New Roman;serif" w:hAnsi="Times New Roman;serif"/>
                <w:color w:val="0000FF"/>
              </w:rPr>
              <w:fldChar w:fldCharType="end"/>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March 27, 2026</w:t>
            </w:r>
          </w:p>
        </w:tc>
      </w:tr>
      <w:tr>
        <w:trPr/>
        <w:tc>
          <w:tcPr>
            <w:tcW w:w="822"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Times New Roman;serif" w:hAnsi="Times New Roman;serif"/>
                  <w:b w:val="false"/>
                  <w:color w:val="0000FF"/>
                  <w:sz w:val="20"/>
                  <w:u w:val="single"/>
                </w:rPr>
                <w:t>Certification of Principal Executive Officer and Principal Financial Officer Pursuant to Securities Exchange Act Rules 13a-14(a) and 15(d)-14(a),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color w:val="000000"/>
              </w:rPr>
            </w:pPr>
            <w:r>
              <w:rPr>
                <w:color w:val="000000"/>
              </w:rPr>
              <w:t> </w:t>
            </w:r>
            <w:r>
              <w:rPr>
                <w:rFonts w:ascii="Times New Roman;serif" w:hAnsi="Times New Roman;serif"/>
                <w:b w:val="false"/>
                <w:color w:val="000000"/>
                <w:sz w:val="20"/>
              </w:rPr>
              <w:t>001-40440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March 27, 2026</w:t>
            </w:r>
          </w:p>
        </w:tc>
      </w:tr>
      <w:tr>
        <w:trPr/>
        <w:tc>
          <w:tcPr>
            <w:tcW w:w="82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2">
              <w:r>
                <w:rPr>
                  <w:rStyle w:val="InternetLink"/>
                  <w:rFonts w:ascii="Times New Roman;serif" w:hAnsi="Times New Roman;serif"/>
                  <w:b w:val="false"/>
                  <w:color w:val="0000FF"/>
                  <w:sz w:val="20"/>
                  <w:u w:val="single"/>
                </w:rPr>
                <w:t>Certification of Principal Financial Officer Pursuant to Securities Exchange Act Rules 13a-14(a) and 15(d)-14(a),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March 27, 2026</w:t>
            </w:r>
          </w:p>
        </w:tc>
      </w:tr>
      <w:tr>
        <w:trPr/>
        <w:tc>
          <w:tcPr>
            <w:tcW w:w="822"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3">
              <w:r>
                <w:rPr>
                  <w:rStyle w:val="InternetLink"/>
                  <w:rFonts w:ascii="Times New Roman;serif" w:hAnsi="Times New Roman;serif"/>
                  <w:b w:val="false"/>
                  <w:color w:val="0000FF"/>
                  <w:sz w:val="20"/>
                  <w:u w:val="single"/>
                </w:rPr>
                <w:t>Certification of Principal Executive Officer and Principal Financial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March 27, 2026</w:t>
            </w:r>
          </w:p>
        </w:tc>
      </w:tr>
      <w:tr>
        <w:trPr/>
        <w:tc>
          <w:tcPr>
            <w:tcW w:w="82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4">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March 27, 2026</w:t>
            </w:r>
          </w:p>
        </w:tc>
      </w:tr>
      <w:tr>
        <w:trPr/>
        <w:tc>
          <w:tcPr>
            <w:tcW w:w="822"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31.3*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5123110-kaex313.htm">
              <w:r>
                <w:rPr>
                  <w:rStyle w:val="InternetLink"/>
                  <w:rFonts w:ascii="Times New Roman;serif" w:hAnsi="Times New Roman;serif"/>
                  <w:b w:val="false"/>
                  <w:color w:val="0000FF"/>
                  <w:sz w:val="20"/>
                  <w:u w:val="single"/>
                </w:rPr>
                <w:t>Certification of Principal Executive Officer Pursuant to Securities Exchange Act Rules 13a-14(a) and 15(d)-14(a),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31.4*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5123110-kaex314.htm">
              <w:r>
                <w:rPr>
                  <w:rStyle w:val="InternetLink"/>
                  <w:rFonts w:ascii="Times New Roman;serif" w:hAnsi="Times New Roman;serif"/>
                  <w:b w:val="false"/>
                  <w:color w:val="0000FF"/>
                  <w:sz w:val="20"/>
                  <w:u w:val="single"/>
                </w:rPr>
                <w:t>Certification of Principal Financial Officer Pursuant to Securities Exchange Act Rules 13a-14(a) and 15(d)-14(a),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5">
              <w:r>
                <w:rPr>
                  <w:rStyle w:val="InternetLink"/>
                  <w:rFonts w:ascii="Times New Roman;serif" w:hAnsi="Times New Roman;serif"/>
                  <w:b w:val="false"/>
                  <w:color w:val="0000FF"/>
                  <w:sz w:val="20"/>
                  <w:u w:val="single"/>
                </w:rPr>
                <w:t>Senti Biosciences, Inc. Compensation Recovery Policy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001-40440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March 21, 2024</w:t>
            </w:r>
          </w:p>
        </w:tc>
      </w:tr>
      <w:tr>
        <w:trPr/>
        <w:tc>
          <w:tcPr>
            <w:tcW w:w="82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for our Annual Report on Form 10-K has been formatted in Inline XBRL and contained in Exhibit 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04e45f5eecf04a289de970267f3a1cd1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56"/>
        <w:gridCol w:w="2784"/>
        <w:gridCol w:w="37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6" w:type="dxa"/>
            <w:tcBorders/>
            <w:vAlign w:val="center"/>
          </w:tcPr>
          <w:p>
            <w:pPr>
              <w:pStyle w:val="TableContents"/>
              <w:bidi w:val="0"/>
              <w:spacing w:before="0" w:after="283"/>
              <w:jc w:val="left"/>
              <w:rPr>
                <w:sz w:val="4"/>
                <w:szCs w:val="4"/>
              </w:rPr>
            </w:pPr>
            <w:r>
              <w:rPr>
                <w:sz w:val="4"/>
                <w:szCs w:val="4"/>
              </w:rPr>
            </w:r>
          </w:p>
        </w:tc>
        <w:tc>
          <w:tcPr>
            <w:tcW w:w="2784" w:type="dxa"/>
            <w:tcBorders/>
            <w:vAlign w:val="center"/>
          </w:tcPr>
          <w:p>
            <w:pPr>
              <w:pStyle w:val="TableContents"/>
              <w:bidi w:val="0"/>
              <w:spacing w:before="0" w:after="283"/>
              <w:jc w:val="left"/>
              <w:rPr>
                <w:sz w:val="4"/>
                <w:szCs w:val="4"/>
              </w:rPr>
            </w:pPr>
            <w:r>
              <w:rPr>
                <w:sz w:val="4"/>
                <w:szCs w:val="4"/>
              </w:rPr>
            </w:r>
          </w:p>
        </w:tc>
        <w:tc>
          <w:tcPr>
            <w:tcW w:w="37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Furnished herewith. This certification will not be deemed “filed” for purposes of Section 18 of the Securities Exchange Act of 1934, as amended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Certain exhibits and schedules to this Exhibit have been omitted in accordance with Regulation S-K Item 601(b)(2). The Company agrees to furnish supplementally a copy of all omitted exhibits and schedules to the Securities and Exchange Commission upon its request.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Portions of this exhibit (indicated by asterisks) have been omitted because the registrant has determined that the information is both not material and is the type that the registration treats as private or confidential.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Indicates management contract or compensatory plan.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180"/>
        <w:jc w:val="left"/>
        <w:rPr/>
      </w:pPr>
      <w:hyperlink w:anchor="i04e45f5eecf04a289de970267f3a1cd1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68" w:before="0" w:after="0"/>
        <w:jc w:val="both"/>
        <w:rPr/>
      </w:pPr>
      <w:r>
        <w:rPr>
          <w:rFonts w:ascii="Times New Roman;serif" w:hAnsi="Times New Roman;serif"/>
          <w:b w:val="false"/>
          <w:color w:val="000000"/>
          <w:sz w:val="20"/>
        </w:rPr>
        <w:t>Pursuant to the requirements of Section 13 or 15(d) of the Securities Exchange Act of 1934, as amended, the Registrant has duly caused this Report to be signed on its behalf by the undersigned, thereunto duly authorized</w:t>
      </w:r>
      <w:r>
        <w:rPr>
          <w:rFonts w:ascii="Times New Roman;serif" w:hAnsi="Times New Roman;serif"/>
          <w:b/>
          <w:color w:val="000000"/>
          <w:sz w:val="20"/>
        </w:rPr>
        <w:t>.</w:t>
      </w:r>
    </w:p>
    <w:p>
      <w:pPr>
        <w:pStyle w:val="TextBody"/>
        <w:bidi w:val="0"/>
        <w:spacing w:before="0" w:after="180"/>
        <w:jc w:val="left"/>
        <w:rPr/>
      </w:pPr>
      <w:r>
        <w:rPr/>
      </w:r>
    </w:p>
    <w:tbl>
      <w:tblPr>
        <w:tblW w:w="581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4"/>
        <w:gridCol w:w="274"/>
        <w:gridCol w:w="274"/>
        <w:gridCol w:w="371"/>
        <w:gridCol w:w="371"/>
        <w:gridCol w:w="371"/>
        <w:gridCol w:w="939"/>
        <w:gridCol w:w="939"/>
        <w:gridCol w:w="13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SENTI BIOSCIENCES,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2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Lu, M.D., Ph.D.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Lu, M.D., Ph.D.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Date: April 29, 2026</w:t>
      </w:r>
    </w:p>
    <w:p>
      <w:pPr>
        <w:pStyle w:val="TextBody"/>
        <w:bidi w:val="0"/>
        <w:spacing w:before="0" w:after="180"/>
        <w:jc w:val="left"/>
        <w:rPr/>
      </w:pPr>
      <w:r>
        <w:rPr/>
      </w:r>
    </w:p>
    <w:p>
      <w:pPr>
        <w:pStyle w:val="TextBody"/>
        <w:bidi w:val="0"/>
        <w:spacing w:before="0" w:after="18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31.3</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left"/>
        <w:rPr/>
      </w:pPr>
      <w:r>
        <w:rPr/>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 Timothy Lu, M.D., Ph.D., certify that: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Amendment No. 1 to the Annual Report on Form 10-K for the year ended December 31, 2025, of Senti Biosciences Holding, Inc.;</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180"/>
        <w:jc w:val="left"/>
        <w:rPr/>
      </w:pPr>
      <w:r>
        <w:rPr/>
      </w:r>
    </w:p>
    <w:p>
      <w:pPr>
        <w:pStyle w:val="TextBody"/>
        <w:bidi w:val="0"/>
        <w:spacing w:before="0" w:after="0"/>
        <w:jc w:val="center"/>
        <w:rPr/>
      </w:pPr>
      <w:r>
        <w:rPr/>
      </w:r>
    </w:p>
    <w:tbl>
      <w:tblPr>
        <w:tblW w:w="5725" w:type="dxa"/>
        <w:jc w:val="left"/>
        <w:tblInd w:w="0" w:type="dxa"/>
        <w:tblLayout w:type="fixed"/>
        <w:tblCellMar>
          <w:top w:w="28" w:type="dxa"/>
          <w:left w:w="28" w:type="dxa"/>
          <w:bottom w:w="28" w:type="dxa"/>
          <w:right w:w="28" w:type="dxa"/>
        </w:tblCellMar>
      </w:tblPr>
      <w:tblGrid>
        <w:gridCol w:w="645"/>
        <w:gridCol w:w="568"/>
        <w:gridCol w:w="571"/>
        <w:gridCol w:w="134"/>
        <w:gridCol w:w="134"/>
        <w:gridCol w:w="136"/>
        <w:gridCol w:w="109"/>
        <w:gridCol w:w="109"/>
        <w:gridCol w:w="109"/>
        <w:gridCol w:w="938"/>
        <w:gridCol w:w="938"/>
        <w:gridCol w:w="1334"/>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April 29,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Lu, M.D., Ph.D.</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Lu, M.D., Ph.D.</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31.4</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Jay Cross, certify that:</w:t>
      </w:r>
    </w:p>
    <w:p>
      <w:pPr>
        <w:pStyle w:val="TextBody"/>
        <w:bidi w:val="0"/>
        <w:spacing w:before="0" w:after="0"/>
        <w:jc w:val="left"/>
        <w:rPr/>
      </w:pPr>
      <w:r>
        <w:rPr/>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Amendment No. 1 to the Annual Report on Form 10-K for the year ended December 31, 2025, of Senti Biosciences Holding, Inc.;</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center"/>
        <w:rPr/>
      </w:pPr>
      <w:r>
        <w:rPr/>
      </w:r>
    </w:p>
    <w:tbl>
      <w:tblPr>
        <w:tblW w:w="6385" w:type="dxa"/>
        <w:jc w:val="left"/>
        <w:tblInd w:w="0" w:type="dxa"/>
        <w:tblLayout w:type="fixed"/>
        <w:tblCellMar>
          <w:top w:w="28" w:type="dxa"/>
          <w:left w:w="28" w:type="dxa"/>
          <w:bottom w:w="28" w:type="dxa"/>
          <w:right w:w="28" w:type="dxa"/>
        </w:tblCellMar>
      </w:tblPr>
      <w:tblGrid>
        <w:gridCol w:w="645"/>
        <w:gridCol w:w="568"/>
        <w:gridCol w:w="571"/>
        <w:gridCol w:w="134"/>
        <w:gridCol w:w="134"/>
        <w:gridCol w:w="136"/>
        <w:gridCol w:w="109"/>
        <w:gridCol w:w="109"/>
        <w:gridCol w:w="109"/>
        <w:gridCol w:w="1134"/>
        <w:gridCol w:w="1134"/>
        <w:gridCol w:w="1602"/>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April 29,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Jay Cross</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Jay Cross</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4270/000119312522158089/d282881dex21.htm" TargetMode="External"/><Relationship Id="rId3" Type="http://schemas.openxmlformats.org/officeDocument/2006/relationships/hyperlink" Target="https://www.sec.gov/Archives/edgar/data/1854270/000119312522174498/d360749dex31.htm" TargetMode="External"/><Relationship Id="rId4" Type="http://schemas.openxmlformats.org/officeDocument/2006/relationships/hyperlink" Target="https://www.sec.gov/ix?doc=/Archives/edgar/data/0001854270/000185427024000081/snti-20240710.htm" TargetMode="External"/><Relationship Id="rId5" Type="http://schemas.openxmlformats.org/officeDocument/2006/relationships/hyperlink" Target="https://www.sec.gov/ix?doc=/Archives/edgar/data/0001854270/000185427024000081/snti-20240710.htm" TargetMode="External"/><Relationship Id="rId6" Type="http://schemas.openxmlformats.org/officeDocument/2006/relationships/hyperlink" Target="https://www.sec.gov/Archives/edgar/data/1854270/000119312522174498/d360749dex32.htm" TargetMode="External"/><Relationship Id="rId7" Type="http://schemas.openxmlformats.org/officeDocument/2006/relationships/hyperlink" Target="https://www.sec.gov/ix?doc=/Archives/edgar/data/0001854270/000114036124048184/ef20039400_8k.htm" TargetMode="External"/><Relationship Id="rId8" Type="http://schemas.openxmlformats.org/officeDocument/2006/relationships/hyperlink" Target="https://www.sec.gov/Archives/edgar/data/1854270/000119312522174498/d360749dex41.htm" TargetMode="External"/><Relationship Id="rId9" Type="http://schemas.openxmlformats.org/officeDocument/2006/relationships/hyperlink" Target="https://www.sec.gov/Archives/edgar/data/0001854270/000114036124048184/ef20039400_ex4-1.htm" TargetMode="External"/><Relationship Id="rId10" Type="http://schemas.openxmlformats.org/officeDocument/2006/relationships/hyperlink" Target="https://www.sec.gov/Archives/edgar/data/1854270/000185427025000042/a2024123110kex43.htm" TargetMode="External"/><Relationship Id="rId11" Type="http://schemas.openxmlformats.org/officeDocument/2006/relationships/hyperlink" Target="https://www.sec.gov/Archives/edgar/data/1854270/000119312522158089/d282881dex101.htm" TargetMode="External"/><Relationship Id="rId12" Type="http://schemas.openxmlformats.org/officeDocument/2006/relationships/hyperlink" Target="https://www.sec.gov/Archives/edgar/data/1854270/000119312522041549/d189920dex102.htm" TargetMode="External"/><Relationship Id="rId13" Type="http://schemas.openxmlformats.org/officeDocument/2006/relationships/hyperlink" Target="https://www.sec.gov/Archives/edgar/data/0001854270/000114036125007862/ef20045153_ex10-1.htm" TargetMode="External"/><Relationship Id="rId14" Type="http://schemas.openxmlformats.org/officeDocument/2006/relationships/hyperlink" Target="https://www.sec.gov/Archives/edgar/data/1854270/000185427022000019/a6302210qex104.htm" TargetMode="External"/><Relationship Id="rId15" Type="http://schemas.openxmlformats.org/officeDocument/2006/relationships/hyperlink" Target="https://www.sec.gov/Archives/edgar/data/0001854270/000119312522146450/d189920dex105.htm" TargetMode="External"/><Relationship Id="rId16" Type="http://schemas.openxmlformats.org/officeDocument/2006/relationships/hyperlink" Target="https://www.sec.gov/Archives/edgar/data/1854270/000119312522041549/d189920dex106.htm" TargetMode="External"/><Relationship Id="rId17" Type="http://schemas.openxmlformats.org/officeDocument/2006/relationships/hyperlink" Target="https://www.sec.gov/Archives/edgar/data/1854270/000119312522041549/d189920dex1010.htm" TargetMode="External"/><Relationship Id="rId18" Type="http://schemas.openxmlformats.org/officeDocument/2006/relationships/hyperlink" Target="https://www.sec.gov/Archives/edgar/data/1854270/000119312522041549/d189920dex1011.htm" TargetMode="External"/><Relationship Id="rId19" Type="http://schemas.openxmlformats.org/officeDocument/2006/relationships/hyperlink" Target="https://www.sec.gov/Archives/edgar/data/1854270/000119312522041549/d189920dex1012.htm" TargetMode="External"/><Relationship Id="rId20" Type="http://schemas.openxmlformats.org/officeDocument/2006/relationships/hyperlink" Target="https://www.sec.gov/Archives/edgar/data/1854270/000185427023000033/senti123122ex1013leaseagre.htm" TargetMode="External"/><Relationship Id="rId21" Type="http://schemas.openxmlformats.org/officeDocument/2006/relationships/hyperlink" Target="https://www.sec.gov/Archives/edgar/data/1854270/000119312522041549/d189920dex1014.htm" TargetMode="External"/><Relationship Id="rId22" Type="http://schemas.openxmlformats.org/officeDocument/2006/relationships/hyperlink" Target="https://www.sec.gov/Archives/edgar/data/1854270/000119312522041549/d189920dex1015.htm" TargetMode="External"/><Relationship Id="rId23" Type="http://schemas.openxmlformats.org/officeDocument/2006/relationships/hyperlink" Target="https://www.sec.gov/Archives/edgar/data/1854270/000119312522041549/d189920dex1016.htm" TargetMode="External"/><Relationship Id="rId24" Type="http://schemas.openxmlformats.org/officeDocument/2006/relationships/hyperlink" Target="https://www.sec.gov/Archives/edgar/data/1854270/000119312522041549/d189920dex1017.htm" TargetMode="External"/><Relationship Id="rId25" Type="http://schemas.openxmlformats.org/officeDocument/2006/relationships/hyperlink" Target="https://www.sec.gov/Archives/edgar/data/1854270/000119312522041549/d189920dex1018.htm" TargetMode="External"/><Relationship Id="rId26" Type="http://schemas.openxmlformats.org/officeDocument/2006/relationships/hyperlink" Target="https://www.sec.gov/Archives/edgar/data/1854270/000119312522174498/d360749dex104.htm" TargetMode="External"/><Relationship Id="rId27" Type="http://schemas.openxmlformats.org/officeDocument/2006/relationships/hyperlink" Target="https://www.sec.gov/Archives/edgar/data/1854270/000114036125007659/ef20045051_ex99-3.htm" TargetMode="External"/><Relationship Id="rId28" Type="http://schemas.openxmlformats.org/officeDocument/2006/relationships/hyperlink" Target="https://www.sec.gov/Archives/edgar/data/1854270/000185427022000028/a202208318kex102.htm" TargetMode="External"/><Relationship Id="rId29" Type="http://schemas.openxmlformats.org/officeDocument/2006/relationships/hyperlink" Target="https://www.sec.gov/Archives/edgar/data/0001854270/000114036125007862/ef20045153_ex10-3.htm" TargetMode="External"/><Relationship Id="rId30" Type="http://schemas.openxmlformats.org/officeDocument/2006/relationships/hyperlink" Target="https://www.sec.gov/Archives/edgar/data/1854270/000185427022000043/a9302210qex102.htm" TargetMode="External"/><Relationship Id="rId31" Type="http://schemas.openxmlformats.org/officeDocument/2006/relationships/hyperlink" Target="https://www.sec.gov/Archives/edgar/data/1854270/000185427022000043/a9302210qex105.htm" TargetMode="External"/><Relationship Id="rId32" Type="http://schemas.openxmlformats.org/officeDocument/2006/relationships/hyperlink" Target="https://www.sec.gov/Archives/edgar/data/1854270/000185427023000033/senti123122ex1032sparkamen.htm" TargetMode="External"/><Relationship Id="rId33" Type="http://schemas.openxmlformats.org/officeDocument/2006/relationships/hyperlink" Target="https://www.sec.gov/Archives/edgar/data/1854270/000185427023000033/senti123122ex1033bluerocks.htm" TargetMode="External"/><Relationship Id="rId34" Type="http://schemas.openxmlformats.org/officeDocument/2006/relationships/hyperlink" Target="https://www.sec.gov/Archives/edgar/data/1854270/000185427023000033/senti123122ex1034jamescoll.htm" TargetMode="External"/><Relationship Id="rId35" Type="http://schemas.openxmlformats.org/officeDocument/2006/relationships/hyperlink" Target="https://www.sec.gov/Archives/edgar/data/1854270/000185427023000064/senti-employmentagreementk.htm" TargetMode="External"/><Relationship Id="rId36" Type="http://schemas.openxmlformats.org/officeDocument/2006/relationships/hyperlink" Target="https://www.sec.gov/Archives/edgar/data/1854270/000185427023000105/a20230630ex991sparkamendme.htm" TargetMode="External"/><Relationship Id="rId37" Type="http://schemas.openxmlformats.org/officeDocument/2006/relationships/hyperlink" Target="https://www.sec.gov/Archives/edgar/data/1854270/000185427023000129/a20230930ex101frameworkagr.htm" TargetMode="External"/><Relationship Id="rId38" Type="http://schemas.openxmlformats.org/officeDocument/2006/relationships/hyperlink" Target="https://www.sec.gov/Archives/edgar/data/1854270/000185427023000129/a20230930ex102sellereconom.htm" TargetMode="External"/><Relationship Id="rId39" Type="http://schemas.openxmlformats.org/officeDocument/2006/relationships/hyperlink" Target="https://www.sec.gov/Archives/edgar/data/1854270/000185427023000129/a20230930ex103developmenta.htm" TargetMode="External"/><Relationship Id="rId40" Type="http://schemas.openxmlformats.org/officeDocument/2006/relationships/hyperlink" Target="https://www.sec.gov/Archives/edgar/data/1854270/000185427023000129/a20230930ex104subleaseagre.htm" TargetMode="External"/><Relationship Id="rId41" Type="http://schemas.openxmlformats.org/officeDocument/2006/relationships/hyperlink" Target="https://www.sec.gov/Archives/edgar/data/1854270/000162828023036037/exhibit108-sx3despacsx1.htm" TargetMode="External"/><Relationship Id="rId42" Type="http://schemas.openxmlformats.org/officeDocument/2006/relationships/hyperlink" Target="https://www.sec.gov/Archives/edgar/data/0001854270/000185427024000029/a2023123110kex1041.htm" TargetMode="External"/><Relationship Id="rId43" Type="http://schemas.openxmlformats.org/officeDocument/2006/relationships/hyperlink" Target="https://www.sec.gov/Archives/edgar/data/0001854270/000185427024000091/a202407168kex101.htm" TargetMode="External"/><Relationship Id="rId44" Type="http://schemas.openxmlformats.org/officeDocument/2006/relationships/hyperlink" Target="https://www.sec.gov/Archives/edgar/data/0001854270/000185427024000101/a20240630ex101senti-genefa.htm" TargetMode="External"/><Relationship Id="rId45" Type="http://schemas.openxmlformats.org/officeDocument/2006/relationships/hyperlink" Target="https://www.sec.gov/ix?doc=/Archives/edgar/data/0001854270/000185427024000101/snti-20240630.htm" TargetMode="External"/><Relationship Id="rId46" Type="http://schemas.openxmlformats.org/officeDocument/2006/relationships/hyperlink" Target="https://www.sec.gov/Archives/edgar/data/1854270/000185427024000116/a20240930ex102sublease-bkp.htm" TargetMode="External"/><Relationship Id="rId47" Type="http://schemas.openxmlformats.org/officeDocument/2006/relationships/hyperlink" Target="https://www.sec.gov/Archives/edgar/data/1854270/000185427024000116/a20240930ex103-storagelice.htm" TargetMode="External"/><Relationship Id="rId48" Type="http://schemas.openxmlformats.org/officeDocument/2006/relationships/hyperlink" Target="https://www.sec.gov/Archives/edgar/data/1854270/000114036124048184/ef20039400_ex10-1.htm" TargetMode="External"/><Relationship Id="rId49" Type="http://schemas.openxmlformats.org/officeDocument/2006/relationships/hyperlink" Target="https://www.sec.gov/Archives/edgar/data/1854270/000114036124048184/ef20039400_ex10-2.htm" TargetMode="External"/><Relationship Id="rId50" Type="http://schemas.openxmlformats.org/officeDocument/2006/relationships/hyperlink" Target="https://www.sec.gov/Archives/edgar/data/0001854270/000114036124048184/ef20039400_ex10-3.htm" TargetMode="External"/><Relationship Id="rId51" Type="http://schemas.openxmlformats.org/officeDocument/2006/relationships/hyperlink" Target="https://www.sec.gov/Archives/edgar/data/0001854270/000114036124048184/ef20039400_ex10-4.htm" TargetMode="External"/><Relationship Id="rId52" Type="http://schemas.openxmlformats.org/officeDocument/2006/relationships/hyperlink" Target="https://www.sec.gov/Archives/edgar/data/1854270/000185427025000042/a2024123110kex1042.htm" TargetMode="External"/><Relationship Id="rId53" Type="http://schemas.openxmlformats.org/officeDocument/2006/relationships/hyperlink" Target="https://www.sec.gov/Archives/edgar/data/1854270/000185427025000042/a2024123110kex1043.htm" TargetMode="External"/><Relationship Id="rId54" Type="http://schemas.openxmlformats.org/officeDocument/2006/relationships/hyperlink" Target="https://www.sec.gov/Archives/edgar/data/1854270/000185427025000042/a2024123110kex1044.htm" TargetMode="External"/><Relationship Id="rId55" Type="http://schemas.openxmlformats.org/officeDocument/2006/relationships/hyperlink" Target="https://www.sec.gov/Archives/edgar/data/1854270/000185427025000042/a2024123110kex1045.htm" TargetMode="External"/><Relationship Id="rId56" Type="http://schemas.openxmlformats.org/officeDocument/2006/relationships/hyperlink" Target="https://www.sec.gov/Archives/edgar/data/1854270/000185427025000065/q125ex101_consultingagreem.htm" TargetMode="External"/><Relationship Id="rId57" Type="http://schemas.openxmlformats.org/officeDocument/2006/relationships/hyperlink" Target="https://www.sec.gov/Archives/edgar/data/1854270/000119312522174498/d360749dex161.htm" TargetMode="External"/><Relationship Id="rId58" Type="http://schemas.openxmlformats.org/officeDocument/2006/relationships/hyperlink" Target="https://www.sec.gov/Archives/edgar/data/1854270/000185427025000042/a2024-13x3110kex191.htm" TargetMode="External"/><Relationship Id="rId59" Type="http://schemas.openxmlformats.org/officeDocument/2006/relationships/hyperlink" Target="https://www.sec.gov/Archives/edgar/data/1854270/000119312522174498/d360749dex211.htm" TargetMode="External"/><Relationship Id="rId60" Type="http://schemas.openxmlformats.org/officeDocument/2006/relationships/hyperlink" Target="https://www.sec.gov/Archives/edgar/data/1854270/000162828026021580/ex231_fy202510-kkpmg.htm" TargetMode="External"/><Relationship Id="rId61" Type="http://schemas.openxmlformats.org/officeDocument/2006/relationships/hyperlink" Target="https://www.sec.gov/Archives/edgar/data/1854270/000162828026021580/ex311_fy202510-kceo.htm" TargetMode="External"/><Relationship Id="rId62" Type="http://schemas.openxmlformats.org/officeDocument/2006/relationships/hyperlink" Target="https://www.sec.gov/Archives/edgar/data/1854270/000162828026021580/ex312_fy202510-kcfo.htm" TargetMode="External"/><Relationship Id="rId63" Type="http://schemas.openxmlformats.org/officeDocument/2006/relationships/hyperlink" Target="https://www.sec.gov/Archives/edgar/data/1854270/000162828026021580/ex321fy202510-kceo.htm" TargetMode="External"/><Relationship Id="rId64" Type="http://schemas.openxmlformats.org/officeDocument/2006/relationships/hyperlink" Target="https://www.sec.gov/Archives/edgar/data/1854270/000162828026021580/ex321fy202510-kceo.htm" TargetMode="External"/><Relationship Id="rId65" Type="http://schemas.openxmlformats.org/officeDocument/2006/relationships/hyperlink" Target="https://www.sec.gov/Archives/edgar/data/0001854270/000185427024000029/a2023123110kex97.htm" TargetMode="External"/><Relationship Id="rId66" Type="http://schemas.openxmlformats.org/officeDocument/2006/relationships/fontTable" Target="fontTable.xml"/><Relationship Id="rId6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20357</Words>
  <Characters>109490</Characters>
  <CharactersWithSpaces>128740</CharactersWithSpaces>
  <Paragraphs>1710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