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May 20, 2021.</w:t>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333-255930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80645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S-1</w:t>
      </w: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72390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Dynamics Special Purpose Corp.</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86995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8" w:lineRule="exact"/>
        <w:rPr>
          <w:sz w:val="24"/>
          <w:szCs w:val="24"/>
          <w:color w:val="auto"/>
        </w:rPr>
      </w:pPr>
    </w:p>
    <w:tbl>
      <w:tblPr>
        <w:tblLayout w:type="fixed"/>
        <w:tblInd w:w="940" w:type="dxa"/>
        <w:tblCellMar>
          <w:top w:w="0" w:type="dxa"/>
          <w:left w:w="0" w:type="dxa"/>
          <w:bottom w:w="0" w:type="dxa"/>
          <w:right w:w="0" w:type="dxa"/>
        </w:tblCellMar>
      </w:tblPr>
      <w:tr>
        <w:trPr>
          <w:trHeight w:val="149"/>
        </w:trPr>
        <w:tc>
          <w:tcPr>
            <w:tcW w:w="2900" w:type="dxa"/>
            <w:vAlign w:val="bottom"/>
          </w:tcPr>
          <w:p>
            <w:pPr>
              <w:jc w:val="center"/>
              <w:ind w:right="893"/>
              <w:spacing w:after="0"/>
              <w:rPr>
                <w:sz w:val="20"/>
                <w:szCs w:val="20"/>
                <w:color w:val="auto"/>
              </w:rPr>
            </w:pPr>
            <w:r>
              <w:rPr>
                <w:rFonts w:ascii="Arial" w:cs="Arial" w:eastAsia="Arial" w:hAnsi="Arial"/>
                <w:sz w:val="13"/>
                <w:szCs w:val="13"/>
                <w:b w:val="1"/>
                <w:bCs w:val="1"/>
                <w:color w:val="auto"/>
              </w:rPr>
              <w:t>Delaware</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6770</w:t>
            </w:r>
          </w:p>
        </w:tc>
        <w:tc>
          <w:tcPr>
            <w:tcW w:w="2460" w:type="dxa"/>
            <w:vAlign w:val="bottom"/>
          </w:tcPr>
          <w:p>
            <w:pPr>
              <w:jc w:val="center"/>
              <w:ind w:left="953"/>
              <w:spacing w:after="0"/>
              <w:rPr>
                <w:sz w:val="20"/>
                <w:szCs w:val="20"/>
                <w:color w:val="auto"/>
              </w:rPr>
            </w:pPr>
            <w:r>
              <w:rPr>
                <w:rFonts w:ascii="Arial" w:cs="Arial" w:eastAsia="Arial" w:hAnsi="Arial"/>
                <w:sz w:val="13"/>
                <w:szCs w:val="13"/>
                <w:b w:val="1"/>
                <w:bCs w:val="1"/>
                <w:color w:val="auto"/>
              </w:rPr>
              <w:t>86-2437900</w:t>
            </w:r>
          </w:p>
        </w:tc>
      </w:tr>
      <w:tr>
        <w:trPr>
          <w:trHeight w:val="148"/>
        </w:trPr>
        <w:tc>
          <w:tcPr>
            <w:tcW w:w="2900" w:type="dxa"/>
            <w:vAlign w:val="bottom"/>
          </w:tcPr>
          <w:p>
            <w:pPr>
              <w:jc w:val="center"/>
              <w:ind w:right="893"/>
              <w:spacing w:after="0"/>
              <w:rPr>
                <w:sz w:val="20"/>
                <w:szCs w:val="20"/>
                <w:color w:val="auto"/>
              </w:rPr>
            </w:pPr>
            <w:r>
              <w:rPr>
                <w:rFonts w:ascii="Arial" w:cs="Arial" w:eastAsia="Arial" w:hAnsi="Arial"/>
                <w:sz w:val="13"/>
                <w:szCs w:val="13"/>
                <w:b w:val="1"/>
                <w:bCs w:val="1"/>
                <w:color w:val="auto"/>
              </w:rPr>
              <w:t>(State or other jurisdiction of</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(Primary Standard Industrial</w:t>
            </w:r>
          </w:p>
        </w:tc>
        <w:tc>
          <w:tcPr>
            <w:tcW w:w="2460" w:type="dxa"/>
            <w:vAlign w:val="bottom"/>
          </w:tcPr>
          <w:p>
            <w:pPr>
              <w:jc w:val="center"/>
              <w:ind w:left="953"/>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2900" w:type="dxa"/>
            <w:vAlign w:val="bottom"/>
          </w:tcPr>
          <w:p>
            <w:pPr>
              <w:jc w:val="center"/>
              <w:ind w:right="893"/>
              <w:spacing w:after="0"/>
              <w:rPr>
                <w:sz w:val="20"/>
                <w:szCs w:val="20"/>
                <w:color w:val="auto"/>
              </w:rPr>
            </w:pPr>
            <w:r>
              <w:rPr>
                <w:rFonts w:ascii="Arial" w:cs="Arial" w:eastAsia="Arial" w:hAnsi="Arial"/>
                <w:sz w:val="13"/>
                <w:szCs w:val="13"/>
                <w:b w:val="1"/>
                <w:bCs w:val="1"/>
                <w:color w:val="auto"/>
              </w:rPr>
              <w:t>incorporation or organization)</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Classification Code Number)</w:t>
            </w:r>
          </w:p>
        </w:tc>
        <w:tc>
          <w:tcPr>
            <w:tcW w:w="2460" w:type="dxa"/>
            <w:vAlign w:val="bottom"/>
          </w:tcPr>
          <w:p>
            <w:pPr>
              <w:jc w:val="center"/>
              <w:ind w:left="953"/>
              <w:spacing w:after="0"/>
              <w:rPr>
                <w:sz w:val="20"/>
                <w:szCs w:val="20"/>
                <w:color w:val="auto"/>
              </w:rPr>
            </w:pPr>
            <w:r>
              <w:rPr>
                <w:rFonts w:ascii="Arial" w:cs="Arial" w:eastAsia="Arial" w:hAnsi="Arial"/>
                <w:sz w:val="13"/>
                <w:szCs w:val="13"/>
                <w:b w:val="1"/>
                <w:bCs w:val="1"/>
                <w:color w:val="auto"/>
              </w:rPr>
              <w:t>Identification Number)</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2875 El Camino Real</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Redwood City, California, 94061</w:t>
      </w:r>
    </w:p>
    <w:p>
      <w:pPr>
        <w:jc w:val="center"/>
        <w:spacing w:after="0"/>
        <w:rPr>
          <w:sz w:val="20"/>
          <w:szCs w:val="20"/>
          <w:color w:val="auto"/>
        </w:rPr>
      </w:pPr>
      <w:r>
        <w:rPr>
          <w:rFonts w:ascii="Arial" w:cs="Arial" w:eastAsia="Arial" w:hAnsi="Arial"/>
          <w:sz w:val="13"/>
          <w:szCs w:val="13"/>
          <w:b w:val="1"/>
          <w:bCs w:val="1"/>
          <w:color w:val="auto"/>
        </w:rPr>
        <w:t>United States of America</w:t>
      </w:r>
    </w:p>
    <w:p>
      <w:pPr>
        <w:jc w:val="center"/>
        <w:spacing w:after="0"/>
        <w:rPr>
          <w:sz w:val="20"/>
          <w:szCs w:val="20"/>
          <w:color w:val="auto"/>
        </w:rPr>
      </w:pPr>
      <w:r>
        <w:rPr>
          <w:rFonts w:ascii="Arial" w:cs="Arial" w:eastAsia="Arial" w:hAnsi="Arial"/>
          <w:sz w:val="13"/>
          <w:szCs w:val="13"/>
          <w:b w:val="1"/>
          <w:bCs w:val="1"/>
          <w:color w:val="auto"/>
        </w:rPr>
        <w:t>Telephone: (408) 212-0200</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85725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Omid Farokhzad, Executive Chair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Mostafa Ronaghi, Chief Executive Officer</w:t>
      </w:r>
    </w:p>
    <w:p>
      <w:pPr>
        <w:jc w:val="center"/>
        <w:spacing w:after="0"/>
        <w:rPr>
          <w:sz w:val="20"/>
          <w:szCs w:val="20"/>
          <w:color w:val="auto"/>
        </w:rPr>
      </w:pPr>
      <w:r>
        <w:rPr>
          <w:rFonts w:ascii="Arial" w:cs="Arial" w:eastAsia="Arial" w:hAnsi="Arial"/>
          <w:sz w:val="13"/>
          <w:szCs w:val="13"/>
          <w:b w:val="1"/>
          <w:bCs w:val="1"/>
          <w:color w:val="auto"/>
        </w:rPr>
        <w:t>Mark Afrasiabi, Chief Financial Officer</w:t>
      </w:r>
    </w:p>
    <w:p>
      <w:pPr>
        <w:jc w:val="center"/>
        <w:spacing w:after="0"/>
        <w:rPr>
          <w:sz w:val="20"/>
          <w:szCs w:val="20"/>
          <w:color w:val="auto"/>
        </w:rPr>
      </w:pPr>
      <w:r>
        <w:rPr>
          <w:rFonts w:ascii="Arial" w:cs="Arial" w:eastAsia="Arial" w:hAnsi="Arial"/>
          <w:sz w:val="13"/>
          <w:szCs w:val="13"/>
          <w:b w:val="1"/>
          <w:bCs w:val="1"/>
          <w:color w:val="auto"/>
        </w:rPr>
        <w:t>Rowan Chapman, Chief Business Officer</w:t>
      </w:r>
    </w:p>
    <w:p>
      <w:pPr>
        <w:jc w:val="center"/>
        <w:spacing w:after="0"/>
        <w:rPr>
          <w:sz w:val="20"/>
          <w:szCs w:val="20"/>
          <w:color w:val="auto"/>
        </w:rPr>
      </w:pPr>
      <w:r>
        <w:rPr>
          <w:rFonts w:ascii="Arial" w:cs="Arial" w:eastAsia="Arial" w:hAnsi="Arial"/>
          <w:sz w:val="13"/>
          <w:szCs w:val="13"/>
          <w:b w:val="1"/>
          <w:bCs w:val="1"/>
          <w:color w:val="auto"/>
        </w:rPr>
        <w:t>c/o Dynamics Special Purpose Corp.</w:t>
      </w:r>
    </w:p>
    <w:p>
      <w:pPr>
        <w:jc w:val="center"/>
        <w:spacing w:after="0"/>
        <w:rPr>
          <w:sz w:val="20"/>
          <w:szCs w:val="20"/>
          <w:color w:val="auto"/>
        </w:rPr>
      </w:pPr>
      <w:r>
        <w:rPr>
          <w:rFonts w:ascii="Arial" w:cs="Arial" w:eastAsia="Arial" w:hAnsi="Arial"/>
          <w:sz w:val="13"/>
          <w:szCs w:val="13"/>
          <w:b w:val="1"/>
          <w:bCs w:val="1"/>
          <w:color w:val="auto"/>
        </w:rPr>
        <w:t>2875 El Camino Real</w:t>
      </w:r>
    </w:p>
    <w:p>
      <w:pPr>
        <w:jc w:val="center"/>
        <w:spacing w:after="0"/>
        <w:rPr>
          <w:sz w:val="20"/>
          <w:szCs w:val="20"/>
          <w:color w:val="auto"/>
        </w:rPr>
      </w:pPr>
      <w:r>
        <w:rPr>
          <w:rFonts w:ascii="Arial" w:cs="Arial" w:eastAsia="Arial" w:hAnsi="Arial"/>
          <w:sz w:val="13"/>
          <w:szCs w:val="13"/>
          <w:b w:val="1"/>
          <w:bCs w:val="1"/>
          <w:color w:val="auto"/>
        </w:rPr>
        <w:t>Redwood City, California, 94061</w:t>
      </w:r>
    </w:p>
    <w:p>
      <w:pPr>
        <w:jc w:val="center"/>
        <w:spacing w:after="0"/>
        <w:rPr>
          <w:sz w:val="20"/>
          <w:szCs w:val="20"/>
          <w:color w:val="auto"/>
        </w:rPr>
      </w:pPr>
      <w:r>
        <w:rPr>
          <w:rFonts w:ascii="Arial" w:cs="Arial" w:eastAsia="Arial" w:hAnsi="Arial"/>
          <w:sz w:val="13"/>
          <w:szCs w:val="13"/>
          <w:b w:val="1"/>
          <w:bCs w:val="1"/>
          <w:color w:val="auto"/>
        </w:rPr>
        <w:t>United States of America</w:t>
      </w:r>
    </w:p>
    <w:p>
      <w:pPr>
        <w:jc w:val="center"/>
        <w:spacing w:after="0"/>
        <w:rPr>
          <w:sz w:val="20"/>
          <w:szCs w:val="20"/>
          <w:color w:val="auto"/>
        </w:rPr>
      </w:pPr>
      <w:r>
        <w:rPr>
          <w:rFonts w:ascii="Arial" w:cs="Arial" w:eastAsia="Arial" w:hAnsi="Arial"/>
          <w:sz w:val="13"/>
          <w:szCs w:val="13"/>
          <w:b w:val="1"/>
          <w:bCs w:val="1"/>
          <w:color w:val="auto"/>
        </w:rPr>
        <w:t>Telephone: (408) 212-0200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76835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1" w:lineRule="exact"/>
        <w:rPr>
          <w:sz w:val="24"/>
          <w:szCs w:val="24"/>
          <w:color w:val="auto"/>
        </w:rPr>
      </w:pPr>
    </w:p>
    <w:tbl>
      <w:tblPr>
        <w:tblLayout w:type="fixed"/>
        <w:tblInd w:w="1980" w:type="dxa"/>
        <w:tblCellMar>
          <w:top w:w="0" w:type="dxa"/>
          <w:left w:w="0" w:type="dxa"/>
          <w:bottom w:w="0" w:type="dxa"/>
          <w:right w:w="0" w:type="dxa"/>
        </w:tblCellMar>
      </w:tblPr>
      <w:tr>
        <w:trPr>
          <w:trHeight w:val="149"/>
        </w:trPr>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40" w:type="dxa"/>
            <w:vAlign w:val="bottom"/>
          </w:tcPr>
          <w:p>
            <w:pPr>
              <w:ind w:left="800"/>
              <w:spacing w:after="0"/>
              <w:rPr>
                <w:sz w:val="20"/>
                <w:szCs w:val="20"/>
                <w:color w:val="auto"/>
              </w:rPr>
            </w:pPr>
            <w:r>
              <w:rPr>
                <w:rFonts w:ascii="Arial" w:cs="Arial" w:eastAsia="Arial" w:hAnsi="Arial"/>
                <w:sz w:val="13"/>
                <w:szCs w:val="13"/>
                <w:b w:val="1"/>
                <w:bCs w:val="1"/>
                <w:i w:val="1"/>
                <w:iCs w:val="1"/>
                <w:color w:val="auto"/>
              </w:rPr>
              <w:t>Copies to:</w:t>
            </w:r>
          </w:p>
        </w:tc>
      </w:tr>
      <w:tr>
        <w:trPr>
          <w:trHeight w:val="148"/>
        </w:trPr>
        <w:tc>
          <w:tcPr>
            <w:tcW w:w="2520" w:type="dxa"/>
            <w:vAlign w:val="bottom"/>
            <w:gridSpan w:val="2"/>
          </w:tcPr>
          <w:p>
            <w:pPr>
              <w:jc w:val="center"/>
              <w:ind w:right="713"/>
              <w:spacing w:after="0"/>
              <w:rPr>
                <w:sz w:val="20"/>
                <w:szCs w:val="20"/>
                <w:color w:val="auto"/>
              </w:rPr>
            </w:pPr>
            <w:r>
              <w:rPr>
                <w:rFonts w:ascii="Arial" w:cs="Arial" w:eastAsia="Arial" w:hAnsi="Arial"/>
                <w:sz w:val="13"/>
                <w:szCs w:val="13"/>
                <w:b w:val="1"/>
                <w:bCs w:val="1"/>
                <w:color w:val="auto"/>
              </w:rPr>
              <w:t>Alan F. Denenberg</w:t>
            </w:r>
          </w:p>
        </w:tc>
        <w:tc>
          <w:tcPr>
            <w:tcW w:w="5040" w:type="dxa"/>
            <w:vAlign w:val="bottom"/>
          </w:tcPr>
          <w:p>
            <w:pPr>
              <w:jc w:val="center"/>
              <w:ind w:left="2913"/>
              <w:spacing w:after="0"/>
              <w:rPr>
                <w:sz w:val="20"/>
                <w:szCs w:val="20"/>
                <w:color w:val="auto"/>
              </w:rPr>
            </w:pPr>
            <w:r>
              <w:rPr>
                <w:rFonts w:ascii="Arial" w:cs="Arial" w:eastAsia="Arial" w:hAnsi="Arial"/>
                <w:sz w:val="13"/>
                <w:szCs w:val="13"/>
                <w:b w:val="1"/>
                <w:bCs w:val="1"/>
                <w:color w:val="auto"/>
              </w:rPr>
              <w:t>Roxane F. Reardon</w:t>
            </w:r>
          </w:p>
        </w:tc>
      </w:tr>
      <w:tr>
        <w:trPr>
          <w:trHeight w:val="149"/>
        </w:trPr>
        <w:tc>
          <w:tcPr>
            <w:tcW w:w="2520" w:type="dxa"/>
            <w:vAlign w:val="bottom"/>
            <w:gridSpan w:val="2"/>
          </w:tcPr>
          <w:p>
            <w:pPr>
              <w:jc w:val="center"/>
              <w:ind w:right="713"/>
              <w:spacing w:after="0"/>
              <w:rPr>
                <w:sz w:val="20"/>
                <w:szCs w:val="20"/>
                <w:color w:val="auto"/>
              </w:rPr>
            </w:pPr>
            <w:r>
              <w:rPr>
                <w:rFonts w:ascii="Arial" w:cs="Arial" w:eastAsia="Arial" w:hAnsi="Arial"/>
                <w:sz w:val="13"/>
                <w:szCs w:val="13"/>
                <w:b w:val="1"/>
                <w:bCs w:val="1"/>
                <w:color w:val="auto"/>
              </w:rPr>
              <w:t>Derek Dostal</w:t>
            </w:r>
          </w:p>
        </w:tc>
        <w:tc>
          <w:tcPr>
            <w:tcW w:w="5040" w:type="dxa"/>
            <w:vAlign w:val="bottom"/>
          </w:tcPr>
          <w:p>
            <w:pPr>
              <w:jc w:val="center"/>
              <w:ind w:left="2913"/>
              <w:spacing w:after="0"/>
              <w:rPr>
                <w:sz w:val="20"/>
                <w:szCs w:val="20"/>
                <w:color w:val="auto"/>
              </w:rPr>
            </w:pPr>
            <w:r>
              <w:rPr>
                <w:rFonts w:ascii="Arial" w:cs="Arial" w:eastAsia="Arial" w:hAnsi="Arial"/>
                <w:sz w:val="13"/>
                <w:szCs w:val="13"/>
                <w:b w:val="1"/>
                <w:bCs w:val="1"/>
                <w:color w:val="auto"/>
              </w:rPr>
              <w:t>Marisa D. Stavenas</w:t>
            </w:r>
          </w:p>
        </w:tc>
      </w:tr>
      <w:tr>
        <w:trPr>
          <w:trHeight w:val="148"/>
        </w:trPr>
        <w:tc>
          <w:tcPr>
            <w:tcW w:w="2520" w:type="dxa"/>
            <w:vAlign w:val="bottom"/>
            <w:gridSpan w:val="2"/>
          </w:tcPr>
          <w:p>
            <w:pPr>
              <w:jc w:val="center"/>
              <w:ind w:right="733"/>
              <w:spacing w:after="0"/>
              <w:rPr>
                <w:sz w:val="20"/>
                <w:szCs w:val="20"/>
                <w:color w:val="auto"/>
              </w:rPr>
            </w:pPr>
            <w:r>
              <w:rPr>
                <w:rFonts w:ascii="Arial" w:cs="Arial" w:eastAsia="Arial" w:hAnsi="Arial"/>
                <w:sz w:val="13"/>
                <w:szCs w:val="13"/>
                <w:b w:val="1"/>
                <w:bCs w:val="1"/>
                <w:color w:val="auto"/>
              </w:rPr>
              <w:t>Oliver Smith</w:t>
            </w:r>
          </w:p>
        </w:tc>
        <w:tc>
          <w:tcPr>
            <w:tcW w:w="5040" w:type="dxa"/>
            <w:vAlign w:val="bottom"/>
          </w:tcPr>
          <w:p>
            <w:pPr>
              <w:jc w:val="center"/>
              <w:ind w:left="2913"/>
              <w:spacing w:after="0"/>
              <w:rPr>
                <w:sz w:val="20"/>
                <w:szCs w:val="20"/>
                <w:color w:val="auto"/>
              </w:rPr>
            </w:pPr>
            <w:r>
              <w:rPr>
                <w:rFonts w:ascii="Arial" w:cs="Arial" w:eastAsia="Arial" w:hAnsi="Arial"/>
                <w:sz w:val="13"/>
                <w:szCs w:val="13"/>
                <w:b w:val="1"/>
                <w:bCs w:val="1"/>
                <w:color w:val="auto"/>
              </w:rPr>
              <w:t>Simpson Thacher &amp; Bartlett LLP</w:t>
            </w:r>
          </w:p>
        </w:tc>
      </w:tr>
      <w:tr>
        <w:trPr>
          <w:trHeight w:val="148"/>
        </w:trPr>
        <w:tc>
          <w:tcPr>
            <w:tcW w:w="2520" w:type="dxa"/>
            <w:vAlign w:val="bottom"/>
            <w:gridSpan w:val="2"/>
          </w:tcPr>
          <w:p>
            <w:pPr>
              <w:jc w:val="center"/>
              <w:ind w:right="713"/>
              <w:spacing w:after="0"/>
              <w:rPr>
                <w:sz w:val="20"/>
                <w:szCs w:val="20"/>
                <w:color w:val="auto"/>
              </w:rPr>
            </w:pPr>
            <w:r>
              <w:rPr>
                <w:rFonts w:ascii="Arial" w:cs="Arial" w:eastAsia="Arial" w:hAnsi="Arial"/>
                <w:sz w:val="13"/>
                <w:szCs w:val="13"/>
                <w:b w:val="1"/>
                <w:bCs w:val="1"/>
                <w:color w:val="auto"/>
              </w:rPr>
              <w:t>Davis Polk &amp; Wardwell LLP</w:t>
            </w:r>
          </w:p>
        </w:tc>
        <w:tc>
          <w:tcPr>
            <w:tcW w:w="5040" w:type="dxa"/>
            <w:vAlign w:val="bottom"/>
          </w:tcPr>
          <w:p>
            <w:pPr>
              <w:jc w:val="center"/>
              <w:ind w:left="2913"/>
              <w:spacing w:after="0"/>
              <w:rPr>
                <w:sz w:val="20"/>
                <w:szCs w:val="20"/>
                <w:color w:val="auto"/>
              </w:rPr>
            </w:pPr>
            <w:r>
              <w:rPr>
                <w:rFonts w:ascii="Arial" w:cs="Arial" w:eastAsia="Arial" w:hAnsi="Arial"/>
                <w:sz w:val="13"/>
                <w:szCs w:val="13"/>
                <w:b w:val="1"/>
                <w:bCs w:val="1"/>
                <w:color w:val="auto"/>
              </w:rPr>
              <w:t>425 Lexington Avenue</w:t>
            </w:r>
          </w:p>
        </w:tc>
      </w:tr>
      <w:tr>
        <w:trPr>
          <w:trHeight w:val="149"/>
        </w:trPr>
        <w:tc>
          <w:tcPr>
            <w:tcW w:w="2520" w:type="dxa"/>
            <w:vAlign w:val="bottom"/>
            <w:gridSpan w:val="2"/>
          </w:tcPr>
          <w:p>
            <w:pPr>
              <w:jc w:val="center"/>
              <w:ind w:right="733"/>
              <w:spacing w:after="0"/>
              <w:rPr>
                <w:sz w:val="20"/>
                <w:szCs w:val="20"/>
                <w:color w:val="auto"/>
              </w:rPr>
            </w:pPr>
            <w:r>
              <w:rPr>
                <w:rFonts w:ascii="Arial" w:cs="Arial" w:eastAsia="Arial" w:hAnsi="Arial"/>
                <w:sz w:val="13"/>
                <w:szCs w:val="13"/>
                <w:b w:val="1"/>
                <w:bCs w:val="1"/>
                <w:color w:val="auto"/>
              </w:rPr>
              <w:t>450 Lexington Avenue</w:t>
            </w:r>
          </w:p>
        </w:tc>
        <w:tc>
          <w:tcPr>
            <w:tcW w:w="5040" w:type="dxa"/>
            <w:vAlign w:val="bottom"/>
          </w:tcPr>
          <w:p>
            <w:pPr>
              <w:jc w:val="center"/>
              <w:ind w:left="2933"/>
              <w:spacing w:after="0"/>
              <w:rPr>
                <w:sz w:val="20"/>
                <w:szCs w:val="20"/>
                <w:color w:val="auto"/>
              </w:rPr>
            </w:pPr>
            <w:r>
              <w:rPr>
                <w:rFonts w:ascii="Arial" w:cs="Arial" w:eastAsia="Arial" w:hAnsi="Arial"/>
                <w:sz w:val="13"/>
                <w:szCs w:val="13"/>
                <w:b w:val="1"/>
                <w:bCs w:val="1"/>
                <w:color w:val="auto"/>
              </w:rPr>
              <w:t>New York, NY 10017</w:t>
            </w:r>
          </w:p>
        </w:tc>
      </w:tr>
      <w:tr>
        <w:trPr>
          <w:trHeight w:val="148"/>
        </w:trPr>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New York, NY</w:t>
            </w:r>
          </w:p>
        </w:tc>
        <w:tc>
          <w:tcPr>
            <w:tcW w:w="1420" w:type="dxa"/>
            <w:vAlign w:val="bottom"/>
          </w:tcPr>
          <w:p>
            <w:pPr>
              <w:ind w:left="20"/>
              <w:spacing w:after="0"/>
              <w:rPr>
                <w:sz w:val="20"/>
                <w:szCs w:val="20"/>
                <w:color w:val="auto"/>
              </w:rPr>
            </w:pPr>
            <w:r>
              <w:rPr>
                <w:rFonts w:ascii="Arial" w:cs="Arial" w:eastAsia="Arial" w:hAnsi="Arial"/>
                <w:sz w:val="13"/>
                <w:szCs w:val="13"/>
                <w:b w:val="1"/>
                <w:bCs w:val="1"/>
                <w:color w:val="auto"/>
              </w:rPr>
              <w:t>10017</w:t>
            </w:r>
          </w:p>
        </w:tc>
        <w:tc>
          <w:tcPr>
            <w:tcW w:w="5040" w:type="dxa"/>
            <w:vAlign w:val="bottom"/>
          </w:tcPr>
          <w:p>
            <w:pPr>
              <w:jc w:val="center"/>
              <w:ind w:left="2913"/>
              <w:spacing w:after="0"/>
              <w:rPr>
                <w:sz w:val="20"/>
                <w:szCs w:val="20"/>
                <w:color w:val="auto"/>
              </w:rPr>
            </w:pPr>
            <w:r>
              <w:rPr>
                <w:rFonts w:ascii="Arial" w:cs="Arial" w:eastAsia="Arial" w:hAnsi="Arial"/>
                <w:sz w:val="13"/>
                <w:szCs w:val="13"/>
                <w:b w:val="1"/>
                <w:bCs w:val="1"/>
                <w:color w:val="auto"/>
              </w:rPr>
              <w:t>Telephone: (212) 455-2000</w:t>
            </w:r>
          </w:p>
        </w:tc>
      </w:tr>
      <w:tr>
        <w:trPr>
          <w:trHeight w:val="178"/>
        </w:trPr>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Telephone: (212)</w:t>
            </w:r>
          </w:p>
        </w:tc>
        <w:tc>
          <w:tcPr>
            <w:tcW w:w="1420" w:type="dxa"/>
            <w:vAlign w:val="bottom"/>
          </w:tcPr>
          <w:p>
            <w:pPr>
              <w:ind w:left="20"/>
              <w:spacing w:after="0"/>
              <w:rPr>
                <w:sz w:val="20"/>
                <w:szCs w:val="20"/>
                <w:color w:val="auto"/>
              </w:rPr>
            </w:pPr>
            <w:r>
              <w:rPr>
                <w:rFonts w:ascii="Arial" w:cs="Arial" w:eastAsia="Arial" w:hAnsi="Arial"/>
                <w:sz w:val="13"/>
                <w:szCs w:val="13"/>
                <w:b w:val="1"/>
                <w:bCs w:val="1"/>
                <w:color w:val="auto"/>
              </w:rPr>
              <w:t>450-4000</w:t>
            </w:r>
          </w:p>
        </w:tc>
        <w:tc>
          <w:tcPr>
            <w:tcW w:w="50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77470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18" w:lineRule="exact"/>
        <w:rPr>
          <w:sz w:val="24"/>
          <w:szCs w:val="24"/>
          <w:color w:val="auto"/>
        </w:rPr>
      </w:pPr>
    </w:p>
    <w:p>
      <w:pPr>
        <w:jc w:val="center"/>
        <w:ind w:righ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right="2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right="2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right="20"/>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15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0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460" w:type="dxa"/>
            <w:vAlign w:val="bottom"/>
          </w:tcPr>
          <w:p>
            <w:pPr>
              <w:ind w:left="3700"/>
              <w:spacing w:after="0"/>
              <w:rPr>
                <w:sz w:val="20"/>
                <w:szCs w:val="20"/>
                <w:color w:val="auto"/>
              </w:rPr>
            </w:pPr>
            <w:r>
              <w:rPr>
                <w:rFonts w:ascii="Arial" w:cs="Arial" w:eastAsia="Arial" w:hAnsi="Arial"/>
                <w:sz w:val="13"/>
                <w:szCs w:val="13"/>
                <w:color w:val="auto"/>
              </w:rPr>
              <w:t>Accelerated filer</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6"/>
        </w:trPr>
        <w:tc>
          <w:tcPr>
            <w:tcW w:w="1520" w:type="dxa"/>
            <w:vAlign w:val="bottom"/>
          </w:tcPr>
          <w:p>
            <w:pPr>
              <w:spacing w:after="0"/>
              <w:rPr>
                <w:sz w:val="20"/>
                <w:szCs w:val="20"/>
                <w:color w:val="auto"/>
              </w:rPr>
            </w:pPr>
            <w:r>
              <w:rPr>
                <w:rFonts w:ascii="Arial" w:cs="Arial" w:eastAsia="Arial" w:hAnsi="Arial"/>
                <w:sz w:val="13"/>
                <w:szCs w:val="13"/>
                <w:color w:val="auto"/>
              </w:rPr>
              <w:t>Non-accelerated filer</w:t>
            </w:r>
          </w:p>
        </w:tc>
        <w:tc>
          <w:tcPr>
            <w:tcW w:w="40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5460" w:type="dxa"/>
            <w:vAlign w:val="bottom"/>
          </w:tcPr>
          <w:p>
            <w:pPr>
              <w:ind w:left="3700"/>
              <w:spacing w:after="0"/>
              <w:rPr>
                <w:sz w:val="20"/>
                <w:szCs w:val="20"/>
                <w:color w:val="auto"/>
              </w:rPr>
            </w:pPr>
            <w:r>
              <w:rPr>
                <w:rFonts w:ascii="Arial" w:cs="Arial" w:eastAsia="Arial" w:hAnsi="Arial"/>
                <w:sz w:val="13"/>
                <w:szCs w:val="13"/>
                <w:color w:val="auto"/>
              </w:rPr>
              <w:t>Smaller reporting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5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460" w:type="dxa"/>
            <w:vAlign w:val="bottom"/>
          </w:tcPr>
          <w:p>
            <w:pPr>
              <w:ind w:left="3700"/>
              <w:spacing w:after="0"/>
              <w:rPr>
                <w:sz w:val="20"/>
                <w:szCs w:val="20"/>
                <w:color w:val="auto"/>
              </w:rPr>
            </w:pPr>
            <w:r>
              <w:rPr>
                <w:rFonts w:ascii="Arial" w:cs="Arial" w:eastAsia="Arial" w:hAnsi="Arial"/>
                <w:sz w:val="13"/>
                <w:szCs w:val="13"/>
                <w:color w:val="auto"/>
              </w:rPr>
              <w:t>Emerging growth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6" w:lineRule="exact"/>
        <w:rPr>
          <w:sz w:val="24"/>
          <w:szCs w:val="24"/>
          <w:color w:val="auto"/>
        </w:rPr>
      </w:pPr>
    </w:p>
    <w:p>
      <w:pPr>
        <w:ind w:right="2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9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12"/>
        </w:trPr>
        <w:tc>
          <w:tcPr>
            <w:tcW w:w="498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jc w:val="center"/>
              <w:ind w:left="13"/>
              <w:spacing w:after="0" w:line="113" w:lineRule="exact"/>
              <w:rPr>
                <w:sz w:val="20"/>
                <w:szCs w:val="20"/>
                <w:color w:val="auto"/>
              </w:rPr>
            </w:pPr>
            <w:r>
              <w:rPr>
                <w:rFonts w:ascii="Arial" w:cs="Arial" w:eastAsia="Arial" w:hAnsi="Arial"/>
                <w:sz w:val="13"/>
                <w:szCs w:val="13"/>
                <w:b w:val="1"/>
                <w:bCs w:val="1"/>
                <w:color w:val="auto"/>
              </w:rPr>
              <w:t>Proposed maximum</w:t>
            </w:r>
          </w:p>
        </w:tc>
        <w:tc>
          <w:tcPr>
            <w:tcW w:w="1580" w:type="dxa"/>
            <w:vAlign w:val="bottom"/>
            <w:tcBorders>
              <w:right w:val="single" w:sz="8" w:color="auto"/>
            </w:tcBorders>
          </w:tcPr>
          <w:p>
            <w:pPr>
              <w:jc w:val="center"/>
              <w:ind w:left="13"/>
              <w:spacing w:after="0" w:line="113" w:lineRule="exact"/>
              <w:rPr>
                <w:sz w:val="20"/>
                <w:szCs w:val="20"/>
                <w:color w:val="auto"/>
              </w:rPr>
            </w:pPr>
            <w:r>
              <w:rPr>
                <w:rFonts w:ascii="Arial" w:cs="Arial" w:eastAsia="Arial" w:hAnsi="Arial"/>
                <w:sz w:val="13"/>
                <w:szCs w:val="13"/>
                <w:b w:val="1"/>
                <w:bCs w:val="1"/>
                <w:color w:val="auto"/>
              </w:rPr>
              <w:t>Proposed maximum</w:t>
            </w:r>
          </w:p>
        </w:tc>
        <w:tc>
          <w:tcPr>
            <w:tcW w:w="1540" w:type="dxa"/>
            <w:vAlign w:val="bottom"/>
          </w:tcPr>
          <w:p>
            <w:pPr>
              <w:spacing w:after="0"/>
              <w:rPr>
                <w:sz w:val="9"/>
                <w:szCs w:val="9"/>
                <w:color w:val="auto"/>
              </w:rPr>
            </w:pPr>
          </w:p>
        </w:tc>
      </w:tr>
      <w:tr>
        <w:trPr>
          <w:trHeight w:val="149"/>
        </w:trPr>
        <w:tc>
          <w:tcPr>
            <w:tcW w:w="4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Title of each class of security</w:t>
            </w:r>
          </w:p>
        </w:tc>
        <w:tc>
          <w:tcPr>
            <w:tcW w:w="1580" w:type="dxa"/>
            <w:vAlign w:val="bottom"/>
            <w:tcBorders>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Amount being</w:t>
            </w:r>
          </w:p>
        </w:tc>
        <w:tc>
          <w:tcPr>
            <w:tcW w:w="1560" w:type="dxa"/>
            <w:vAlign w:val="bottom"/>
            <w:tcBorders>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offering price per</w:t>
            </w:r>
          </w:p>
        </w:tc>
        <w:tc>
          <w:tcPr>
            <w:tcW w:w="1580" w:type="dxa"/>
            <w:vAlign w:val="bottom"/>
            <w:tcBorders>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aggregate offering</w:t>
            </w:r>
          </w:p>
        </w:tc>
        <w:tc>
          <w:tcPr>
            <w:tcW w:w="1540" w:type="dxa"/>
            <w:vAlign w:val="bottom"/>
          </w:tcPr>
          <w:p>
            <w:pPr>
              <w:jc w:val="center"/>
              <w:ind w:left="13"/>
              <w:spacing w:after="0"/>
              <w:rPr>
                <w:sz w:val="20"/>
                <w:szCs w:val="20"/>
                <w:color w:val="auto"/>
              </w:rPr>
            </w:pPr>
            <w:r>
              <w:rPr>
                <w:rFonts w:ascii="Arial" w:cs="Arial" w:eastAsia="Arial" w:hAnsi="Arial"/>
                <w:sz w:val="13"/>
                <w:szCs w:val="13"/>
                <w:b w:val="1"/>
                <w:bCs w:val="1"/>
                <w:color w:val="auto"/>
              </w:rPr>
              <w:t>Amount of</w:t>
            </w:r>
          </w:p>
        </w:tc>
      </w:tr>
      <w:tr>
        <w:trPr>
          <w:trHeight w:val="165"/>
        </w:trPr>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being registered</w:t>
            </w:r>
          </w:p>
        </w:tc>
        <w:tc>
          <w:tcPr>
            <w:tcW w:w="158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registered</w:t>
            </w:r>
          </w:p>
        </w:tc>
        <w:tc>
          <w:tcPr>
            <w:tcW w:w="156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security(1)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price(1)</w:t>
            </w:r>
          </w:p>
        </w:tc>
        <w:tc>
          <w:tcPr>
            <w:tcW w:w="15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registration fee</w:t>
            </w:r>
          </w:p>
        </w:tc>
      </w:tr>
      <w:tr>
        <w:trPr>
          <w:trHeight w:val="142"/>
        </w:trPr>
        <w:tc>
          <w:tcPr>
            <w:tcW w:w="49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Class A common stock, $0.0001 par value (1)(2)(3)</w:t>
            </w:r>
          </w:p>
        </w:tc>
        <w:tc>
          <w:tcPr>
            <w:tcW w:w="158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23,000,000 Shares</w:t>
            </w:r>
          </w:p>
        </w:tc>
        <w:tc>
          <w:tcPr>
            <w:tcW w:w="1560" w:type="dxa"/>
            <w:vAlign w:val="bottom"/>
            <w:tcBorders>
              <w:bottom w:val="single" w:sz="8" w:color="auto"/>
              <w:right w:val="single" w:sz="8" w:color="auto"/>
            </w:tcBorders>
          </w:tcPr>
          <w:p>
            <w:pPr>
              <w:jc w:val="right"/>
              <w:ind w:right="473"/>
              <w:spacing w:after="0" w:line="142" w:lineRule="exact"/>
              <w:rPr>
                <w:sz w:val="20"/>
                <w:szCs w:val="20"/>
                <w:color w:val="auto"/>
              </w:rPr>
            </w:pPr>
            <w:r>
              <w:rPr>
                <w:rFonts w:ascii="Arial" w:cs="Arial" w:eastAsia="Arial" w:hAnsi="Arial"/>
                <w:sz w:val="13"/>
                <w:szCs w:val="13"/>
                <w:color w:val="auto"/>
              </w:rPr>
              <w:t>$10.00</w:t>
            </w:r>
          </w:p>
        </w:tc>
        <w:tc>
          <w:tcPr>
            <w:tcW w:w="158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$230,000,000</w:t>
            </w:r>
          </w:p>
        </w:tc>
        <w:tc>
          <w:tcPr>
            <w:tcW w:w="1540" w:type="dxa"/>
            <w:vAlign w:val="bottom"/>
            <w:tcBorders>
              <w:bottom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$25,093</w:t>
            </w:r>
          </w:p>
        </w:tc>
      </w:tr>
      <w:tr>
        <w:trPr>
          <w:trHeight w:val="142"/>
        </w:trPr>
        <w:tc>
          <w:tcPr>
            <w:tcW w:w="49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Total</w:t>
            </w:r>
          </w:p>
        </w:tc>
        <w:tc>
          <w:tcPr>
            <w:tcW w:w="158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$230,000,000</w:t>
            </w:r>
          </w:p>
        </w:tc>
        <w:tc>
          <w:tcPr>
            <w:tcW w:w="1540" w:type="dxa"/>
            <w:vAlign w:val="bottom"/>
            <w:tcBorders>
              <w:bottom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$25,093</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w:t>
      </w:r>
    </w:p>
    <w:p>
      <w:pPr>
        <w:ind w:left="440" w:hanging="43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3,000,000 shares of Class A common stock, which may be issued upon exercise of a 45-day option granted to the underwriter to cover over-allotments, if any.</w:t>
      </w:r>
    </w:p>
    <w:p>
      <w:pPr>
        <w:ind w:left="440" w:right="460" w:hanging="432"/>
        <w:spacing w:after="0" w:line="258"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there are also being registered an indeterminable number of additional securities as may be issued to prevent dilution resulting from share splits, share dividends or similar transactions.</w:t>
      </w:r>
    </w:p>
    <w:p>
      <w:pPr>
        <w:spacing w:after="0" w:line="14" w:lineRule="exact"/>
        <w:rPr>
          <w:sz w:val="24"/>
          <w:szCs w:val="24"/>
          <w:color w:val="auto"/>
        </w:rPr>
      </w:pPr>
    </w:p>
    <w:p>
      <w:pPr>
        <w:ind w:right="380"/>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b w:val="1"/>
          <w:bCs w:val="1"/>
          <w:color w:val="8B3F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8B3F4E"/>
        </w:rPr>
        <w:t>Subject to completion, dated May 20, 2021</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Preliminary prospectus</w:t>
      </w:r>
    </w:p>
    <w:p>
      <w:pPr>
        <w:spacing w:after="0" w:line="9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$200,000,000</w:t>
      </w:r>
    </w:p>
    <w:p>
      <w:pPr>
        <w:spacing w:after="0" w:line="1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120"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20,000,000 Shares of Class A Common Stock</w:t>
      </w:r>
    </w:p>
    <w:p>
      <w:pPr>
        <w:spacing w:after="0" w:line="149"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Dynamics Special Purpose Corp. is a newly organized blank check company formed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initiated any substantive discussions, directly or indirectly, with any business combination target.</w:t>
      </w:r>
    </w:p>
    <w:p>
      <w:pPr>
        <w:spacing w:after="0" w:line="90"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This is an initial public offering of our Class A Common stock, par value $0.0001 per share, which we refer to as our public shares, at an initial public offering price per share of $10.00. The underwriters have a 45-day option from the date of this prospectus to purchase up to 3,000,000 additional public shares to cover over-allotments, if any. Unlike other initial public offerings of special purpose acquisition companies, public investors in this offering will not receive any warrants (which would typically become exercisable following completion of our initial business combination).</w:t>
      </w:r>
    </w:p>
    <w:p>
      <w:pPr>
        <w:spacing w:after="0" w:line="92"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(referred to below) as of two business days prior to the consummation of the initial business combination, including interest earned on the funds held in the trust account and not previously released to us to pay our franchise and income taxes, divided by the number of then-outstanding public shares, subject to the limitations described herein. If we do not complete our initial business combination within 24 months from the closing of this offering or during any stockholder-approved extension period, we will redeem 100% of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subject to the limitations described herein.</w:t>
      </w:r>
    </w:p>
    <w:p>
      <w:pPr>
        <w:spacing w:after="0" w:line="97"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Our sponsor, Dynamics Sponsor LLC, has agreed to purchase 655,500 shares of Class A common stock (or 715,500 shares of Class A common stock if the underwriter’s over-allotment option is exercised in full), at a price of $10.00 per share ($6,555,000 in the aggregate, or $7,155,000 if the underwriter’s over-allotment option is exercised in full), in a private placement to occur concurrently with the closing of this offering. The private placement shares are identical to the Class A common stock sold in this offering, subject to certain limited exceptions as described in this prospectus.</w:t>
      </w:r>
    </w:p>
    <w:p>
      <w:pPr>
        <w:spacing w:after="0" w:line="92"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Our initial stockholders, which include our sponsor, own an aggregate of 5,750,000 shares of our Class B common stock (up to 750,000 shares of which are subject to forfeiture depending on the extent to which the underwriter’s over-allotment option is exercised), which will automatically convert into shares of Class A common stock at the time of our initial business combination, or earlier at the option of the holder, as described herein. Only holders of Class B common stock will have the right to vote on the election of directors and to remove directors prior to our initial business combination. On all other matters submitted to a vote of our stockholders, holders of the Class B common stock and holders of the Class A common stock will vote together as a single class, with each share of common stock entitling the holder to one vote, except as required by law.</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Certain funds and accounts advised by T. Rowe Price Associates, Inc. and certain funds and accounts managed by each of Counterpoint Global (Morgan Stanley Investment Management), D1 Capital Partners Master L.P. and aMoon Fund have indicated an interest in purchasing, severally, an aggregate of approximately $100,000,000 in shares of our Class A common stock in this offering at the initial public offering price. However, because indications of interest are not binding agreements or commitments to purchase, the underwriters may determine to sell more, fewer or no shares in this offering to any or all of these investors, or any or all of these investors may determine to purchase more, fewer or no shares in this offering. The underwriters will receive the same underwriting discount on any shares purchased by these investors as they will on any other shares sold to the public in this offering.</w:t>
      </w:r>
    </w:p>
    <w:p>
      <w:pPr>
        <w:spacing w:after="0" w:line="94"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Currently, there is no public market for our Class A common stock. We have applied to have our Class A common stock listed on The Nasdaq Capital Market, or Nasdaq, under the symbol “DYNS.” We expect that our Class A common stock will begin trading on Nasdaq on or promptly after the date of this prospectus.</w:t>
      </w:r>
    </w:p>
    <w:p>
      <w:pPr>
        <w:spacing w:after="0" w:line="68" w:lineRule="exact"/>
        <w:rPr>
          <w:sz w:val="20"/>
          <w:szCs w:val="20"/>
          <w:color w:val="auto"/>
        </w:rPr>
      </w:pPr>
    </w:p>
    <w:p>
      <w:pPr>
        <w:ind w:right="220"/>
        <w:spacing w:after="0" w:line="255" w:lineRule="auto"/>
        <w:rPr>
          <w:rFonts w:ascii="Arial" w:cs="Arial" w:eastAsia="Arial" w:hAnsi="Arial"/>
          <w:sz w:val="13"/>
          <w:szCs w:val="13"/>
          <w:b w:val="1"/>
          <w:bCs w:val="1"/>
          <w:color w:val="auto"/>
        </w:rPr>
      </w:pPr>
      <w:r>
        <w:rPr>
          <w:rFonts w:ascii="Arial" w:cs="Arial" w:eastAsia="Arial" w:hAnsi="Arial"/>
          <w:sz w:val="13"/>
          <w:szCs w:val="13"/>
          <w:b w:val="1"/>
          <w:bCs w:val="1"/>
          <w:color w:val="auto"/>
        </w:rPr>
        <w:t>We are an “emerging growth company” and “smaller reporting company” under applicable federal securities laws and will be subject to reduced public company reporting requirements. Investing in our securities involves a high degree of risk. See “</w:t>
      </w:r>
      <w:hyperlink w:anchor="page34">
        <w:r>
          <w:rPr>
            <w:rFonts w:ascii="Arial" w:cs="Arial" w:eastAsia="Arial" w:hAnsi="Arial"/>
            <w:sz w:val="13"/>
            <w:szCs w:val="13"/>
            <w:b w:val="1"/>
            <w:bCs w:val="1"/>
            <w:u w:val="single" w:color="auto"/>
            <w:color w:val="0000EE"/>
          </w:rPr>
          <w:t>Risk Factors</w:t>
        </w:r>
      </w:hyperlink>
      <w:r>
        <w:rPr>
          <w:rFonts w:ascii="Arial" w:cs="Arial" w:eastAsia="Arial" w:hAnsi="Arial"/>
          <w:sz w:val="13"/>
          <w:szCs w:val="13"/>
          <w:b w:val="1"/>
          <w:bCs w:val="1"/>
          <w:color w:val="auto"/>
        </w:rPr>
        <w:t>” beginning on page 31 of this prospectus for a discussion of information that should be considered in connection with an investment in our securities. Investors will not be entitled to protections normally afforded to investors in Rule 419 blank check offerings.</w:t>
      </w:r>
    </w:p>
    <w:p>
      <w:pPr>
        <w:spacing w:after="0" w:line="241"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2"/>
          </w:tcPr>
          <w:p>
            <w:pPr>
              <w:ind w:left="2820"/>
              <w:spacing w:after="0"/>
              <w:rPr>
                <w:sz w:val="20"/>
                <w:szCs w:val="20"/>
                <w:color w:val="auto"/>
              </w:rPr>
            </w:pPr>
            <w:r>
              <w:rPr>
                <w:rFonts w:ascii="Arial" w:cs="Arial" w:eastAsia="Arial" w:hAnsi="Arial"/>
                <w:sz w:val="13"/>
                <w:szCs w:val="13"/>
                <w:b w:val="1"/>
                <w:bCs w:val="1"/>
                <w:color w:val="auto"/>
              </w:rPr>
              <w:t>Per Share</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34"/>
        </w:trPr>
        <w:tc>
          <w:tcPr>
            <w:tcW w:w="6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3000" w:type="dxa"/>
            <w:vAlign w:val="bottom"/>
            <w:shd w:val="clear" w:color="auto" w:fill="CCEEFF"/>
          </w:tcPr>
          <w:p>
            <w:pPr>
              <w:ind w:left="28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200,000,000</w:t>
            </w:r>
          </w:p>
        </w:tc>
      </w:tr>
      <w:tr>
        <w:trPr>
          <w:trHeight w:val="215"/>
        </w:trPr>
        <w:tc>
          <w:tcPr>
            <w:tcW w:w="6660" w:type="dxa"/>
            <w:vAlign w:val="bottom"/>
          </w:tcPr>
          <w:p>
            <w:pPr>
              <w:spacing w:after="0"/>
              <w:rPr>
                <w:sz w:val="20"/>
                <w:szCs w:val="20"/>
                <w:color w:val="auto"/>
              </w:rPr>
            </w:pPr>
            <w:r>
              <w:rPr>
                <w:rFonts w:ascii="Arial" w:cs="Arial" w:eastAsia="Arial" w:hAnsi="Arial"/>
                <w:sz w:val="13"/>
                <w:szCs w:val="13"/>
                <w:color w:val="auto"/>
              </w:rPr>
              <w:t>Underwriting discounts and commissions(1)</w:t>
            </w:r>
          </w:p>
        </w:tc>
        <w:tc>
          <w:tcPr>
            <w:tcW w:w="3000" w:type="dxa"/>
            <w:vAlign w:val="bottom"/>
          </w:tcPr>
          <w:p>
            <w:pPr>
              <w:ind w:left="28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3"/>
              <w:spacing w:after="0"/>
              <w:rPr>
                <w:sz w:val="20"/>
                <w:szCs w:val="20"/>
                <w:color w:val="auto"/>
              </w:rPr>
            </w:pPr>
            <w:r>
              <w:rPr>
                <w:rFonts w:ascii="Arial" w:cs="Arial" w:eastAsia="Arial" w:hAnsi="Arial"/>
                <w:sz w:val="13"/>
                <w:szCs w:val="13"/>
                <w:color w:val="auto"/>
              </w:rPr>
              <w:t>0.55</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11,000,000</w:t>
            </w:r>
          </w:p>
        </w:tc>
      </w:tr>
      <w:tr>
        <w:trPr>
          <w:trHeight w:val="41"/>
        </w:trPr>
        <w:tc>
          <w:tcPr>
            <w:tcW w:w="66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48"/>
        </w:trPr>
        <w:tc>
          <w:tcPr>
            <w:tcW w:w="6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Proceeds, before expenses, to Dynamics Special Purpose Corp.</w:t>
            </w:r>
          </w:p>
        </w:tc>
        <w:tc>
          <w:tcPr>
            <w:tcW w:w="3000" w:type="dxa"/>
            <w:vAlign w:val="bottom"/>
            <w:tcBorders>
              <w:bottom w:val="single" w:sz="8" w:color="auto"/>
            </w:tcBorders>
            <w:shd w:val="clear" w:color="auto" w:fill="CCEEFF"/>
          </w:tcPr>
          <w:p>
            <w:pPr>
              <w:ind w:left="282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9.45</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189,000,000</w:t>
            </w:r>
          </w:p>
        </w:tc>
      </w:tr>
    </w:tbl>
    <w:p>
      <w:pPr>
        <w:spacing w:after="0" w:line="121" w:lineRule="exact"/>
        <w:rPr>
          <w:sz w:val="20"/>
          <w:szCs w:val="20"/>
          <w:color w:val="auto"/>
        </w:rPr>
      </w:pPr>
    </w:p>
    <w:p>
      <w:pPr>
        <w:ind w:left="340" w:right="80" w:hanging="332"/>
        <w:spacing w:after="0" w:line="245"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$0.35 per share, or $7,000,000 (or $8,050,000 if the underwriter’s over-allotment option is exercised in full) in the aggregate, payable to the underwriter for deferred underwriting commissions that will be placed in a trust account located in the United States as described herein. The deferred commissions will be released to the underwriter only on completion of an initial business combination, as described in this prospectus. Does not include certain fees and expenses payable to the underwriter in connection with this offering. See the section of this prospectus entitled “Underwriting” for a description of compensation and other items of value payable to the underwriter.</w:t>
      </w:r>
    </w:p>
    <w:p>
      <w:pPr>
        <w:spacing w:after="0" w:line="92"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Of the proceeds we receive from this offering and the sale of the private placement shares described in this prospectus, $200,000,000, or $230,000,000 if the underwriter’s over-allotment option is exercised in full ($10.00 per share in either case), will be deposited into a trust account in the United States with Continental Stock Transfer &amp; Trust Company acting as trustee, and $2,555,000 will be available to pay fees and expenses in connection with the closing of this offering and for working capital following the closing of this offering. The proceeds deposited in the trust account could become subject to the claims of our creditors, if any, which could have priority over the claims of our public stockholders.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00" w:type="dxa"/>
            <w:vAlign w:val="bottom"/>
          </w:tcPr>
          <w:p>
            <w:pPr>
              <w:spacing w:after="0"/>
              <w:rPr>
                <w:sz w:val="20"/>
                <w:szCs w:val="20"/>
                <w:color w:val="auto"/>
              </w:rPr>
            </w:pPr>
            <w:r>
              <w:rPr>
                <w:rFonts w:ascii="Arial" w:cs="Arial" w:eastAsia="Arial" w:hAnsi="Arial"/>
                <w:sz w:val="13"/>
                <w:szCs w:val="13"/>
                <w:color w:val="auto"/>
              </w:rPr>
              <w:t>The underwriter is offering the shares for sale on a firm commitment basis. The underwriter expects to deliver the shares to the purchasers on or about</w:t>
            </w:r>
          </w:p>
        </w:tc>
        <w:tc>
          <w:tcPr>
            <w:tcW w:w="740" w:type="dxa"/>
            <w:vAlign w:val="bottom"/>
          </w:tcPr>
          <w:p>
            <w:pPr>
              <w:jc w:val="right"/>
              <w:spacing w:after="0"/>
              <w:rPr>
                <w:sz w:val="20"/>
                <w:szCs w:val="20"/>
                <w:color w:val="auto"/>
              </w:rPr>
            </w:pPr>
            <w:r>
              <w:rPr>
                <w:rFonts w:ascii="Arial" w:cs="Arial" w:eastAsia="Arial" w:hAnsi="Arial"/>
                <w:sz w:val="13"/>
                <w:szCs w:val="13"/>
                <w:color w:val="auto"/>
              </w:rPr>
              <w:t>, 2021.</w:t>
            </w:r>
          </w:p>
        </w:tc>
      </w:tr>
    </w:tbl>
    <w:p>
      <w:pPr>
        <w:spacing w:after="0" w:line="6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J.P. Morgan</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 2021</w:t>
      </w:r>
    </w:p>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30"/>
        </w:trPr>
        <w:tc>
          <w:tcPr>
            <w:tcW w:w="7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Summary</w:t>
              </w:r>
            </w:hyperlink>
          </w:p>
        </w:tc>
        <w:tc>
          <w:tcPr>
            <w:tcW w:w="5900" w:type="dxa"/>
            <w:vAlign w:val="bottom"/>
            <w:gridSpan w:val="15"/>
          </w:tcPr>
          <w:p>
            <w:pPr>
              <w:spacing w:after="0"/>
              <w:rPr>
                <w:sz w:val="20"/>
                <w:szCs w:val="20"/>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12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Cautionary note regarding forward-looking statements and risk factor summary</w:t>
              </w:r>
            </w:hyperlink>
          </w:p>
        </w:tc>
        <w:tc>
          <w:tcPr>
            <w:tcW w:w="540" w:type="dxa"/>
            <w:vAlign w:val="bottom"/>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66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4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50"/>
        </w:trPr>
        <w:tc>
          <w:tcPr>
            <w:tcW w:w="6660" w:type="dxa"/>
            <w:vAlign w:val="bottom"/>
            <w:gridSpan w:val="1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4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1280" w:type="dxa"/>
            <w:vAlign w:val="bottom"/>
            <w:tcBorders>
              <w:top w:val="single" w:sz="8" w:color="0000EE"/>
            </w:tcBorders>
            <w:gridSpan w:val="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Dividend policy</w:t>
              </w:r>
            </w:hyperlink>
          </w:p>
        </w:tc>
        <w:tc>
          <w:tcPr>
            <w:tcW w:w="5380" w:type="dxa"/>
            <w:vAlign w:val="bottom"/>
            <w:gridSpan w:val="9"/>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79">
              <w:r>
                <w:rPr>
                  <w:rFonts w:ascii="Arial" w:cs="Arial" w:eastAsia="Arial" w:hAnsi="Arial"/>
                  <w:sz w:val="18"/>
                  <w:szCs w:val="18"/>
                  <w:color w:val="0000EE"/>
                  <w:w w:val="96"/>
                </w:rPr>
                <w:t>Dilution</w:t>
              </w:r>
            </w:hyperlink>
          </w:p>
        </w:tc>
        <w:tc>
          <w:tcPr>
            <w:tcW w:w="580" w:type="dxa"/>
            <w:vAlign w:val="bottom"/>
            <w:tcBorders>
              <w:top w:val="single" w:sz="8" w:color="0000EE"/>
            </w:tcBorders>
            <w:gridSpan w:val="6"/>
          </w:tcPr>
          <w:p>
            <w:pPr>
              <w:spacing w:after="0"/>
              <w:rPr>
                <w:sz w:val="21"/>
                <w:szCs w:val="21"/>
                <w:color w:val="auto"/>
              </w:rPr>
            </w:pPr>
          </w:p>
        </w:tc>
        <w:tc>
          <w:tcPr>
            <w:tcW w:w="5480" w:type="dxa"/>
            <w:vAlign w:val="bottom"/>
            <w:gridSpan w:val="10"/>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6660" w:type="dxa"/>
            <w:vAlign w:val="bottom"/>
            <w:gridSpan w:val="1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Capitalization</w:t>
              </w:r>
            </w:hyperlink>
          </w:p>
        </w:tc>
        <w:tc>
          <w:tcPr>
            <w:tcW w:w="4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50"/>
        </w:trPr>
        <w:tc>
          <w:tcPr>
            <w:tcW w:w="66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82">
              <w:r>
                <w:rPr>
                  <w:rFonts w:ascii="Arial" w:cs="Arial" w:eastAsia="Arial" w:hAnsi="Arial"/>
                  <w:sz w:val="18"/>
                  <w:szCs w:val="18"/>
                  <w:color w:val="0000EE"/>
                  <w:w w:val="97"/>
                </w:rPr>
                <w:t>Management’s discussion and analysis of financial condition and results of operations</w:t>
              </w:r>
            </w:hyperlink>
          </w:p>
        </w:tc>
        <w:tc>
          <w:tcPr>
            <w:tcW w:w="4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50"/>
        </w:trPr>
        <w:tc>
          <w:tcPr>
            <w:tcW w:w="6660" w:type="dxa"/>
            <w:vAlign w:val="bottom"/>
            <w:gridSpan w:val="1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Proposed business</w:t>
              </w:r>
            </w:hyperlink>
          </w:p>
        </w:tc>
        <w:tc>
          <w:tcPr>
            <w:tcW w:w="4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1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124">
              <w:r>
                <w:rPr>
                  <w:rFonts w:ascii="Arial" w:cs="Arial" w:eastAsia="Arial" w:hAnsi="Arial"/>
                  <w:sz w:val="18"/>
                  <w:szCs w:val="18"/>
                  <w:color w:val="0000EE"/>
                  <w:w w:val="97"/>
                </w:rPr>
                <w:t>Management</w:t>
              </w:r>
            </w:hyperlink>
          </w:p>
        </w:tc>
        <w:tc>
          <w:tcPr>
            <w:tcW w:w="440" w:type="dxa"/>
            <w:vAlign w:val="bottom"/>
            <w:tcBorders>
              <w:top w:val="single" w:sz="8" w:color="0000EE"/>
            </w:tcBorders>
            <w:gridSpan w:val="4"/>
          </w:tcPr>
          <w:p>
            <w:pPr>
              <w:spacing w:after="0"/>
              <w:rPr>
                <w:sz w:val="21"/>
                <w:szCs w:val="21"/>
                <w:color w:val="auto"/>
              </w:rPr>
            </w:pPr>
          </w:p>
        </w:tc>
        <w:tc>
          <w:tcPr>
            <w:tcW w:w="5160" w:type="dxa"/>
            <w:vAlign w:val="bottom"/>
            <w:gridSpan w:val="8"/>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172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35">
              <w:r>
                <w:rPr>
                  <w:rFonts w:ascii="Arial" w:cs="Arial" w:eastAsia="Arial" w:hAnsi="Arial"/>
                  <w:sz w:val="18"/>
                  <w:szCs w:val="18"/>
                  <w:color w:val="0000EE"/>
                  <w:w w:val="97"/>
                </w:rPr>
                <w:t>Principal stockholders</w:t>
              </w:r>
            </w:hyperlink>
          </w:p>
        </w:tc>
        <w:tc>
          <w:tcPr>
            <w:tcW w:w="4940" w:type="dxa"/>
            <w:vAlign w:val="bottom"/>
            <w:gridSpan w:val="7"/>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50"/>
        </w:trPr>
        <w:tc>
          <w:tcPr>
            <w:tcW w:w="6660" w:type="dxa"/>
            <w:vAlign w:val="bottom"/>
            <w:gridSpan w:val="17"/>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party transactions</w:t>
              </w:r>
            </w:hyperlink>
          </w:p>
        </w:tc>
        <w:tc>
          <w:tcPr>
            <w:tcW w:w="45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50"/>
        </w:trPr>
        <w:tc>
          <w:tcPr>
            <w:tcW w:w="18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7"/>
              </w:rPr>
            </w:pPr>
            <w:hyperlink w:anchor="page141">
              <w:r>
                <w:rPr>
                  <w:rFonts w:ascii="Arial" w:cs="Arial" w:eastAsia="Arial" w:hAnsi="Arial"/>
                  <w:sz w:val="18"/>
                  <w:szCs w:val="18"/>
                  <w:color w:val="0000EE"/>
                  <w:w w:val="97"/>
                </w:rPr>
                <w:t>Description of securities</w:t>
              </w:r>
            </w:hyperlink>
          </w:p>
        </w:tc>
        <w:tc>
          <w:tcPr>
            <w:tcW w:w="2080" w:type="dxa"/>
            <w:vAlign w:val="bottom"/>
            <w:tcBorders>
              <w:top w:val="single" w:sz="8" w:color="0000EE"/>
            </w:tcBorders>
            <w:gridSpan w:val="4"/>
          </w:tcPr>
          <w:p>
            <w:pPr>
              <w:spacing w:after="0"/>
              <w:rPr>
                <w:sz w:val="21"/>
                <w:szCs w:val="21"/>
                <w:color w:val="auto"/>
              </w:rPr>
            </w:pPr>
          </w:p>
        </w:tc>
        <w:tc>
          <w:tcPr>
            <w:tcW w:w="2700" w:type="dxa"/>
            <w:vAlign w:val="bottom"/>
            <w:gridSpan w:val="2"/>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50"/>
        </w:trPr>
        <w:tc>
          <w:tcPr>
            <w:tcW w:w="302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152">
              <w:r>
                <w:rPr>
                  <w:rFonts w:ascii="Arial" w:cs="Arial" w:eastAsia="Arial" w:hAnsi="Arial"/>
                  <w:sz w:val="18"/>
                  <w:szCs w:val="18"/>
                  <w:color w:val="0000EE"/>
                  <w:w w:val="97"/>
                </w:rPr>
                <w:t>U.S. federal income tax considerations</w:t>
              </w:r>
            </w:hyperlink>
          </w:p>
        </w:tc>
        <w:tc>
          <w:tcPr>
            <w:tcW w:w="3640" w:type="dxa"/>
            <w:vAlign w:val="bottom"/>
            <w:gridSpan w:val="4"/>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50"/>
        </w:trPr>
        <w:tc>
          <w:tcPr>
            <w:tcW w:w="100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158">
              <w:r>
                <w:rPr>
                  <w:rFonts w:ascii="Arial" w:cs="Arial" w:eastAsia="Arial" w:hAnsi="Arial"/>
                  <w:sz w:val="18"/>
                  <w:szCs w:val="18"/>
                  <w:color w:val="0000EE"/>
                  <w:w w:val="96"/>
                </w:rPr>
                <w:t>Underwriting</w:t>
              </w:r>
            </w:hyperlink>
          </w:p>
        </w:tc>
        <w:tc>
          <w:tcPr>
            <w:tcW w:w="5660" w:type="dxa"/>
            <w:vAlign w:val="bottom"/>
            <w:gridSpan w:val="13"/>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50"/>
        </w:trPr>
        <w:tc>
          <w:tcPr>
            <w:tcW w:w="10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67">
              <w:r>
                <w:rPr>
                  <w:rFonts w:ascii="Arial" w:cs="Arial" w:eastAsia="Arial" w:hAnsi="Arial"/>
                  <w:sz w:val="18"/>
                  <w:szCs w:val="18"/>
                  <w:color w:val="0000EE"/>
                  <w:w w:val="97"/>
                </w:rPr>
                <w:t>Legal matters</w:t>
              </w:r>
            </w:hyperlink>
          </w:p>
        </w:tc>
        <w:tc>
          <w:tcPr>
            <w:tcW w:w="5580" w:type="dxa"/>
            <w:vAlign w:val="bottom"/>
            <w:gridSpan w:val="11"/>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50"/>
        </w:trPr>
        <w:tc>
          <w:tcPr>
            <w:tcW w:w="6660" w:type="dxa"/>
            <w:vAlign w:val="bottom"/>
            <w:gridSpan w:val="17"/>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Experts</w:t>
              </w:r>
            </w:hyperlink>
          </w:p>
        </w:tc>
        <w:tc>
          <w:tcPr>
            <w:tcW w:w="45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600" w:type="dxa"/>
            <w:vAlign w:val="bottom"/>
            <w:shd w:val="clear" w:color="auto" w:fill="0000EE"/>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50"/>
        </w:trPr>
        <w:tc>
          <w:tcPr>
            <w:tcW w:w="324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67">
              <w:r>
                <w:rPr>
                  <w:rFonts w:ascii="Arial" w:cs="Arial" w:eastAsia="Arial" w:hAnsi="Arial"/>
                  <w:sz w:val="18"/>
                  <w:szCs w:val="18"/>
                  <w:color w:val="0000EE"/>
                  <w:w w:val="97"/>
                </w:rPr>
                <w:t>Where you can find additional information</w:t>
              </w:r>
            </w:hyperlink>
          </w:p>
        </w:tc>
        <w:tc>
          <w:tcPr>
            <w:tcW w:w="3420" w:type="dxa"/>
            <w:vAlign w:val="bottom"/>
            <w:gridSpan w:val="3"/>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50"/>
        </w:trPr>
        <w:tc>
          <w:tcPr>
            <w:tcW w:w="224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68">
              <w:r>
                <w:rPr>
                  <w:rFonts w:ascii="Arial" w:cs="Arial" w:eastAsia="Arial" w:hAnsi="Arial"/>
                  <w:sz w:val="18"/>
                  <w:szCs w:val="18"/>
                  <w:color w:val="0000EE"/>
                  <w:w w:val="97"/>
                </w:rPr>
                <w:t>Index to financial statements</w:t>
              </w:r>
            </w:hyperlink>
          </w:p>
        </w:tc>
        <w:tc>
          <w:tcPr>
            <w:tcW w:w="4420" w:type="dxa"/>
            <w:vAlign w:val="bottom"/>
            <w:gridSpan w:val="5"/>
          </w:tcPr>
          <w:p>
            <w:pPr>
              <w:spacing w:after="0"/>
              <w:rPr>
                <w:sz w:val="21"/>
                <w:szCs w:val="21"/>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responsible for the information contained in this prospectus. We have not, and the underwriter has not, authorized anyone to provide any information or to make any representations other than those contained in this prospectus. We and the underwriter take no responsibility for, and can provide no assurance as to the reliability of, any other information that others may give you. This prospectus is an offer to sell only the securities offered hereby, but only under circumstances and in jurisdictions where it is lawful to do so. You should not assume that the information contained in this prospectus is accurate as of any date other than the date on the front of this prospectus.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30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57302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Summary</w:t>
      </w:r>
    </w:p>
    <w:p>
      <w:pPr>
        <w:spacing w:after="0" w:line="139" w:lineRule="exact"/>
        <w:rPr>
          <w:sz w:val="20"/>
          <w:szCs w:val="20"/>
          <w:color w:val="auto"/>
        </w:rPr>
      </w:pPr>
    </w:p>
    <w:p>
      <w:pPr>
        <w:ind w:left="200" w:right="40"/>
        <w:spacing w:after="0" w:line="243"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the section of this prospectus entitled “Risk Factors” and our financial statements and the related notes included elsewhere in this prospectus, before investing. Unless otherwise stated in this prospectus, or the context otherwise requires, references to:</w:t>
      </w:r>
    </w:p>
    <w:p>
      <w:pPr>
        <w:spacing w:after="0" w:line="111" w:lineRule="exact"/>
        <w:rPr>
          <w:sz w:val="20"/>
          <w:szCs w:val="20"/>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are to our Class A common stock and our Class B common stock, collectively;</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“directors” are to our directors named in this prospectus;</w:t>
      </w:r>
    </w:p>
    <w:p>
      <w:pPr>
        <w:spacing w:after="0" w:line="117" w:lineRule="exact"/>
        <w:rPr>
          <w:rFonts w:ascii="Arial" w:cs="Arial" w:eastAsia="Arial" w:hAnsi="Arial"/>
          <w:sz w:val="18"/>
          <w:szCs w:val="18"/>
          <w:color w:val="auto"/>
        </w:rPr>
      </w:pPr>
    </w:p>
    <w:p>
      <w:pPr>
        <w:ind w:left="400" w:right="160" w:hanging="206"/>
        <w:spacing w:after="0" w:line="238"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“equity-linked securities” are to any debt or equity securities that are convertible, exercisable or exchangeable for shares of our Class A common stock issued in connection with our initial business combination, including, but not limited to, a private placement of equity or debt;</w:t>
      </w:r>
    </w:p>
    <w:p>
      <w:pPr>
        <w:spacing w:after="0" w:line="113" w:lineRule="exact"/>
        <w:rPr>
          <w:rFonts w:ascii="Arial" w:cs="Arial" w:eastAsia="Arial" w:hAnsi="Arial"/>
          <w:sz w:val="18"/>
          <w:szCs w:val="18"/>
          <w:color w:val="auto"/>
        </w:rPr>
      </w:pPr>
    </w:p>
    <w:p>
      <w:pPr>
        <w:ind w:left="400" w:right="300" w:hanging="206"/>
        <w:spacing w:after="0" w:line="236"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are to an aggregate of 5,750,000 shares of our Class B common stock owned by our sponsor and our other initial stockholders prior to this offering (up to 750,000 shares of which are subject to forfeiture depending on the extent to which the underwriter’s over-allotment option is exercised), and the shares of our Class A common stock issued upon the automatic conversion thereof at the time of our initial business combination as provided herein (for the avoidance of doubt, such shares of Class A common stock will not be “public shares”);</w:t>
      </w:r>
    </w:p>
    <w:p>
      <w:pPr>
        <w:spacing w:after="0" w:line="116" w:lineRule="exact"/>
        <w:rPr>
          <w:rFonts w:ascii="Arial" w:cs="Arial" w:eastAsia="Arial" w:hAnsi="Arial"/>
          <w:sz w:val="18"/>
          <w:szCs w:val="18"/>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stockholders” are to our sponsor and any other holders of founder shares prior to this offering (or their permitted transferees);</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“J.P. Morgan” are to J.P. Morgan Securities LLC;</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officers and directors;</w:t>
      </w:r>
    </w:p>
    <w:p>
      <w:pPr>
        <w:spacing w:after="0" w:line="117" w:lineRule="exact"/>
        <w:rPr>
          <w:rFonts w:ascii="Arial" w:cs="Arial" w:eastAsia="Arial" w:hAnsi="Arial"/>
          <w:sz w:val="18"/>
          <w:szCs w:val="18"/>
          <w:color w:val="auto"/>
        </w:rPr>
      </w:pPr>
    </w:p>
    <w:p>
      <w:pPr>
        <w:ind w:left="400" w:right="120" w:hanging="206"/>
        <w:spacing w:after="0" w:line="239"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shares” are to the 655,500 shares (or 715,500 shares if the underwriter’s over-allotment option is exercised in full) to be issued to our sponsor in a private placement concurrently with the closing of this offering;</w:t>
      </w:r>
    </w:p>
    <w:p>
      <w:pPr>
        <w:spacing w:after="0" w:line="114" w:lineRule="exact"/>
        <w:rPr>
          <w:rFonts w:ascii="Arial" w:cs="Arial" w:eastAsia="Arial" w:hAnsi="Arial"/>
          <w:sz w:val="18"/>
          <w:szCs w:val="18"/>
          <w:color w:val="auto"/>
        </w:rPr>
      </w:pPr>
    </w:p>
    <w:p>
      <w:pPr>
        <w:ind w:left="400" w:right="160" w:hanging="206"/>
        <w:spacing w:after="0" w:line="239"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shares” are to shares of our Class A common stock sold in this offering (whether they are purchased in this offering or thereafter in the open market);</w:t>
      </w:r>
    </w:p>
    <w:p>
      <w:pPr>
        <w:spacing w:after="0" w:line="114" w:lineRule="exact"/>
        <w:rPr>
          <w:rFonts w:ascii="Arial" w:cs="Arial" w:eastAsia="Arial" w:hAnsi="Arial"/>
          <w:sz w:val="18"/>
          <w:szCs w:val="18"/>
          <w:color w:val="auto"/>
        </w:rPr>
      </w:pPr>
    </w:p>
    <w:p>
      <w:pPr>
        <w:ind w:left="400" w:hanging="206"/>
        <w:spacing w:after="0" w:line="238"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stockholders” are to the holders of our public shares, including our initial stockholders to the extent our initial stockholders purchase public shares, provided that each initial stockholder’s status as a “public stockholder” shall only exist with respect to such public shares;</w:t>
      </w:r>
    </w:p>
    <w:p>
      <w:pPr>
        <w:spacing w:after="0" w:line="113" w:lineRule="exact"/>
        <w:rPr>
          <w:rFonts w:ascii="Arial" w:cs="Arial" w:eastAsia="Arial" w:hAnsi="Arial"/>
          <w:sz w:val="18"/>
          <w:szCs w:val="18"/>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are to the U.S. Securities and Exchange Commission;</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is to Dynamics Sponsor LLC, a Delaware limited liability company; and</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“company,” “our” or “our company” are to Dynamics Special Purpose Corp.</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Unless we tell you otherwise, the information in this prospectus assumes that the underwriter will not exercise its over-allotment option.</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company</w:t>
      </w:r>
    </w:p>
    <w:p>
      <w:pPr>
        <w:spacing w:after="0" w:line="134"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We are a newly organized blank check company incorporated on March 1, 2021 as a Delaware corporation formed for the purpose of effecting a merger, capital stock exchange, asset acquisition, stock purchase,</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73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 to date and we do not expect that we will generate operating revenue until we consummate our initial business combination.</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While we may pursue an acquisition opportunity in any business, industry, sector, we intend to focus on industries that complement our management team’s background, and to capitalize on the ability of our management team to identify and acquire a business, focusing on the healthcare or healthcare-related industries. We will pursue investments primarily based in North America. In particular, we intend to focus on companies across the emerging healthcare value chain, life sciences tools, enabling-software, synthetic biology and novel drug discovery and development platforms that enable applications in prevention, diagnosis, treatment and advanced bio-materials. We may pursue a transaction in which our stockholders immediately prior to the completion of our initial business combination would collectively own a minority interest in the post-business combination company.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Business strategy</w:t>
      </w:r>
    </w:p>
    <w:p>
      <w:pPr>
        <w:spacing w:after="0" w:line="13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We believe that the life sciences subsector is undergoing a dramatic transformation due to broad-scale availability of disruptive foundational technologies which enable significant improvements in diagnosis, treatment, monitoring and prediction of health and disease, at an accelerated pace. The pace of innovation is unprecedented throughout history, and we do not see the pace of this innovation subsiding. As a result, the ability to better understand biology – and harness it to diagnose and treat disease – is driving the creation of new markets and the disruption of existing markets throughout the life sciences field. Our focus will be on opportunities across the emerging healthcare value chains being created by disruptive technologies, including life sciences tools, enabling-software, synthetic biology and novel drug discovery and development platforms that enable applications in prevention, diagnosis, treatment and advanced bio-materials. We aim to find a disruptive target company and help accelerate value faster than otherwise achievable as a stand-alone company pursuing a traditional IPO path.</w:t>
      </w:r>
    </w:p>
    <w:p>
      <w:pPr>
        <w:spacing w:after="0" w:line="106"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We believe that certain life sciences companies will see material benefits from being publicly traded, including greater access to capital and attracting and retaining talent. Based on our management team’s experience as active participants in private financings and subsequent IPOs, we believe we can provide an acquisition target with a more efficient path to going public with a known investor syndicate and acquisition price negotiated upfront.</w:t>
      </w:r>
    </w:p>
    <w:p>
      <w:pPr>
        <w:spacing w:after="0" w:line="100" w:lineRule="exact"/>
        <w:rPr>
          <w:sz w:val="20"/>
          <w:szCs w:val="20"/>
          <w:color w:val="auto"/>
        </w:rPr>
      </w:pPr>
    </w:p>
    <w:p>
      <w:pPr>
        <w:ind w:left="200" w:right="140"/>
        <w:spacing w:after="0" w:line="275" w:lineRule="auto"/>
        <w:rPr>
          <w:sz w:val="20"/>
          <w:szCs w:val="20"/>
          <w:color w:val="auto"/>
        </w:rPr>
      </w:pPr>
      <w:r>
        <w:rPr>
          <w:rFonts w:ascii="Arial" w:cs="Arial" w:eastAsia="Arial" w:hAnsi="Arial"/>
          <w:sz w:val="16"/>
          <w:szCs w:val="16"/>
          <w:color w:val="auto"/>
        </w:rPr>
        <w:t>Our collective network of contacts and deep relationships across industry, academia and the investment community is unique. Value inflection and acceleration of technological development is, of course, not simply about capital, but connectivity and collective wisdom. We intend to contribute to a target company so that it realizes more value, including by potentially helping such company achieve collaborations, gain new strategic guidance, extend the platform into new end markets, and/or expand the quality of its investor syndicate.</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founders</w:t>
      </w:r>
    </w:p>
    <w:p>
      <w:pPr>
        <w:spacing w:after="0" w:line="13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Our sponsor team has a long history of working together with combined decades of experience across multiple complimentary areas—(1) innovating, founding, building, and scaling world-class organizations as executives and directors of public and private companies, creating billions of dollars in shareholder value; (2) identifying,</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41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494157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vetting, investing in, incubating, and positioning novel scientific breakthroughs and partnering with management teams to help them execute on their visions; (3) maintaining a deep understanding of the market and the vision and the foresight to develop new end markets based on disruptive products across the life sciences subsector; and (4) raising capital for emerging companies with transformative life sciences technologies.</w:t>
      </w:r>
    </w:p>
    <w:p>
      <w:pPr>
        <w:spacing w:after="0" w:line="100"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Our management team and Board of Directors consist of our Executive Chair, Omid Farokhzad, MD, who is currently Founder, CEO, and Chair of Seer, Inc. (Nasdaq: SEER); our Chief Executive Officer, Mostafa Ronaghi, PhD, who was most recently Chief Technology Officer of Illumina (Nasdaq: ILMN); our Chief Financial Officer, Mark Afrasiabi, CFA, most recently Senior Partner at Silver Rock Financial, L.P.; our Chief Business Officer, Rowan Chapman, PhD, a seasoned venture capital investor across the life sciences subsector; our independent director Jay Flatley, who served as CEO of Illumina from June 1999 to March 2016 and Chairman until March 2021; our independent director David Epstein, formerly CEO of Novartis Pharmaceuticals; and our independent director Deep Nishar, currently Senior Managing Partner of the Softbank Vision Fund. We also have a Chief Scientific Advisor, Professor Robert Langer, who is currently one of twelve Institute Professors at MIT. We believe that the strong scientific, entrepreneurial, investment and management backgrounds of our management, directors and advisor—coupled with a deep network across industry, academia, and the investment community—will enable us to identify a disruptive acquisition target that can thrive as a public company.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management and board of directors</w:t>
      </w:r>
    </w:p>
    <w:p>
      <w:pPr>
        <w:spacing w:after="0" w:line="134"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We believe that our management team is well-positioned to take advantage of the growing set of acquisition and investment opportunities within the life sciences and pharmaceutical sectors.</w:t>
      </w:r>
    </w:p>
    <w:p>
      <w:pPr>
        <w:spacing w:after="0" w:line="83" w:lineRule="exact"/>
        <w:rPr>
          <w:sz w:val="20"/>
          <w:szCs w:val="20"/>
          <w:color w:val="auto"/>
        </w:rPr>
      </w:pPr>
    </w:p>
    <w:p>
      <w:pPr>
        <w:ind w:left="200" w:right="120"/>
        <w:spacing w:after="0" w:line="269" w:lineRule="auto"/>
        <w:rPr>
          <w:sz w:val="20"/>
          <w:szCs w:val="20"/>
          <w:color w:val="auto"/>
        </w:rPr>
      </w:pPr>
      <w:r>
        <w:rPr>
          <w:rFonts w:ascii="Arial" w:cs="Arial" w:eastAsia="Arial" w:hAnsi="Arial"/>
          <w:sz w:val="16"/>
          <w:szCs w:val="16"/>
          <w:i w:val="1"/>
          <w:iCs w:val="1"/>
          <w:color w:val="auto"/>
        </w:rPr>
        <w:t>Omid Farokhzad, M.D.—executive chair</w:t>
      </w:r>
      <w:r>
        <w:rPr>
          <w:rFonts w:ascii="Arial" w:cs="Arial" w:eastAsia="Arial" w:hAnsi="Arial"/>
          <w:sz w:val="16"/>
          <w:szCs w:val="16"/>
          <w:color w:val="auto"/>
        </w:rPr>
        <w:t>: Dr. Farokhzad is a physician-scientist, serial entrepreneur, company founder, company builder,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and director—across multiple companies and technology platforms. He founded Seer, Inc. (Nasdaq: SEER) in 2017, where he is Founder/CEO/Chair, advancing a transformative proteomics platform. He previously co-founded BIND Therapeutics (acquired by Pfizer), Selecta Biosciences, Inc. (Nasdaq: SELB), which is developing a novel antigen-specific tolerance platform for biologics and gene therapy, and Tarveda Therapeutics, Inc., a privately held oncology biotherapeutics company. From September 2004 to February 2018, he was a Professor at Harvard Medical School and directed the Center for Nanomedicine at Brigham and Women’s Hospital. He has authored over 180 papers and is an inventor on over 200 issued or pending patents. He is a Fellow of the National Academy of Inventors. He is also a recipient of the 2016 Ellis Island Medal of Honor; the 2014 Golden Door Award from the International Institute of New England, for his scientific, societal and economic contributions to America as an immigrant; The Worldview 100 by Scientific American in 2015, which recognized visionaries who shaped biotechnology around the world; the 2013 RUSNANOPRIZE, one of the largest international nanotechnology prizes, for his work on nanomaterial surface modification; and the 2012 Ernst &amp; Young New England Entrepreneur of the Year Award. Dr. Farokhzad holds an MA and MD from Boston University and an MBA from MIT Sloan School of Management.</w:t>
      </w:r>
    </w:p>
    <w:p>
      <w:pPr>
        <w:spacing w:after="0" w:line="270" w:lineRule="exact"/>
        <w:rPr>
          <w:sz w:val="20"/>
          <w:szCs w:val="20"/>
          <w:color w:val="auto"/>
        </w:rPr>
      </w:pPr>
    </w:p>
    <w:p>
      <w:pPr>
        <w:ind w:left="200" w:right="280"/>
        <w:spacing w:after="0" w:line="278" w:lineRule="auto"/>
        <w:rPr>
          <w:sz w:val="20"/>
          <w:szCs w:val="20"/>
          <w:color w:val="auto"/>
        </w:rPr>
      </w:pPr>
      <w:r>
        <w:rPr>
          <w:rFonts w:ascii="Arial" w:cs="Arial" w:eastAsia="Arial" w:hAnsi="Arial"/>
          <w:sz w:val="16"/>
          <w:szCs w:val="16"/>
          <w:i w:val="1"/>
          <w:iCs w:val="1"/>
          <w:color w:val="auto"/>
        </w:rPr>
        <w:t xml:space="preserve">Mostafa Ronaghi, PhD—chief executive officer &amp; director: </w:t>
      </w:r>
      <w:r>
        <w:rPr>
          <w:rFonts w:ascii="Arial" w:cs="Arial" w:eastAsia="Arial" w:hAnsi="Arial"/>
          <w:sz w:val="16"/>
          <w:szCs w:val="16"/>
          <w:color w:val="auto"/>
        </w:rPr>
        <w:t>Dr. Ronaghi is a scientist-entrepreneur, inventor, investor, company-founder,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and director. Most recently, he was Chief Technology Officer, Senior Vice President and member of the Executive Leadership Team at Illumina (Nasdaq: ILMN) from 2008 to 2021. While at Illumina, in 2016, Dr. Ronaghi co-founded GRAIL, a next-gen liquid biopsy platform for cancer detection. He also started Illumina’s Research &amp; Technology Development group, and co-founded the Illumina Accelerator Program in 2014, one of the most successful accelerator programs in the industry, which coached and invested</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27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more than 50 start-ups, achieving one of the highest success rates for securing external institutional funding. Prior to Illumina,</w:t>
      </w:r>
    </w:p>
    <w:p>
      <w:pPr>
        <w:ind w:left="200"/>
        <w:spacing w:after="0" w:line="234" w:lineRule="auto"/>
        <w:rPr>
          <w:sz w:val="20"/>
          <w:szCs w:val="20"/>
          <w:color w:val="auto"/>
        </w:rPr>
      </w:pPr>
      <w:r>
        <w:rPr>
          <w:rFonts w:ascii="Arial" w:cs="Arial" w:eastAsia="Arial" w:hAnsi="Arial"/>
          <w:sz w:val="18"/>
          <w:szCs w:val="18"/>
          <w:color w:val="auto"/>
        </w:rPr>
        <w:t>Dr. Ronaghi was Principal Investigator at the Stanford Genome Technology Center from 1999 to 2008. Throughout his prolific career,</w:t>
      </w:r>
    </w:p>
    <w:p>
      <w:pPr>
        <w:spacing w:after="0" w:line="1" w:lineRule="exact"/>
        <w:rPr>
          <w:sz w:val="20"/>
          <w:szCs w:val="20"/>
          <w:color w:val="auto"/>
        </w:rPr>
      </w:pPr>
    </w:p>
    <w:p>
      <w:pPr>
        <w:ind w:left="200" w:right="20"/>
        <w:spacing w:after="0" w:line="264" w:lineRule="auto"/>
        <w:rPr>
          <w:sz w:val="20"/>
          <w:szCs w:val="20"/>
          <w:color w:val="auto"/>
        </w:rPr>
      </w:pPr>
      <w:r>
        <w:rPr>
          <w:rFonts w:ascii="Arial" w:cs="Arial" w:eastAsia="Arial" w:hAnsi="Arial"/>
          <w:sz w:val="16"/>
          <w:szCs w:val="16"/>
          <w:color w:val="auto"/>
        </w:rPr>
        <w:t>Dr. Ronaghi co-founded several other companies, including Pyrosequencing AB (founded in 1997; IPO in 2000 in Stockholm), focused on sequencing-by-synthesis technology (which was the first next-gen sequencing technology, and laid the groundwork for the leading technology developed by Illumina). He then co-founded ParAllele Biosciences in 2001, which was acquired by Affymetrix in 2005, which developed a first-of-its-kind technology for highly multiplex genotyping (used by the international Hapmap project to identify genetic variations across different population and diseases). He co-founded NextBio in 2004 (acquired by Illumina in 2013), where he developed a software platform to analyze molecular biological data. He also co-founded Avantome in 2008 (acquired by Illumina in 2008), as a low-cost DNA sequencer to democratize sequencing. He has advised and invested in more than 70 companies and is an inventor on over 30 issued and pending patents, as well as authored more than 80 scientific publications. He is also a recipient of the 2015 Ellis Island Medal of Honor. He currently serves as a Board member at GRAIL, Seer (Nasdaq: SEER), 1Health, Clearlabs, and three other private companies.</w:t>
      </w:r>
    </w:p>
    <w:p>
      <w:pPr>
        <w:spacing w:after="0" w:line="1"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Dr. Ronaghi holds a PhD in Biotechnology from Royal Institute of Technology, Stockholm, and B.Sc in Biomedical Chemistry, University of Kalmar, Sweden.</w:t>
      </w:r>
    </w:p>
    <w:p>
      <w:pPr>
        <w:spacing w:after="0" w:line="8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i w:val="1"/>
          <w:iCs w:val="1"/>
          <w:color w:val="auto"/>
        </w:rPr>
        <w:t xml:space="preserve">Mark Afrasiabi, CFA—chief financial officer: </w:t>
      </w:r>
      <w:r>
        <w:rPr>
          <w:rFonts w:ascii="Arial" w:cs="Arial" w:eastAsia="Arial" w:hAnsi="Arial"/>
          <w:sz w:val="18"/>
          <w:szCs w:val="18"/>
          <w:color w:val="auto"/>
        </w:rPr>
        <w:t>Mr. Afrasiabi was most recently a Partner and Co-Head of the Investment Committee at Silver</w:t>
      </w:r>
      <w:r>
        <w:rPr>
          <w:rFonts w:ascii="Arial" w:cs="Arial" w:eastAsia="Arial" w:hAnsi="Arial"/>
          <w:sz w:val="18"/>
          <w:szCs w:val="18"/>
          <w:i w:val="1"/>
          <w:iCs w:val="1"/>
          <w:color w:val="auto"/>
        </w:rPr>
        <w:t xml:space="preserve"> </w:t>
      </w:r>
      <w:r>
        <w:rPr>
          <w:rFonts w:ascii="Arial" w:cs="Arial" w:eastAsia="Arial" w:hAnsi="Arial"/>
          <w:sz w:val="18"/>
          <w:szCs w:val="18"/>
          <w:color w:val="auto"/>
        </w:rPr>
        <w:t>Rock Financial LP, an investment management firm with approximately $3 billion in assets under management, where he was responsible for the healthcare portfolio. Mr. Afrasiabi was at Silver Rock from inception in 2010 to 2021. Previously, from 2006 to 2010, he was a High-Yield Research Analyst (covering healthcare) and Portfolio Manager at PIMCO. Throughout his career, he has invested across the capital structure in all subsectors of healthcare, including pharma, biotech, life sciences tools, facilities, services, payers, health IT, and medical devices, among other subsectors. Prior to his 15-year investment management career, he worked in investment banking at Lehman Brothers, and was an Attorney at Irell &amp; Manella LLP. He also served as a Law Clerk on the United States Court of Appeals for the Ninth Circuit (Hon. Richard R. Clifton). Mr. Afrasiabi holds a JD from Harvard Law School and BA in Economics from UCLA, and is a CFA Charterholder.</w:t>
      </w:r>
    </w:p>
    <w:p>
      <w:pPr>
        <w:spacing w:after="0" w:line="8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i w:val="1"/>
          <w:iCs w:val="1"/>
          <w:color w:val="auto"/>
        </w:rPr>
        <w:t xml:space="preserve">Rowan Chapman, PhD—chief business officer: </w:t>
      </w:r>
      <w:r>
        <w:rPr>
          <w:rFonts w:ascii="Arial" w:cs="Arial" w:eastAsia="Arial" w:hAnsi="Arial"/>
          <w:sz w:val="18"/>
          <w:szCs w:val="18"/>
          <w:color w:val="auto"/>
        </w:rPr>
        <w:t>Dr. Chapman is an executive business development leader from start up to Fortune 50,</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founder, equity investor and director. She currently serves as an independent director at Evidation Health and Natera, Inc. (Nasdaq: NTRA). She has led the execution of more than 80 partnerships and investments across healthcare verticals including life sciences tools, therapeutics, diagnostics, medical devices, vaccines and digital health. Dr. Chapman served as head of Johnson &amp; Johnson Innovation (NYSE: JNJ), Western North America, Australia and New Zealand, from January 2017 to August 2019. Prior to that, she held various roles with General Electric Company (NYSE: GE) from 2012 to 2016, including as Head of Healthcare Investing at GE Ventures where she led the team responsible for the investment portfolio with a particular focus on digital health, data analytics and precision medicine. During that time, she led the creation of three healthcare startups including Evidation Health and Vineti. Dr. Chapman also served as Head of Precision Diagnostics at GE Healthcare, where she was responsible for strategy development to integrate lab services, products, data, informatics and software. Prior to that, she held operational roles in early and growth-stage startups and was a partner at Mohr Davidow Ventures for over 11 years, from 2001 to 2012, gaining extensive experience as an investor, board member or board advisor for a wide variety of technology and data-enabled companies including Adamas (IPO: ADMS), HealthTap, Pacific Biosciences (IPO: PACB), ParAllele Biosciences (acquired: AFFX), Personalis (IPO: PSNL), Sequenta (acquired: ADPT) and Verinata (acquired: ILMN). She was also an early employee at Rosetta Inpharmatics (went public and then acquired by Merck) and Incyte Genomics (Nasdaq: INCY). She is also a co-founder of Initiate Studios, a life sciences incubator founded in 2020,</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838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48387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400"/>
        <w:spacing w:after="0" w:line="299" w:lineRule="auto"/>
        <w:rPr>
          <w:sz w:val="20"/>
          <w:szCs w:val="20"/>
          <w:color w:val="auto"/>
        </w:rPr>
      </w:pPr>
      <w:r>
        <w:rPr>
          <w:rFonts w:ascii="Arial" w:cs="Arial" w:eastAsia="Arial" w:hAnsi="Arial"/>
          <w:sz w:val="16"/>
          <w:szCs w:val="16"/>
          <w:color w:val="auto"/>
        </w:rPr>
        <w:t>where she partners with entrepreneurs to launch new healthcare companies. Dr. Chapman holds a PhD in Biochemistry and Molecular Biology and BA in Biochemistry from the University of Cambridge, United Kingdom, and carried out post-doctoral research at UCSF.</w:t>
      </w:r>
    </w:p>
    <w:p>
      <w:pPr>
        <w:spacing w:after="0" w:line="37"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i w:val="1"/>
          <w:iCs w:val="1"/>
          <w:color w:val="auto"/>
        </w:rPr>
        <w:t xml:space="preserve">David R. Epstein—independent director: </w:t>
      </w:r>
      <w:r>
        <w:rPr>
          <w:rFonts w:ascii="Arial" w:cs="Arial" w:eastAsia="Arial" w:hAnsi="Arial"/>
          <w:sz w:val="16"/>
          <w:szCs w:val="16"/>
          <w:color w:val="auto"/>
        </w:rPr>
        <w:t>Mr. Epstein is executive partner at Flagship Pioneering and Chairman of Axcella Health, Inc.</w:t>
      </w:r>
      <w:r>
        <w:rPr>
          <w:rFonts w:ascii="Arial" w:cs="Arial" w:eastAsia="Arial" w:hAnsi="Arial"/>
          <w:sz w:val="16"/>
          <w:szCs w:val="16"/>
          <w:i w:val="1"/>
          <w:iCs w:val="1"/>
          <w:color w:val="auto"/>
        </w:rPr>
        <w:t xml:space="preserve"> </w:t>
      </w:r>
      <w:r>
        <w:rPr>
          <w:rFonts w:ascii="Arial" w:cs="Arial" w:eastAsia="Arial" w:hAnsi="Arial"/>
          <w:sz w:val="16"/>
          <w:szCs w:val="16"/>
          <w:color w:val="auto"/>
        </w:rPr>
        <w:t>(Nasdaq: AXLA), Rubius Therapeutics, Inc. (Nasdaq: RUBY) and Evelo Biosciences, Inc. (Nasdaq: EVLO). Mr. Epstein is also a board member at three privately held biotherapeutics companies (Tarus Therapeutics, Valo Health and Woolsey Pharma). From 2010 to mid-2016 he served as CEO of Novartis Pharmaceuticals, a division of Novartis AG. Previously, he started and led Novartis’ Oncology and Molecular Diagnostic units. Under his leadership the company’s oncology business grew to the second largest in the world. David has more than 25 years of extensive drug development, deal making, commercialization and leadership experience on a global scale. Over the course of</w:t>
      </w:r>
    </w:p>
    <w:p>
      <w:pPr>
        <w:ind w:left="200"/>
        <w:spacing w:after="0" w:line="235" w:lineRule="auto"/>
        <w:rPr>
          <w:sz w:val="20"/>
          <w:szCs w:val="20"/>
          <w:color w:val="auto"/>
        </w:rPr>
      </w:pPr>
      <w:r>
        <w:rPr>
          <w:rFonts w:ascii="Arial" w:cs="Arial" w:eastAsia="Arial" w:hAnsi="Arial"/>
          <w:sz w:val="18"/>
          <w:szCs w:val="18"/>
          <w:color w:val="auto"/>
        </w:rPr>
        <w:t>his career, he led the development and commercialization of over 30 new molecular entities, including major breakthroughs such as</w:t>
      </w:r>
    </w:p>
    <w:p>
      <w:pPr>
        <w:ind w:left="200"/>
        <w:spacing w:after="0"/>
        <w:rPr>
          <w:sz w:val="20"/>
          <w:szCs w:val="20"/>
          <w:color w:val="auto"/>
        </w:rPr>
      </w:pPr>
      <w:r>
        <w:rPr>
          <w:rFonts w:ascii="Arial" w:cs="Arial" w:eastAsia="Arial" w:hAnsi="Arial"/>
          <w:sz w:val="16"/>
          <w:szCs w:val="16"/>
          <w:color w:val="auto"/>
        </w:rPr>
        <w:t>Glivec</w:t>
      </w:r>
      <w:r>
        <w:rPr>
          <w:rFonts w:ascii="Arial" w:cs="Arial" w:eastAsia="Arial" w:hAnsi="Arial"/>
          <w:sz w:val="10"/>
          <w:szCs w:val="10"/>
          <w:color w:val="auto"/>
        </w:rPr>
        <w:t>®</w:t>
      </w:r>
      <w:r>
        <w:rPr>
          <w:rFonts w:ascii="Arial" w:cs="Arial" w:eastAsia="Arial" w:hAnsi="Arial"/>
          <w:sz w:val="16"/>
          <w:szCs w:val="16"/>
          <w:color w:val="auto"/>
        </w:rPr>
        <w:t>, Tasigna</w:t>
      </w:r>
      <w:r>
        <w:rPr>
          <w:rFonts w:ascii="Arial" w:cs="Arial" w:eastAsia="Arial" w:hAnsi="Arial"/>
          <w:sz w:val="10"/>
          <w:szCs w:val="10"/>
          <w:color w:val="auto"/>
        </w:rPr>
        <w:t>®</w:t>
      </w:r>
      <w:r>
        <w:rPr>
          <w:rFonts w:ascii="Arial" w:cs="Arial" w:eastAsia="Arial" w:hAnsi="Arial"/>
          <w:sz w:val="16"/>
          <w:szCs w:val="16"/>
          <w:color w:val="auto"/>
        </w:rPr>
        <w:t>, Gilenya</w:t>
      </w:r>
      <w:r>
        <w:rPr>
          <w:rFonts w:ascii="Arial" w:cs="Arial" w:eastAsia="Arial" w:hAnsi="Arial"/>
          <w:sz w:val="10"/>
          <w:szCs w:val="10"/>
          <w:color w:val="auto"/>
        </w:rPr>
        <w:t>®</w:t>
      </w:r>
      <w:r>
        <w:rPr>
          <w:rFonts w:ascii="Arial" w:cs="Arial" w:eastAsia="Arial" w:hAnsi="Arial"/>
          <w:sz w:val="16"/>
          <w:szCs w:val="16"/>
          <w:color w:val="auto"/>
        </w:rPr>
        <w:t>, Cosentyx</w:t>
      </w:r>
      <w:r>
        <w:rPr>
          <w:rFonts w:ascii="Arial" w:cs="Arial" w:eastAsia="Arial" w:hAnsi="Arial"/>
          <w:sz w:val="10"/>
          <w:szCs w:val="10"/>
          <w:color w:val="auto"/>
        </w:rPr>
        <w:t>®</w:t>
      </w:r>
      <w:r>
        <w:rPr>
          <w:rFonts w:ascii="Arial" w:cs="Arial" w:eastAsia="Arial" w:hAnsi="Arial"/>
          <w:sz w:val="16"/>
          <w:szCs w:val="16"/>
          <w:color w:val="auto"/>
        </w:rPr>
        <w:t xml:space="preserve"> and Entresto</w:t>
      </w:r>
      <w:r>
        <w:rPr>
          <w:rFonts w:ascii="Arial" w:cs="Arial" w:eastAsia="Arial" w:hAnsi="Arial"/>
          <w:sz w:val="10"/>
          <w:szCs w:val="10"/>
          <w:color w:val="auto"/>
        </w:rPr>
        <w:t>®</w:t>
      </w:r>
      <w:r>
        <w:rPr>
          <w:rFonts w:ascii="Arial" w:cs="Arial" w:eastAsia="Arial" w:hAnsi="Arial"/>
          <w:sz w:val="16"/>
          <w:szCs w:val="16"/>
          <w:color w:val="auto"/>
        </w:rPr>
        <w:t>. His teams developed three Prix Galien award winners, and he has mentored several</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CEOs into their roles. He was named by FierceBiotech as one of the “25 most influential people in biopharma” in 2015. Early in his career,</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 was an associate in the strategy practice of consulting firm Booz, Allen and Hamilton. Mr. Epstein holds a BS in pharmacy from Rutgers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University College of Pharmacy and an MBA in finance and marketing from the Columbia University Graduate School of Business.</w:t>
      </w:r>
    </w:p>
    <w:p>
      <w:pPr>
        <w:spacing w:after="0" w:line="8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i w:val="1"/>
          <w:iCs w:val="1"/>
          <w:color w:val="auto"/>
        </w:rPr>
        <w:t xml:space="preserve">Jay Flatley—independent director: </w:t>
      </w:r>
      <w:r>
        <w:rPr>
          <w:rFonts w:ascii="Arial" w:cs="Arial" w:eastAsia="Arial" w:hAnsi="Arial"/>
          <w:sz w:val="18"/>
          <w:szCs w:val="18"/>
          <w:color w:val="auto"/>
        </w:rPr>
        <w:t>Mr. Flatley led Illumina (Nasdaq: ILMN) as CEO from 1999 until 2016, as Executive Chairman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served as Chairman of the Board until March 2021. During his tenure as CEO, he took the company from $1.3 million in sales in 2000 to $2.2 billion in 2015, representing a compound annual growth rate of 64 percent. Prior to joining Illumina, Mr. Flatley was co-founder, President, CEO, and a director of Molecular Dynamics, Inc., a Nasdaq-listed life sciences Company focused on genetic discovery and analysis, from 1994 until its sale to Amersham Pharmacia Biotech Inc. in 1998. He served in various other positions of increasing responsibility with Molecular Dynamics from 1987 to 1994. From 1985 to 1987, Mr. Flatley was Vice President of Engineering and Vice President of Strategic Planning at Plexus Computers, a UNIX computer Company. Mr. Flatley also serves as Chairman of Zymergen (Nasdaq: ZY), Chairman of Iridia, Inc. (privately held) and a director of Coherent, Inc. (Nasdaq: COHR); Denali Therapeutics, Inc. (Nasdaq: DNLI); and Helix Holdings I, LLC. He is also on the Board of Trustees at the Salk Institute, and is Chair of Wellcome Leap, a US-based non-profit organization founded by the Wellcome Trust to accelerate innovations that benefit global health. Mr. Flatley holds a BA in economics from Claremont McKenna College and a BS and MS in industrial engineering from Stanford University.</w:t>
      </w:r>
    </w:p>
    <w:p>
      <w:pPr>
        <w:spacing w:after="0" w:line="8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i w:val="1"/>
          <w:iCs w:val="1"/>
          <w:color w:val="auto"/>
        </w:rPr>
        <w:t xml:space="preserve">Deep Nishar—independent director: </w:t>
      </w:r>
      <w:r>
        <w:rPr>
          <w:rFonts w:ascii="Arial" w:cs="Arial" w:eastAsia="Arial" w:hAnsi="Arial"/>
          <w:sz w:val="18"/>
          <w:szCs w:val="18"/>
          <w:color w:val="auto"/>
        </w:rPr>
        <w:t>Mr. Nishar is currently Senior Managing Partner of the Softbank Vision Fund, which he joined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He has over 20 years of experience helping build and grow internet and software businesses. From January 2009 to October 2014, Mr. Nishar served in various roles with LinkedIn Corporation, most recently as Senior Vice President, Products and User Experience. From August 2003 to January 2009, Mr. Nishar served in various roles with Google Inc. (Nasdaq: GOOGL), most recently as the Senior Director of Products for the Asia-Pacific region. Previously he was the Founder of enterprise software company Patkai Networks. He is an inventor on 14 patents, and is a recipient of the Google Founders Award, which is given to employees who made extraordinary contributions to the company. Mr. Nishar currently serves on the board of directors of Seer (Nasdaq: SEER), Relay Therapeutics (Nasdaq: RLAY), Vir Biotechnology, Inc. (Nasdaq: VIR) and Zymergen (Nasdaq: ZY), and previously served on the board of directors of Guardant Health (Nasdaq: GH), Tripadvisor (Nasdaq: TRIP), and OPower. Mr. Nishar received his MBA with highest honors (Baker Scholar) from Harvard Business School, his M.SEE from the University of Illinois, Urbana- Champaign, and his B.Tech with honors from the Indian Institute of Technology.</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64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1644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Chief scientific advisor</w:t>
      </w:r>
    </w:p>
    <w:p>
      <w:pPr>
        <w:spacing w:after="0" w:line="112"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color w:val="auto"/>
        </w:rPr>
        <w:t xml:space="preserve">Robert Langer, Sc.D. </w:t>
      </w:r>
      <w:r>
        <w:rPr>
          <w:rFonts w:ascii="Arial" w:cs="Arial" w:eastAsia="Arial" w:hAnsi="Arial"/>
          <w:sz w:val="18"/>
          <w:szCs w:val="18"/>
          <w:color w:val="auto"/>
        </w:rPr>
        <w:t>is the David H. Koch Institute Professor at MIT. Dr. Langer is a prolific entrepreneur and visionary scientist who has</w:t>
      </w:r>
      <w:r>
        <w:rPr>
          <w:rFonts w:ascii="Arial" w:cs="Arial" w:eastAsia="Arial" w:hAnsi="Arial"/>
          <w:sz w:val="18"/>
          <w:szCs w:val="18"/>
          <w:b w:val="1"/>
          <w:bCs w:val="1"/>
          <w:color w:val="auto"/>
        </w:rPr>
        <w:t xml:space="preserve"> </w:t>
      </w:r>
      <w:r>
        <w:rPr>
          <w:rFonts w:ascii="Arial" w:cs="Arial" w:eastAsia="Arial" w:hAnsi="Arial"/>
          <w:sz w:val="18"/>
          <w:szCs w:val="18"/>
          <w:color w:val="auto"/>
        </w:rPr>
        <w:t>co-founded more than 30 companies over a multi-decade career, which collectively have resulted in transformative products that have changed the world across many end-markets, including Moderna (Nasdaq: MRNA), which is helping to lead the fight against COVID-19 via its mRNA platform.</w:t>
      </w:r>
    </w:p>
    <w:p>
      <w:pPr>
        <w:spacing w:after="0" w:line="98" w:lineRule="exact"/>
        <w:rPr>
          <w:sz w:val="20"/>
          <w:szCs w:val="20"/>
          <w:color w:val="auto"/>
        </w:rPr>
      </w:pPr>
    </w:p>
    <w:p>
      <w:pPr>
        <w:ind w:left="200" w:right="300"/>
        <w:spacing w:after="0" w:line="264" w:lineRule="auto"/>
        <w:rPr>
          <w:sz w:val="20"/>
          <w:szCs w:val="20"/>
          <w:color w:val="auto"/>
        </w:rPr>
      </w:pPr>
      <w:r>
        <w:rPr>
          <w:rFonts w:ascii="Arial" w:cs="Arial" w:eastAsia="Arial" w:hAnsi="Arial"/>
          <w:sz w:val="16"/>
          <w:szCs w:val="16"/>
          <w:color w:val="auto"/>
        </w:rPr>
        <w:t>Dr. Langer has written over 1,250 articles (&gt;334,000 citations; H-Index 285; as of March 2021), and has nearly 1,050 patents worldwide. Dr. Langer’s patents have been licensed or sublicensed to over 250 pharmaceutical, chemical, biotechnology and medical device companies. Dr. Langer has received over 220 major awards. He is one of 5 living individuals to have received both the United States National Medal of Science (2006) and the United States National Medal of Technology and Innovation (2011). He also received the 2002 Charles Stark Draper Prize, considered the equivalent of the Nobel Prize for engineers, the 2008 Millennium Prize, the world’s largest technology prize, the 2012 Priestley Medal, the highest award of the American Chemical Society, the 2013 Wolf Prize in Chemistry, the</w:t>
      </w:r>
    </w:p>
    <w:p>
      <w:pPr>
        <w:spacing w:after="0" w:line="1"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color w:val="auto"/>
        </w:rPr>
        <w:t>2014 Breakthrough Prize in Life Sciences and the 2014 Kyoto Prize. He is also the only engineer to have received the Gairdner Foundation International Award; 82 recipients of this award have subsequently received a Nobel Prize. Among numerous other awards Langer has received are the Dickson Prize for Science (2002), Heinz Award for Technology, Economy and Employment (2003), the Harvey Prize</w:t>
      </w:r>
    </w:p>
    <w:p>
      <w:pPr>
        <w:ind w:left="200"/>
        <w:spacing w:after="0" w:line="236" w:lineRule="auto"/>
        <w:rPr>
          <w:sz w:val="20"/>
          <w:szCs w:val="20"/>
          <w:color w:val="auto"/>
        </w:rPr>
      </w:pPr>
      <w:r>
        <w:rPr>
          <w:rFonts w:ascii="Arial" w:cs="Arial" w:eastAsia="Arial" w:hAnsi="Arial"/>
          <w:sz w:val="18"/>
          <w:szCs w:val="18"/>
          <w:color w:val="auto"/>
        </w:rPr>
        <w:t>(2003), the John Fritz Award (2003) (given previously to inventors such as Thomas Edison and Orville Wright), the General Motors Kettering Prize for Cancer Research (2004), the Dan David Prize in Materials Science (2005), the Albany Medical Center Prize in Medicine and Biomedical Research (2005), the largest prize in the U.S. for medical research, induction into the National Inventors Hall of Fame (2006), the Max Planck Research Award (2008), the Prince of Asturias Award for Technical and Scientific Research (2008), the Warren Alpert Foundation Prize (2011) and the Terumo International Prize (2012). In 1998, he received the Lemelson-MIT prize, the world’s largest prize for invention for being “one of history’s most prolific inventors in medicine.” In 1989 Dr. Langer was elected to the Institute of Medicine of the National Academy of Sciences, and in 1992 he was elected to both the National Academy of Engineering and to the National Academy of Sciences, and in 2012 he was elected to the National Academy of Inventors.</w:t>
      </w:r>
    </w:p>
    <w:p>
      <w:pPr>
        <w:spacing w:after="0" w:line="100"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He currently serves on the Board of Directors at Moderna (Nasdaq: MRNA), Seer (Nasdaq: SEER), Frequency Therapeutics (Nasdaq: FREQ), and PureTech Health plc (Nasdaq: PRTC; LSE: PRTC). Dr. Langer completed his undergraduate studies in Chemical Engineering at Cornell University and obtained his Sc.D in Chemical Engineering at MIT.</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Competitive advantages</w:t>
      </w:r>
    </w:p>
    <w:p>
      <w:pPr>
        <w:spacing w:after="0" w:line="134" w:lineRule="exact"/>
        <w:rPr>
          <w:sz w:val="20"/>
          <w:szCs w:val="20"/>
          <w:color w:val="auto"/>
        </w:rPr>
      </w:pPr>
    </w:p>
    <w:p>
      <w:pPr>
        <w:ind w:left="200" w:right="420"/>
        <w:spacing w:after="0" w:line="238" w:lineRule="auto"/>
        <w:rPr>
          <w:sz w:val="20"/>
          <w:szCs w:val="20"/>
          <w:color w:val="auto"/>
        </w:rPr>
      </w:pPr>
      <w:r>
        <w:rPr>
          <w:rFonts w:ascii="Arial" w:cs="Arial" w:eastAsia="Arial" w:hAnsi="Arial"/>
          <w:sz w:val="18"/>
          <w:szCs w:val="18"/>
          <w:color w:val="auto"/>
        </w:rPr>
        <w:t>Technology innovation is disrupting many markets across the life sciences subsector from basic discovery and translational research to novel diagnostics, vaccines, therapeutics and advanced bio-materials. We believe our management team is well positioned to identify opportunities for the reasons outlined below:</w:t>
      </w:r>
    </w:p>
    <w:p>
      <w:pPr>
        <w:spacing w:after="0" w:line="82"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i w:val="1"/>
          <w:iCs w:val="1"/>
          <w:color w:val="auto"/>
        </w:rPr>
        <w:t xml:space="preserve">Track record of success: </w:t>
      </w:r>
      <w:r>
        <w:rPr>
          <w:rFonts w:ascii="Arial" w:cs="Arial" w:eastAsia="Arial" w:hAnsi="Arial"/>
          <w:sz w:val="18"/>
          <w:szCs w:val="18"/>
          <w:color w:val="auto"/>
        </w:rPr>
        <w:t>Members of our management team have established long-term track records as operating executives, scientists,</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founders, and investment professionals in the life sciences subsector, and have founded and/or invested in numerous successful, innovative biotechnology and life sciences tools companies. Executive Chair, Dr. Omid Farokhzad, M.D., is founder, CEO and Chair of transformative proteomics platform Seer, which he led to a successful IPO in December 2020. He previously co-founded BIND Therapeutics (acquired by Pfizer), Selecta Biosciences (Nasdaq: SELB) and Tarveda Therapeutics. CEO and Director, Mostafa Ronaghi, PhD, was most recently Chief Technology Officer, Senior Vice President and member of the Executive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233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2330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Leadership Team at Illumina (Nasdaq: ILMN) from 2008-2021. While at Illumina, in 2016, Dr. Ronaghi also co-founded GRAIL, a next-gen liquid biopsy platform for cancer detection.</w:t>
      </w:r>
    </w:p>
    <w:p>
      <w:pPr>
        <w:spacing w:after="0" w:line="83" w:lineRule="exact"/>
        <w:rPr>
          <w:sz w:val="20"/>
          <w:szCs w:val="20"/>
          <w:color w:val="auto"/>
        </w:rPr>
      </w:pPr>
    </w:p>
    <w:p>
      <w:pPr>
        <w:ind w:left="200" w:right="240"/>
        <w:spacing w:after="0" w:line="241" w:lineRule="auto"/>
        <w:rPr>
          <w:sz w:val="20"/>
          <w:szCs w:val="20"/>
          <w:color w:val="auto"/>
        </w:rPr>
      </w:pPr>
      <w:r>
        <w:rPr>
          <w:rFonts w:ascii="Arial" w:cs="Arial" w:eastAsia="Arial" w:hAnsi="Arial"/>
          <w:sz w:val="18"/>
          <w:szCs w:val="18"/>
          <w:i w:val="1"/>
          <w:iCs w:val="1"/>
          <w:color w:val="auto"/>
        </w:rPr>
        <w:t xml:space="preserve">Deep relationships across the life sciences and pharmaceutical ecosystem: </w:t>
      </w:r>
      <w:r>
        <w:rPr>
          <w:rFonts w:ascii="Arial" w:cs="Arial" w:eastAsia="Arial" w:hAnsi="Arial"/>
          <w:sz w:val="18"/>
          <w:szCs w:val="18"/>
          <w:color w:val="auto"/>
        </w:rPr>
        <w:t>Our management team, directors and advisors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relationships with senior business development and R&amp;D leadership executives across the life sciences and pharmaceutical ecosystem, as well as with leading academics and major investment funds focused on the life sciences. We believe that our team has developed a reputation for being trusted advisors to entrepreneurs and companies across the life sciences value chain, which we believe will facilitate investment opportunities in these companies.</w:t>
      </w:r>
    </w:p>
    <w:p>
      <w:pPr>
        <w:spacing w:after="0" w:line="81"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i w:val="1"/>
          <w:iCs w:val="1"/>
          <w:color w:val="auto"/>
        </w:rPr>
        <w:t xml:space="preserve">Proactive and proprietary transaction sourcing: </w:t>
      </w:r>
      <w:r>
        <w:rPr>
          <w:rFonts w:ascii="Arial" w:cs="Arial" w:eastAsia="Arial" w:hAnsi="Arial"/>
          <w:sz w:val="18"/>
          <w:szCs w:val="18"/>
          <w:color w:val="auto"/>
        </w:rPr>
        <w:t>We believe our management team has access to high-quality deal flow, due in large part</w:t>
      </w:r>
      <w:r>
        <w:rPr>
          <w:rFonts w:ascii="Arial" w:cs="Arial" w:eastAsia="Arial" w:hAnsi="Arial"/>
          <w:sz w:val="18"/>
          <w:szCs w:val="18"/>
          <w:i w:val="1"/>
          <w:iCs w:val="1"/>
          <w:color w:val="auto"/>
        </w:rPr>
        <w:t xml:space="preserve"> </w:t>
      </w:r>
      <w:r>
        <w:rPr>
          <w:rFonts w:ascii="Arial" w:cs="Arial" w:eastAsia="Arial" w:hAnsi="Arial"/>
          <w:sz w:val="18"/>
          <w:szCs w:val="18"/>
          <w:color w:val="auto"/>
        </w:rPr>
        <w:t>to their broad range of industry contacts, and the reputation of our management team, directors and scientific advisor. We expect our team’s reputation for having deep industry expertise will also attract referrals from industry colleagues. Many of these companies may be less well-known and may represent a landscape of investment opportunities uniquely accessible to our team.</w:t>
      </w:r>
    </w:p>
    <w:p>
      <w:pPr>
        <w:spacing w:after="0" w:line="80"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i w:val="1"/>
          <w:iCs w:val="1"/>
          <w:color w:val="auto"/>
        </w:rPr>
        <w:t xml:space="preserve">Significant value-add capability: </w:t>
      </w:r>
      <w:r>
        <w:rPr>
          <w:rFonts w:ascii="Arial" w:cs="Arial" w:eastAsia="Arial" w:hAnsi="Arial"/>
          <w:sz w:val="18"/>
          <w:szCs w:val="18"/>
          <w:color w:val="auto"/>
        </w:rPr>
        <w:t>We believe that our team’s blend of operating and investment experience can help companies maximize</w:t>
      </w:r>
      <w:r>
        <w:rPr>
          <w:rFonts w:ascii="Arial" w:cs="Arial" w:eastAsia="Arial" w:hAnsi="Arial"/>
          <w:sz w:val="18"/>
          <w:szCs w:val="18"/>
          <w:i w:val="1"/>
          <w:iCs w:val="1"/>
          <w:color w:val="auto"/>
        </w:rPr>
        <w:t xml:space="preserve"> </w:t>
      </w:r>
      <w:r>
        <w:rPr>
          <w:rFonts w:ascii="Arial" w:cs="Arial" w:eastAsia="Arial" w:hAnsi="Arial"/>
          <w:sz w:val="18"/>
          <w:szCs w:val="18"/>
          <w:color w:val="auto"/>
        </w:rPr>
        <w:t>their potential value. We aim to find a target that we believe would achieve more value from partnering with us than by pursuing the traditional IPO path, by leveraging the collective business, scientific, financial, intellectual property, recruiting and deal-making advice of our team. Our management team, board of directors and scientific advisor collectively have decades of experience founding, and then growing and managing, companies and taking them from private markets to the public market. The team also has experience crafting strategic partnerships with industry-leading pharmaceutical and life sciences companies. Our team is also interested in potential opportunities with which one or more members of our team or directors could take a board seat in the company following the initial business combination, if feasible and mutually beneficial to our team and the target.</w:t>
      </w:r>
    </w:p>
    <w:p>
      <w:pPr>
        <w:spacing w:after="0" w:line="86"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i w:val="1"/>
          <w:iCs w:val="1"/>
          <w:color w:val="auto"/>
        </w:rPr>
        <w:t xml:space="preserve">Broad vision, exceptional network and deep domain expertise to facilitate the identification and diligence of opportunities: </w:t>
      </w:r>
      <w:r>
        <w:rPr>
          <w:rFonts w:ascii="Arial" w:cs="Arial" w:eastAsia="Arial" w:hAnsi="Arial"/>
          <w:sz w:val="18"/>
          <w:szCs w:val="18"/>
          <w:color w:val="auto"/>
        </w:rPr>
        <w:t>We believe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 and directors possess a unique combination of attributes from having a broad view of key trends in life sciences technological developments and the emerging healthcare value-chain, to a deep understanding of key technological and scientific nuances, which should allow us to better vet technology platforms, identify appropriate expertise, and achieve a thorough level of diligence of a target company. Due to our broad industry and academic networks, we may see opportunities and synergies even before the target company’s management or board does.</w:t>
      </w:r>
    </w:p>
    <w:p>
      <w:pPr>
        <w:spacing w:after="0" w:line="86" w:lineRule="exact"/>
        <w:rPr>
          <w:sz w:val="20"/>
          <w:szCs w:val="20"/>
          <w:color w:val="auto"/>
        </w:rPr>
      </w:pPr>
    </w:p>
    <w:p>
      <w:pPr>
        <w:jc w:val="both"/>
        <w:ind w:left="200" w:right="320"/>
        <w:spacing w:after="0" w:line="247" w:lineRule="auto"/>
        <w:rPr>
          <w:sz w:val="20"/>
          <w:szCs w:val="20"/>
          <w:color w:val="auto"/>
        </w:rPr>
      </w:pPr>
      <w:r>
        <w:rPr>
          <w:rFonts w:ascii="Arial" w:cs="Arial" w:eastAsia="Arial" w:hAnsi="Arial"/>
          <w:sz w:val="18"/>
          <w:szCs w:val="18"/>
          <w:i w:val="1"/>
          <w:iCs w:val="1"/>
          <w:color w:val="auto"/>
        </w:rPr>
        <w:t xml:space="preserve">Broad experience across private and public markets: </w:t>
      </w:r>
      <w:r>
        <w:rPr>
          <w:rFonts w:ascii="Arial" w:cs="Arial" w:eastAsia="Arial" w:hAnsi="Arial"/>
          <w:sz w:val="18"/>
          <w:szCs w:val="18"/>
          <w:color w:val="auto"/>
        </w:rPr>
        <w:t>Our team has experience leading large, publicly traded corporations at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executive levels, which could open the door to many companies not yet envisioning an IPO. The team’s collective experience could assist in transitioning a high-quality, privately-held company to the public market.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Business combination strategy</w:t>
      </w:r>
    </w:p>
    <w:p>
      <w:pPr>
        <w:spacing w:after="0" w:line="134"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Consistent with our business strategy discussed above and the expertise of our team, we have identified the following general criteria to evaluate prospective target businesses, although we may decide to enter into our initial business combination with a target business that does not meet all of these criteria:</w:t>
      </w:r>
    </w:p>
    <w:p>
      <w:pPr>
        <w:spacing w:after="0" w:line="113" w:lineRule="exact"/>
        <w:rPr>
          <w:sz w:val="20"/>
          <w:szCs w:val="20"/>
          <w:color w:val="auto"/>
        </w:rPr>
      </w:pPr>
    </w:p>
    <w:p>
      <w:pPr>
        <w:ind w:left="400" w:hanging="206"/>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117" w:lineRule="exact"/>
        <w:rPr>
          <w:rFonts w:ascii="Arial" w:cs="Arial" w:eastAsia="Arial" w:hAnsi="Arial"/>
          <w:sz w:val="18"/>
          <w:szCs w:val="18"/>
          <w:color w:val="auto"/>
        </w:rPr>
      </w:pPr>
    </w:p>
    <w:p>
      <w:pPr>
        <w:ind w:left="5580" w:right="3400" w:hanging="5386"/>
        <w:spacing w:after="0" w:line="427"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Grounded in breakthrough science (i.e., first-in-class or best-in-class competitive positioning); 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38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4387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0" w:hanging="206"/>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market leading product(s);</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Addressing an unmet medical need;</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significant benefits to patients;</w:t>
      </w:r>
    </w:p>
    <w:p>
      <w:pPr>
        <w:spacing w:after="0" w:line="117" w:lineRule="exact"/>
        <w:rPr>
          <w:rFonts w:ascii="Arial" w:cs="Arial" w:eastAsia="Arial" w:hAnsi="Arial"/>
          <w:sz w:val="18"/>
          <w:szCs w:val="18"/>
          <w:color w:val="auto"/>
        </w:rPr>
      </w:pPr>
    </w:p>
    <w:p>
      <w:pPr>
        <w:ind w:left="400" w:right="120" w:hanging="206"/>
        <w:spacing w:after="0" w:line="239"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assets with the ability to diversify risk and successfully navigate an economic downturn, and changes in the industry landscape, social sustainability trends and evolving regulatory environment;</w:t>
      </w:r>
    </w:p>
    <w:p>
      <w:pPr>
        <w:spacing w:after="0" w:line="114" w:lineRule="exact"/>
        <w:rPr>
          <w:rFonts w:ascii="Arial" w:cs="Arial" w:eastAsia="Arial" w:hAnsi="Arial"/>
          <w:sz w:val="18"/>
          <w:szCs w:val="18"/>
          <w:color w:val="auto"/>
        </w:rPr>
      </w:pPr>
    </w:p>
    <w:p>
      <w:pPr>
        <w:ind w:left="400" w:hanging="206"/>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IPO-ready management team, with experience in the public market; and</w:t>
      </w:r>
    </w:p>
    <w:p>
      <w:pPr>
        <w:spacing w:after="0" w:line="117" w:lineRule="exact"/>
        <w:rPr>
          <w:rFonts w:ascii="Arial" w:cs="Arial" w:eastAsia="Arial" w:hAnsi="Arial"/>
          <w:sz w:val="18"/>
          <w:szCs w:val="18"/>
          <w:color w:val="auto"/>
        </w:rPr>
      </w:pPr>
    </w:p>
    <w:p>
      <w:pPr>
        <w:ind w:left="400" w:right="20" w:hanging="206"/>
        <w:spacing w:after="0" w:line="299" w:lineRule="auto"/>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Experienced investor base: companies that have been funded by experienced life sciences investors including venture capitalists, private equity investors, healthcare companies and other institutional investors who have also provided strategic inputs to the company.</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acquisition and diligence process will include:</w:t>
      </w:r>
    </w:p>
    <w:p>
      <w:pPr>
        <w:spacing w:after="0" w:line="117" w:lineRule="exact"/>
        <w:rPr>
          <w:sz w:val="20"/>
          <w:szCs w:val="20"/>
          <w:color w:val="auto"/>
        </w:rPr>
      </w:pPr>
    </w:p>
    <w:p>
      <w:pPr>
        <w:ind w:left="400" w:right="520" w:hanging="206"/>
        <w:spacing w:after="0" w:line="239"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Scientific and technological analysis, with assessment of product development, commercial, clinical, regulatory and reimbursement success factors;</w:t>
      </w:r>
    </w:p>
    <w:p>
      <w:pPr>
        <w:spacing w:after="0" w:line="114" w:lineRule="exact"/>
        <w:rPr>
          <w:rFonts w:ascii="Arial" w:cs="Arial" w:eastAsia="Arial" w:hAnsi="Arial"/>
          <w:sz w:val="18"/>
          <w:szCs w:val="18"/>
          <w:color w:val="auto"/>
        </w:rPr>
      </w:pPr>
    </w:p>
    <w:p>
      <w:pPr>
        <w:ind w:left="400" w:hanging="206"/>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review, including interviews with key opinion leaders, customers, competitors and industry experts;</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evaluation including analysis of historical results and modeling of various scenarios; and</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104" w:lineRule="exact"/>
        <w:rPr>
          <w:sz w:val="20"/>
          <w:szCs w:val="20"/>
          <w:color w:val="auto"/>
        </w:rPr>
      </w:pPr>
    </w:p>
    <w:p>
      <w:pPr>
        <w:ind w:left="200" w:right="360"/>
        <w:spacing w:after="0" w:line="299"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on these general guidelines as well as other considerations, factors and criteria that our management team may deem relevant.</w:t>
      </w:r>
    </w:p>
    <w:p>
      <w:pPr>
        <w:spacing w:after="0" w:line="5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are not prohibited from pursuing an initial business combination or subsequent transaction with a company that is affiliated with our sponsor, officers, directors or scientific advisor. In the event we seek to complete our initial business combination or, subject to certain exceptions, subsequent material transactions with a company that is affiliated with our sponsor, officers, directors or scientific advisor, we, or a committee of independent directors, to the extent required by applicable law or based upon the direction of our board of directors or a committee thereof, will obtain an opinion from an independent investment banking firm that is a member of the Financial Industry Regulatory Authority, or FINRA, or from an independent accounting firm, that such initial business combination or transaction is fair to our company from a financial point of view.</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Our sponsor or any of our officers, directors or scientific advisor may directly or indirectly own our common stock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 or director is made a condition to any agreement with respect to our initial business combination.</w:t>
      </w:r>
    </w:p>
    <w:p>
      <w:pPr>
        <w:spacing w:after="0" w:line="103"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Each of our officers and directors presently has, or may in the future have, fiduciary or contractual obligations to other entities pursuant to which such officer or director is or will be required to present a business</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70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0704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combination opportunity. Accordingly, if any of our officers or directors becomes aware of a business combination opportunity that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that director or officer is permitted to refer that opportunity to us without violating another legal obligation. Our officers and directors would continue to be subject to all other fiduciary duties owed to us and our stockholders and no other waivers of their respective fiduciary obligations have been provided to any such officers and directors. We do not have any plan for any waiver of the fiduciary duties of our officers and directors post-business combination.</w:t>
      </w:r>
    </w:p>
    <w:p>
      <w:pPr>
        <w:spacing w:after="0" w:line="106"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Our officers, directors, scientific advisor and any of their respective affiliates may sponsor or form, and, in the case of individuals, serve as a director or officer of, other blank check companies similar to our sponsor during the period in which we are seeking an initial business combination. Any such companies may present additional conflicts of interest in pursuing an acquisition target. However, we do not believe that any such potential conflicts would materially affect our ability to complete our initial business combination.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Industry opportunity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the healthcare industry and the life sciences subsector are attractive for a number of reasons:</w:t>
      </w:r>
    </w:p>
    <w:p>
      <w:pPr>
        <w:spacing w:after="0" w:line="86"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i w:val="1"/>
          <w:iCs w:val="1"/>
          <w:color w:val="auto"/>
        </w:rPr>
        <w:t xml:space="preserve">Large target market with favorable trends. </w:t>
      </w:r>
      <w:r>
        <w:rPr>
          <w:rFonts w:ascii="Arial" w:cs="Arial" w:eastAsia="Arial" w:hAnsi="Arial"/>
          <w:sz w:val="18"/>
          <w:szCs w:val="18"/>
          <w:color w:val="auto"/>
        </w:rPr>
        <w:t>The healthcare industry represents an enormous target market. Total U.S. national health</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 exceeds $3 trillion, and the Center for Medicare and Medicaid Services (“CMS”) has estimated that total healthcare spending will approach 20% of total U.S. Gross Domestic Product over the coming years. Spending on healthcare, driven by advancements in technology and treatment alternatives, has already been growing faster than the broader economy, as evidenced by the fact that healthcare expenditures tripled from 1995 to 2015 and are still trending at a 5-6% annual growth rate, according to CMS. According to CMS, pharmaceutical spending has remained a stable part of healthcare spending in the United States at around 10% over the last two decades, and we expect that this trend will continue even as healthcare expenditures continue to grow. The momentum of research and development in the biopharmaceutical industry makes this clear, with global R&amp;D expenditures projected by Statista to be $188 billion in 2020, with more than $75 billion in estimated expenditures in the U.S. alone. These figures encompass spending on all steps from discovery through clinical development and highlight the scope and scale of opportunity. In addition, the U.S. Food and Drug Administration (FDA) approval of new drugs increased approximately 40% comparing 2010 to 2014 numbers with those of 2015 to 2019, and we expect continued breakthroughs and approvals in coming years.</w:t>
      </w:r>
    </w:p>
    <w:p>
      <w:pPr>
        <w:spacing w:after="0" w:line="85"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i w:val="1"/>
          <w:iCs w:val="1"/>
          <w:color w:val="auto"/>
        </w:rPr>
        <w:t xml:space="preserve">Increased pace of innovation. </w:t>
      </w:r>
      <w:r>
        <w:rPr>
          <w:rFonts w:ascii="Arial" w:cs="Arial" w:eastAsia="Arial" w:hAnsi="Arial"/>
          <w:sz w:val="18"/>
          <w:szCs w:val="18"/>
          <w:color w:val="auto"/>
        </w:rPr>
        <w:t>We believe the life sciences subsector has reached an inflection point in recent years,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unprecedented pace of innovation that will impact the treatment and diagnosis of patients with unmet medical needs. Such innovation is being driven by advances across the emerging healthcare value chain, life sciences tools, enabling-software, synthetic biology and novel drug discovery and development platforms that enable applications in prevention, diagnosis, treatment and advanced bio-materials. The momentum of discovery and new technologies creates compelling investment opportunities and significant advantages to knowledgeable specialists.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98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1987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i w:val="1"/>
          <w:iCs w:val="1"/>
          <w:color w:val="auto"/>
        </w:rPr>
        <w:t xml:space="preserve">Broad universe of potential targets. </w:t>
      </w:r>
      <w:r>
        <w:rPr>
          <w:rFonts w:ascii="Arial" w:cs="Arial" w:eastAsia="Arial" w:hAnsi="Arial"/>
          <w:sz w:val="18"/>
          <w:szCs w:val="18"/>
          <w:color w:val="auto"/>
        </w:rPr>
        <w:t>The number of private companies in the healthcare industry, and even the life sciences subsector</w:t>
      </w:r>
      <w:r>
        <w:rPr>
          <w:rFonts w:ascii="Arial" w:cs="Arial" w:eastAsia="Arial" w:hAnsi="Arial"/>
          <w:sz w:val="18"/>
          <w:szCs w:val="18"/>
          <w:i w:val="1"/>
          <w:iCs w:val="1"/>
          <w:color w:val="auto"/>
        </w:rPr>
        <w:t xml:space="preserve"> </w:t>
      </w:r>
      <w:r>
        <w:rPr>
          <w:rFonts w:ascii="Arial" w:cs="Arial" w:eastAsia="Arial" w:hAnsi="Arial"/>
          <w:sz w:val="18"/>
          <w:szCs w:val="18"/>
          <w:color w:val="auto"/>
        </w:rPr>
        <w:t>alone, is significant and ever expanding, with thousands of firms in the United States exhibiting robust and innovation driven business models with attractive growth profiles. We believe that our investment and operating expertise will give us a large, addressable universe of potential targets. The diversity, size and attractiveness of the target universe maximizes the likelihood that the management team will be able to identify and execute a transaction which shareholders view favorably.</w:t>
      </w:r>
    </w:p>
    <w:p>
      <w:pPr>
        <w:spacing w:after="0" w:line="8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i w:val="1"/>
          <w:iCs w:val="1"/>
          <w:color w:val="auto"/>
        </w:rPr>
        <w:t xml:space="preserve">Highly dynamic and complex healthcare system requires deep sector expertise in order to convert innovation into commercial success. </w:t>
      </w:r>
      <w:r>
        <w:rPr>
          <w:rFonts w:ascii="Arial" w:cs="Arial" w:eastAsia="Arial" w:hAnsi="Arial"/>
          <w:sz w:val="18"/>
          <w:szCs w:val="18"/>
          <w:color w:val="auto"/>
        </w:rPr>
        <w:t>Several key components of the life sciences value chain are in a dynamic and rapidly changing state, including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breakthroughs, an evolving regulatory process, consolidation of payer and drug distribution channels, and growing consumerization of healthcare. In addition, the healthcare value chain is highly complex, and the interplay and relationships across the various stakeholders, consisting of life science tools companies, biopharma companies, research labs, healthcare providers, patients and payers, among others, require significant sector expertise to understand. We believe that a comprehensive understanding of the entire healthcare ecosystem, which comes from years of experience, is required to optimize returns from innovation, and that only assessing the technical risks and probabilities of success is not sufficient for sustainable investment success. Given that deep sector expertise is required to identify and appropriately analyze investment opportunities and successfully operate thereafter, there exists high barriers of entry for competing investors without our management team’s longstanding experience as operating executives, scientists, company founders, and investment professionals in the life sciences subsector.</w:t>
      </w:r>
    </w:p>
    <w:p>
      <w:pPr>
        <w:spacing w:after="0" w:line="105"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We believe these trends and themes have accentuated the need for targeted capital and value-added strategic support of companies around their critical phases of growth. Therein lies the opportunity for our team.</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Initial business combination</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Nasdaq listing rules require that our initial business combination must be with one or more target businesses that together have an aggregate fair market value equal to at least 80% of the value of the trust account (excluding any deferred underwriting fees and taxes payable on the income earned on the trust account) at the time of our signing a definitive agreement in connection with our initial business combination.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the 80% of net assets test.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w:t>
      </w:r>
    </w:p>
    <w:p>
      <w:pPr>
        <w:spacing w:after="0" w:line="106"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32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73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prior to our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 or issue a substantial number of new shares to third-parties in connection with financing our initial business combination. In such cases,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If our initial business combination involves more than one target business, the 80% of net assets test will be based on the aggregate value of all of the target businesses.</w:t>
      </w:r>
    </w:p>
    <w:p>
      <w:pPr>
        <w:spacing w:after="0" w:line="106" w:lineRule="exact"/>
        <w:rPr>
          <w:sz w:val="20"/>
          <w:szCs w:val="20"/>
          <w:color w:val="auto"/>
        </w:rPr>
      </w:pPr>
    </w:p>
    <w:p>
      <w:pPr>
        <w:ind w:left="200" w:right="240"/>
        <w:spacing w:after="0" w:line="237" w:lineRule="auto"/>
        <w:rPr>
          <w:sz w:val="20"/>
          <w:szCs w:val="20"/>
          <w:color w:val="auto"/>
        </w:rPr>
      </w:pPr>
      <w:r>
        <w:rPr>
          <w:rFonts w:ascii="Arial" w:cs="Arial" w:eastAsia="Arial" w:hAnsi="Arial"/>
          <w:sz w:val="18"/>
          <w:szCs w:val="18"/>
          <w:color w:val="auto"/>
        </w:rPr>
        <w:t>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Other considerations</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are not prohibited from pursuing an initial business combination or subsequent transaction with a company that is affiliated with our sponsor, officers or directors. In the event we seek to complete our initial business combination or, subject to certain exceptions, subsequent material transactions with a company that is affiliated with our sponsor, officers or directors, we, or a committee of independent directors, to the extent required by applicable law or based upon the direction of our board of directors or a committee thereof, will obtain an opinion from an independent investment banking firm or another entity that commonly renders valuation opinions that such initial business combination or transaction is fair to our company from a financial point of view.</w:t>
      </w:r>
    </w:p>
    <w:p>
      <w:pPr>
        <w:spacing w:after="0" w:line="102"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We currently do not have any specific business combination under consideration. Our officers and directors have neither individually identified nor considered a specific target business nor have they had any substantive discussions with possible target businesses. We have not (nor have any of our agents or affiliates) substantively engaged with any candidates (or a representative of any candidate) with respect to a possible acquisition transaction with our company. Additionally, we have not, nor has anyone on our behalf, taken any substantive action, directly or indirectly, with any suitable acquisition candidate for us, nor have we engaged or retained any agent or other representative to identify or locate any such acquisition candidate.</w:t>
      </w:r>
    </w:p>
    <w:p>
      <w:pPr>
        <w:spacing w:after="0" w:line="102" w:lineRule="exact"/>
        <w:rPr>
          <w:sz w:val="20"/>
          <w:szCs w:val="20"/>
          <w:color w:val="auto"/>
        </w:rPr>
      </w:pPr>
    </w:p>
    <w:p>
      <w:pPr>
        <w:ind w:left="200" w:right="460"/>
        <w:spacing w:after="0" w:line="238" w:lineRule="auto"/>
        <w:rPr>
          <w:sz w:val="20"/>
          <w:szCs w:val="20"/>
          <w:color w:val="auto"/>
        </w:rPr>
      </w:pPr>
      <w:r>
        <w:rPr>
          <w:rFonts w:ascii="Arial" w:cs="Arial" w:eastAsia="Arial" w:hAnsi="Arial"/>
          <w:sz w:val="18"/>
          <w:szCs w:val="18"/>
          <w:color w:val="auto"/>
        </w:rPr>
        <w:t>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Our executive offices are located at 2875 El Camino Real, Redwood City, CA 94061. Our corporate email address is irbd@dspc.bio. The information contained on or accessible through any website that we may maintain is not part of this prospectus or the registration statement of which this prospectus is a part.</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424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4245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00" w:lineRule="exact"/>
        <w:rPr>
          <w:sz w:val="20"/>
          <w:szCs w:val="20"/>
          <w:color w:val="auto"/>
        </w:rPr>
      </w:pPr>
    </w:p>
    <w:p>
      <w:pPr>
        <w:ind w:left="200" w:right="260"/>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(as adjusted for inflation pursuant to SEC rules from time to time), or (c) in which we are deemed to be a large accelerated filer, which means the aggregate worldwide market value of our Class A common stock that is held by non-affiliates equals or exceeds $700,000,000 as of the prior June 30</w:t>
      </w:r>
      <w:r>
        <w:rPr>
          <w:rFonts w:ascii="Arial" w:cs="Arial" w:eastAsia="Arial" w:hAnsi="Arial"/>
          <w:sz w:val="11"/>
          <w:szCs w:val="11"/>
          <w:color w:val="auto"/>
        </w:rPr>
        <w:t>th</w:t>
      </w:r>
      <w:r>
        <w:rPr>
          <w:rFonts w:ascii="Arial" w:cs="Arial" w:eastAsia="Arial" w:hAnsi="Arial"/>
          <w:sz w:val="18"/>
          <w:szCs w:val="18"/>
          <w:color w:val="auto"/>
        </w:rPr>
        <w:t>, and (2) the date on which we have issued more than $1.0 billion in non-convertible debt securities during the prior three-year period. References herein to emerging growth company will have the meaning associated with it in the JOBS Act.</w:t>
      </w:r>
    </w:p>
    <w:p>
      <w:pPr>
        <w:spacing w:after="0" w:line="10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$250,000,000 as of the prior June 30</w:t>
      </w:r>
      <w:r>
        <w:rPr>
          <w:rFonts w:ascii="Arial" w:cs="Arial" w:eastAsia="Arial" w:hAnsi="Arial"/>
          <w:sz w:val="11"/>
          <w:szCs w:val="11"/>
          <w:color w:val="auto"/>
        </w:rPr>
        <w:t>th</w:t>
      </w:r>
      <w:r>
        <w:rPr>
          <w:rFonts w:ascii="Arial" w:cs="Arial" w:eastAsia="Arial" w:hAnsi="Arial"/>
          <w:sz w:val="18"/>
          <w:szCs w:val="18"/>
          <w:color w:val="auto"/>
        </w:rPr>
        <w:t xml:space="preserve"> or (2) our annual revenues equal or exceed $100,000,000 during such completed fiscal year and the market value of our common stock held by non-affiliates equals or exceeds $700,000,000 as of the prior June 30</w:t>
      </w:r>
      <w:r>
        <w:rPr>
          <w:rFonts w:ascii="Arial" w:cs="Arial" w:eastAsia="Arial" w:hAnsi="Arial"/>
          <w:sz w:val="11"/>
          <w:szCs w:val="11"/>
          <w:color w:val="auto"/>
        </w:rPr>
        <w:t>th</w:t>
      </w:r>
      <w:r>
        <w:rPr>
          <w:rFonts w:ascii="Arial" w:cs="Arial" w:eastAsia="Arial" w:hAnsi="Arial"/>
          <w:sz w:val="18"/>
          <w:szCs w:val="18"/>
          <w:color w:val="auto"/>
        </w:rPr>
        <w:t>.</w:t>
      </w:r>
    </w:p>
    <w:p>
      <w:pPr>
        <w:spacing w:after="0" w:line="1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32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233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52330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pacing w:after="0" w:line="139"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i w:val="1"/>
          <w:iCs w:val="1"/>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of this prospectus entitled “Risk Factors.”</w:t>
      </w:r>
    </w:p>
    <w:p>
      <w:pPr>
        <w:spacing w:after="0" w:line="60"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284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7860" w:type="dxa"/>
            <w:vAlign w:val="bottom"/>
          </w:tcPr>
          <w:p>
            <w:pPr>
              <w:ind w:left="200"/>
              <w:spacing w:after="0"/>
              <w:rPr>
                <w:sz w:val="20"/>
                <w:szCs w:val="20"/>
                <w:color w:val="auto"/>
              </w:rPr>
            </w:pPr>
            <w:r>
              <w:rPr>
                <w:rFonts w:ascii="Arial" w:cs="Arial" w:eastAsia="Arial" w:hAnsi="Arial"/>
                <w:sz w:val="18"/>
                <w:szCs w:val="18"/>
                <w:color w:val="auto"/>
                <w:w w:val="99"/>
              </w:rPr>
              <w:t>20,000,000 shares of Class A common stock (23,000,000 shares of Class A common stock if the</w:t>
            </w: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underwriter’s over-allotment option is exercised in full), at $10.00 per share:</w:t>
            </w: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0"/>
                <w:szCs w:val="20"/>
                <w:color w:val="auto"/>
              </w:rPr>
            </w:pPr>
            <w:r>
              <w:rPr>
                <w:rFonts w:ascii="Arial" w:cs="Arial" w:eastAsia="Arial" w:hAnsi="Arial"/>
                <w:sz w:val="18"/>
                <w:szCs w:val="18"/>
                <w:b w:val="1"/>
                <w:bCs w:val="1"/>
                <w:color w:val="auto"/>
              </w:rPr>
              <w:t>Nasdaq symbol</w:t>
            </w:r>
          </w:p>
        </w:tc>
        <w:tc>
          <w:tcPr>
            <w:tcW w:w="7860" w:type="dxa"/>
            <w:vAlign w:val="bottom"/>
          </w:tcPr>
          <w:p>
            <w:pPr>
              <w:ind w:left="200"/>
              <w:spacing w:after="0"/>
              <w:rPr>
                <w:sz w:val="20"/>
                <w:szCs w:val="20"/>
                <w:color w:val="auto"/>
              </w:rPr>
            </w:pPr>
            <w:r>
              <w:rPr>
                <w:rFonts w:ascii="Arial" w:cs="Arial" w:eastAsia="Arial" w:hAnsi="Arial"/>
                <w:sz w:val="18"/>
                <w:szCs w:val="18"/>
                <w:color w:val="auto"/>
              </w:rPr>
              <w:t>Class A common stock: “DYNS”</w:t>
            </w:r>
          </w:p>
        </w:tc>
        <w:tc>
          <w:tcPr>
            <w:tcW w:w="0" w:type="dxa"/>
            <w:vAlign w:val="bottom"/>
          </w:tcPr>
          <w:p>
            <w:pPr>
              <w:spacing w:after="0"/>
              <w:rPr>
                <w:sz w:val="1"/>
                <w:szCs w:val="1"/>
                <w:color w:val="auto"/>
              </w:rPr>
            </w:pPr>
          </w:p>
        </w:tc>
      </w:tr>
      <w:tr>
        <w:trPr>
          <w:trHeight w:val="329"/>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Trading commencement</w:t>
            </w:r>
          </w:p>
        </w:tc>
        <w:tc>
          <w:tcPr>
            <w:tcW w:w="7860" w:type="dxa"/>
            <w:vAlign w:val="bottom"/>
          </w:tcPr>
          <w:p>
            <w:pPr>
              <w:ind w:left="200"/>
              <w:spacing w:after="0"/>
              <w:rPr>
                <w:sz w:val="20"/>
                <w:szCs w:val="20"/>
                <w:color w:val="auto"/>
              </w:rPr>
            </w:pPr>
            <w:r>
              <w:rPr>
                <w:rFonts w:ascii="Arial" w:cs="Arial" w:eastAsia="Arial" w:hAnsi="Arial"/>
                <w:sz w:val="18"/>
                <w:szCs w:val="18"/>
                <w:color w:val="auto"/>
                <w:w w:val="97"/>
              </w:rPr>
              <w:t>The shares of Class A common stock are expected to begin trading on or promptly after the date of</w:t>
            </w:r>
          </w:p>
        </w:tc>
        <w:tc>
          <w:tcPr>
            <w:tcW w:w="0" w:type="dxa"/>
            <w:vAlign w:val="bottom"/>
          </w:tcPr>
          <w:p>
            <w:pPr>
              <w:spacing w:after="0"/>
              <w:rPr>
                <w:sz w:val="1"/>
                <w:szCs w:val="1"/>
                <w:color w:val="auto"/>
              </w:rPr>
            </w:pPr>
          </w:p>
        </w:tc>
      </w:tr>
      <w:tr>
        <w:trPr>
          <w:trHeight w:val="194"/>
        </w:trPr>
        <w:tc>
          <w:tcPr>
            <w:tcW w:w="2840" w:type="dxa"/>
            <w:vAlign w:val="bottom"/>
            <w:vMerge w:val="continue"/>
          </w:tcPr>
          <w:p>
            <w:pPr>
              <w:spacing w:after="0"/>
              <w:rPr>
                <w:sz w:val="16"/>
                <w:szCs w:val="16"/>
                <w:color w:val="auto"/>
              </w:rPr>
            </w:pPr>
          </w:p>
        </w:tc>
        <w:tc>
          <w:tcPr>
            <w:tcW w:w="7860" w:type="dxa"/>
            <w:vAlign w:val="bottom"/>
          </w:tcPr>
          <w:p>
            <w:pPr>
              <w:ind w:left="200"/>
              <w:spacing w:after="0" w:line="194" w:lineRule="exact"/>
              <w:rPr>
                <w:sz w:val="20"/>
                <w:szCs w:val="20"/>
                <w:color w:val="auto"/>
              </w:rPr>
            </w:pPr>
            <w:r>
              <w:rPr>
                <w:rFonts w:ascii="Arial" w:cs="Arial" w:eastAsia="Arial" w:hAnsi="Arial"/>
                <w:sz w:val="18"/>
                <w:szCs w:val="18"/>
                <w:color w:val="auto"/>
              </w:rPr>
              <w:t>this prospectus.</w:t>
            </w:r>
          </w:p>
        </w:tc>
        <w:tc>
          <w:tcPr>
            <w:tcW w:w="0" w:type="dxa"/>
            <w:vAlign w:val="bottom"/>
          </w:tcPr>
          <w:p>
            <w:pPr>
              <w:spacing w:after="0"/>
              <w:rPr>
                <w:sz w:val="1"/>
                <w:szCs w:val="1"/>
                <w:color w:val="auto"/>
              </w:rPr>
            </w:pPr>
          </w:p>
        </w:tc>
      </w:tr>
      <w:tr>
        <w:trPr>
          <w:trHeight w:val="233"/>
        </w:trPr>
        <w:tc>
          <w:tcPr>
            <w:tcW w:w="284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7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2840" w:type="dxa"/>
            <w:vAlign w:val="bottom"/>
          </w:tcPr>
          <w:p>
            <w:pPr>
              <w:spacing w:after="0"/>
              <w:rPr>
                <w:sz w:val="20"/>
                <w:szCs w:val="20"/>
                <w:color w:val="auto"/>
              </w:rPr>
            </w:pPr>
            <w:r>
              <w:rPr>
                <w:rFonts w:ascii="Arial" w:cs="Arial" w:eastAsia="Arial" w:hAnsi="Arial"/>
                <w:sz w:val="18"/>
                <w:szCs w:val="18"/>
                <w:b w:val="1"/>
                <w:bCs w:val="1"/>
                <w:color w:val="auto"/>
              </w:rPr>
              <w:t>Number outstanding before this</w:t>
            </w:r>
          </w:p>
        </w:tc>
        <w:tc>
          <w:tcPr>
            <w:tcW w:w="7860" w:type="dxa"/>
            <w:vAlign w:val="bottom"/>
          </w:tcPr>
          <w:p>
            <w:pPr>
              <w:ind w:left="200"/>
              <w:spacing w:after="0"/>
              <w:rPr>
                <w:sz w:val="20"/>
                <w:szCs w:val="20"/>
                <w:color w:val="auto"/>
              </w:rPr>
            </w:pPr>
            <w:r>
              <w:rPr>
                <w:rFonts w:ascii="Arial" w:cs="Arial" w:eastAsia="Arial" w:hAnsi="Arial"/>
                <w:sz w:val="18"/>
                <w:szCs w:val="18"/>
                <w:color w:val="auto"/>
              </w:rPr>
              <w:t>5,750,000 shares of Class B common stock</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33"/>
        </w:trPr>
        <w:tc>
          <w:tcPr>
            <w:tcW w:w="2840" w:type="dxa"/>
            <w:vAlign w:val="bottom"/>
          </w:tcPr>
          <w:p>
            <w:pPr>
              <w:spacing w:after="0"/>
              <w:rPr>
                <w:sz w:val="20"/>
                <w:szCs w:val="20"/>
                <w:color w:val="auto"/>
              </w:rPr>
            </w:pPr>
            <w:r>
              <w:rPr>
                <w:rFonts w:ascii="Arial" w:cs="Arial" w:eastAsia="Arial" w:hAnsi="Arial"/>
                <w:sz w:val="18"/>
                <w:szCs w:val="18"/>
                <w:b w:val="1"/>
                <w:bCs w:val="1"/>
                <w:color w:val="auto"/>
              </w:rPr>
              <w:t>offering</w:t>
            </w:r>
          </w:p>
        </w:tc>
        <w:tc>
          <w:tcPr>
            <w:tcW w:w="7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Number of private placement shares</w:t>
      </w:r>
      <w:r>
        <w:rPr>
          <w:rFonts w:ascii="Arial" w:cs="Arial" w:eastAsia="Arial" w:hAnsi="Arial"/>
          <w:sz w:val="18"/>
          <w:szCs w:val="18"/>
          <w:color w:val="auto"/>
        </w:rPr>
        <w:t>655,500 shares of Class A common stock</w:t>
      </w:r>
      <w:r>
        <w:rPr>
          <w:rFonts w:ascii="Arial" w:cs="Arial" w:eastAsia="Arial" w:hAnsi="Arial"/>
          <w:sz w:val="11"/>
          <w:szCs w:val="11"/>
          <w:color w:val="auto"/>
        </w:rPr>
        <w:t>(2)</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be sold in a private placement</w:t>
      </w:r>
    </w:p>
    <w:p>
      <w:pPr>
        <w:ind w:left="200"/>
        <w:spacing w:after="0"/>
        <w:rPr>
          <w:sz w:val="20"/>
          <w:szCs w:val="20"/>
          <w:color w:val="auto"/>
        </w:rPr>
      </w:pPr>
      <w:r>
        <w:rPr>
          <w:rFonts w:ascii="Arial" w:cs="Arial" w:eastAsia="Arial" w:hAnsi="Arial"/>
          <w:sz w:val="18"/>
          <w:szCs w:val="18"/>
          <w:b w:val="1"/>
          <w:bCs w:val="1"/>
          <w:color w:val="auto"/>
        </w:rPr>
        <w:t>concurrently with this offering</w:t>
      </w:r>
    </w:p>
    <w:p>
      <w:pPr>
        <w:sectPr>
          <w:pgSz w:w="11900" w:h="16838" w:orient="portrait"/>
          <w:cols w:equalWidth="0" w:num="1">
            <w:col w:w="11040"/>
          </w:cols>
          <w:pgMar w:left="320" w:top="459" w:right="539" w:bottom="1440" w:gutter="0" w:footer="0" w:header="0"/>
        </w:sectPr>
      </w:pPr>
    </w:p>
    <w:p>
      <w:pPr>
        <w:spacing w:after="0" w:line="109"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b w:val="1"/>
          <w:bCs w:val="1"/>
          <w:color w:val="auto"/>
        </w:rPr>
        <w:t>Number outstanding after this offering</w:t>
      </w:r>
    </w:p>
    <w:p>
      <w:pPr>
        <w:spacing w:after="0" w:line="85"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b w:val="1"/>
          <w:bCs w:val="1"/>
          <w:color w:val="auto"/>
        </w:rPr>
        <w:t>Number outstanding after this offering and the private placement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Founder shares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20,000,000 shares of Class A common stock and 5,000,000 shares of Class B common stock</w:t>
      </w:r>
      <w:r>
        <w:rPr>
          <w:rFonts w:ascii="Arial" w:cs="Arial" w:eastAsia="Arial" w:hAnsi="Arial"/>
          <w:sz w:val="11"/>
          <w:szCs w:val="11"/>
          <w:color w:val="auto"/>
        </w:rPr>
        <w:t>(2)</w:t>
      </w:r>
    </w:p>
    <w:p>
      <w:pPr>
        <w:spacing w:after="0" w:line="200" w:lineRule="exact"/>
        <w:rPr>
          <w:sz w:val="20"/>
          <w:szCs w:val="20"/>
          <w:color w:val="auto"/>
        </w:rPr>
      </w:pPr>
    </w:p>
    <w:p>
      <w:pPr>
        <w:spacing w:after="0" w:line="37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20,655,500 shares of Class A common stock and 5,000,000 shares of Class B common stock</w:t>
      </w:r>
      <w:r>
        <w:rPr>
          <w:rFonts w:ascii="Arial" w:cs="Arial" w:eastAsia="Arial" w:hAnsi="Arial"/>
          <w:sz w:val="11"/>
          <w:szCs w:val="11"/>
          <w:color w:val="auto"/>
        </w:rPr>
        <w:t>(2)</w:t>
      </w:r>
      <w:r>
        <w:rPr>
          <w:rFonts w:ascii="Arial" w:cs="Arial" w:eastAsia="Arial" w:hAnsi="Arial"/>
          <w:sz w:val="18"/>
          <w:szCs w:val="18"/>
          <w:color w:val="auto"/>
        </w:rPr>
        <w:t xml:space="preserve"> On March 8, 2021, our sponsor paid $25,000, or approximately $0.004 per share, to cover certain offering costs in consideration for 5,750,000 founder shares.</w:t>
      </w:r>
    </w:p>
    <w:p>
      <w:pPr>
        <w:spacing w:after="0" w:line="11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Prior to the initial investment in the company of $25,000 by our sponsor, the company had no assets, tangible or intangible. The per-share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shares if the underwriter’s over-allotment option is exercised in full, and therefore that such founder shares would represent 20% of the outstanding shares after this offering. Up to 750,000 of the founder shares may be surrendered by our sponsor for no</w:t>
      </w:r>
    </w:p>
    <w:p>
      <w:pPr>
        <w:spacing w:after="0" w:line="136" w:lineRule="exact"/>
        <w:rPr>
          <w:sz w:val="20"/>
          <w:szCs w:val="20"/>
          <w:color w:val="auto"/>
        </w:rPr>
      </w:pPr>
    </w:p>
    <w:p>
      <w:pPr>
        <w:sectPr>
          <w:pgSz w:w="11900" w:h="16838" w:orient="portrait"/>
          <w:cols w:equalWidth="0" w:num="2">
            <w:col w:w="3060" w:space="180"/>
            <w:col w:w="7800"/>
          </w:cols>
          <w:pgMar w:left="320" w:top="459" w:right="539" w:bottom="1440" w:gutter="0" w:footer="0" w:header="0"/>
          <w:type w:val="continuous"/>
        </w:sectPr>
      </w:pPr>
    </w:p>
    <w:p>
      <w:pPr>
        <w:ind w:left="520" w:right="80" w:hanging="326"/>
        <w:spacing w:after="0" w:line="182" w:lineRule="auto"/>
        <w:tabs>
          <w:tab w:leader="none" w:pos="52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Consists solely of founder shares, and includes up to 750,000 founder shares that are subject to forfeiture by our initial stockholders if the underwriter’s over-allotment option is not exercised.</w:t>
      </w:r>
    </w:p>
    <w:p>
      <w:pPr>
        <w:ind w:left="520" w:hanging="326"/>
        <w:spacing w:after="0" w:line="188" w:lineRule="auto"/>
        <w:tabs>
          <w:tab w:leader="none" w:pos="520" w:val="left"/>
        </w:tabs>
        <w:numPr>
          <w:ilvl w:val="0"/>
          <w:numId w:val="7"/>
        </w:numPr>
        <w:rPr>
          <w:rFonts w:ascii="Arial" w:cs="Arial" w:eastAsia="Arial" w:hAnsi="Arial"/>
          <w:sz w:val="18"/>
          <w:szCs w:val="18"/>
          <w:color w:val="auto"/>
          <w:vertAlign w:val="superscript"/>
        </w:rPr>
      </w:pPr>
      <w:r>
        <w:rPr>
          <w:rFonts w:ascii="Arial" w:cs="Arial" w:eastAsia="Arial" w:hAnsi="Arial"/>
          <w:sz w:val="11"/>
          <w:szCs w:val="11"/>
          <w:color w:val="auto"/>
        </w:rPr>
        <w:t>Assumes no exercise of the underwriter’s over-allotment option and the forfeiture by our initial stockholders of 750,000 founder shares.</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0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640"/>
        <w:spacing w:after="0" w:line="239" w:lineRule="auto"/>
        <w:rPr>
          <w:sz w:val="20"/>
          <w:szCs w:val="20"/>
          <w:color w:val="auto"/>
        </w:rPr>
      </w:pPr>
      <w:r>
        <w:rPr>
          <w:rFonts w:ascii="Arial" w:cs="Arial" w:eastAsia="Arial" w:hAnsi="Arial"/>
          <w:sz w:val="18"/>
          <w:szCs w:val="18"/>
          <w:color w:val="auto"/>
        </w:rPr>
        <w:t>consideration depending on the extent to which the underwriter’s over-allotment option is not exercised.</w:t>
      </w:r>
    </w:p>
    <w:p>
      <w:pPr>
        <w:spacing w:after="0" w:line="128" w:lineRule="exact"/>
        <w:rPr>
          <w:sz w:val="20"/>
          <w:szCs w:val="20"/>
          <w:color w:val="auto"/>
        </w:rPr>
      </w:pPr>
    </w:p>
    <w:p>
      <w:pPr>
        <w:ind w:left="3240" w:right="80"/>
        <w:spacing w:after="0" w:line="239" w:lineRule="auto"/>
        <w:rPr>
          <w:sz w:val="20"/>
          <w:szCs w:val="20"/>
          <w:color w:val="auto"/>
        </w:rPr>
      </w:pPr>
      <w:r>
        <w:rPr>
          <w:rFonts w:ascii="Arial" w:cs="Arial" w:eastAsia="Arial" w:hAnsi="Arial"/>
          <w:sz w:val="18"/>
          <w:szCs w:val="18"/>
          <w:color w:val="auto"/>
        </w:rPr>
        <w:t>The founder shares are identical to the shares of Class A common stock sold in this offering, except that:</w:t>
      </w:r>
    </w:p>
    <w:p>
      <w:pPr>
        <w:spacing w:after="0" w:line="114" w:lineRule="exact"/>
        <w:rPr>
          <w:sz w:val="20"/>
          <w:szCs w:val="20"/>
          <w:color w:val="auto"/>
        </w:rPr>
      </w:pPr>
    </w:p>
    <w:p>
      <w:pPr>
        <w:ind w:left="3440" w:right="140" w:hanging="209"/>
        <w:spacing w:after="0" w:line="238" w:lineRule="auto"/>
        <w:tabs>
          <w:tab w:leader="none" w:pos="3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holders of the Class B common stock have the right to vote on the election of directors prior to our initial business combination and holders of a majority of our shares of Class B common stock may remove a member of the board of directors for any reason;</w:t>
      </w:r>
    </w:p>
    <w:p>
      <w:pPr>
        <w:spacing w:after="0" w:line="113" w:lineRule="exact"/>
        <w:rPr>
          <w:rFonts w:ascii="Arial" w:cs="Arial" w:eastAsia="Arial" w:hAnsi="Arial"/>
          <w:sz w:val="18"/>
          <w:szCs w:val="18"/>
          <w:color w:val="auto"/>
        </w:rPr>
      </w:pPr>
    </w:p>
    <w:p>
      <w:pPr>
        <w:ind w:left="3440" w:right="140" w:hanging="209"/>
        <w:spacing w:after="0" w:line="237" w:lineRule="auto"/>
        <w:tabs>
          <w:tab w:leader="none" w:pos="3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founder shares automatically convert into shares of our Class A common stock at the time of our initial business combination, or at any time prior thereto at the option of the holder, on a one-for-one basis, subject to adjustment pursuant to certain anti-dilution rights, as described herein;</w:t>
      </w:r>
    </w:p>
    <w:p>
      <w:pPr>
        <w:spacing w:after="0" w:line="113" w:lineRule="exact"/>
        <w:rPr>
          <w:rFonts w:ascii="Arial" w:cs="Arial" w:eastAsia="Arial" w:hAnsi="Arial"/>
          <w:sz w:val="18"/>
          <w:szCs w:val="18"/>
          <w:color w:val="auto"/>
        </w:rPr>
      </w:pPr>
    </w:p>
    <w:p>
      <w:pPr>
        <w:ind w:left="3440" w:hanging="209"/>
        <w:spacing w:after="0"/>
        <w:tabs>
          <w:tab w:leader="none" w:pos="3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founder shares are subject to certain transfer restrictions, as described in more detail below;</w:t>
      </w:r>
    </w:p>
    <w:p>
      <w:pPr>
        <w:spacing w:after="0" w:line="140" w:lineRule="exact"/>
        <w:rPr>
          <w:rFonts w:ascii="Arial" w:cs="Arial" w:eastAsia="Arial" w:hAnsi="Arial"/>
          <w:sz w:val="16"/>
          <w:szCs w:val="16"/>
          <w:color w:val="auto"/>
        </w:rPr>
      </w:pPr>
    </w:p>
    <w:p>
      <w:pPr>
        <w:ind w:left="3440" w:hanging="209"/>
        <w:spacing w:after="0" w:line="235" w:lineRule="auto"/>
        <w:tabs>
          <w:tab w:leader="none" w:pos="3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sponsor and each of our officers and directors have entered into a letter agreement with us, pursuant to which they have agreed to (i) waive their redemption rights with respect to their founder shares and any public shares held by them in connection with the completion of our initial business combination, (ii) waive their redemption rights with respect to their founder shares and any public shares held by them in connection with a stockholder vote to approve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 (iii) waive their rights to liquidating distributions from the trust account with respect to their founder shares if we fail to complete our initial business combination within 24 months from the closing of this offering or during any extended time that we have to consummate a business combination beyond 24 months as a result of a stockholder vote to amend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timeframe;</w:t>
      </w:r>
    </w:p>
    <w:p>
      <w:pPr>
        <w:spacing w:after="0" w:line="118" w:lineRule="exact"/>
        <w:rPr>
          <w:rFonts w:ascii="Arial" w:cs="Arial" w:eastAsia="Arial" w:hAnsi="Arial"/>
          <w:sz w:val="18"/>
          <w:szCs w:val="18"/>
          <w:color w:val="auto"/>
        </w:rPr>
      </w:pPr>
    </w:p>
    <w:p>
      <w:pPr>
        <w:ind w:left="3440" w:right="100" w:hanging="209"/>
        <w:spacing w:after="0" w:line="236" w:lineRule="auto"/>
        <w:tabs>
          <w:tab w:leader="none" w:pos="3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the letter agreement, our sponsor and each of our officers and directors have agreed to vote any founder shares held by them and any public shares purchased during or after this offering (including in open market and privately negotiated transactions) in favor of our initial business combination. If we submit our initial business combination to our public stockholders for a vote, we will complete our initial business combination only if a majority of the outstanding shares of common stock voted are voted in favor of the initial</w:t>
      </w:r>
    </w:p>
    <w:p>
      <w:pPr>
        <w:spacing w:after="0" w:line="1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040" w:type="dxa"/>
            <w:vAlign w:val="bottom"/>
            <w:tcBorders>
              <w:top w:val="single" w:sz="8" w:color="auto"/>
              <w:left w:val="single" w:sz="8" w:color="auto"/>
            </w:tcBorders>
          </w:tcPr>
          <w:p>
            <w:pPr>
              <w:spacing w:after="0"/>
              <w:rPr>
                <w:sz w:val="24"/>
                <w:szCs w:val="24"/>
                <w:color w:val="auto"/>
              </w:rPr>
            </w:pPr>
          </w:p>
        </w:tc>
        <w:tc>
          <w:tcPr>
            <w:tcW w:w="820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business combination. As a result, assuming all outstanding shares are voted and the</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underwriter’s over-allotment option is not exercised, in addition to the founder shares, we would</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need only 7,172,251, or 35.9%, of the 20,000,000 public shares sold in this offering to be voted in</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w w:val="99"/>
              </w:rPr>
              <w:t>favor of an initial business combination in order to have our initial business combination approved.</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Assuming only the minimum number of shares representing a quorum are voted and the</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underwriter’s over-allotment option is not exercised, in addition to the founder shares, we would</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400"/>
              <w:spacing w:after="0" w:line="202" w:lineRule="exact"/>
              <w:rPr>
                <w:sz w:val="20"/>
                <w:szCs w:val="20"/>
                <w:color w:val="auto"/>
              </w:rPr>
            </w:pPr>
            <w:r>
              <w:rPr>
                <w:rFonts w:ascii="Arial" w:cs="Arial" w:eastAsia="Arial" w:hAnsi="Arial"/>
                <w:sz w:val="18"/>
                <w:szCs w:val="18"/>
                <w:color w:val="auto"/>
              </w:rPr>
              <w:t>not need any of the 20,000,000 public shares sold in this offering to be voted in favor of an initial</w:t>
            </w:r>
          </w:p>
        </w:tc>
      </w:tr>
      <w:tr>
        <w:trPr>
          <w:trHeight w:val="211"/>
        </w:trPr>
        <w:tc>
          <w:tcPr>
            <w:tcW w:w="304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business combination in order to have our initial business combination approved; and</w:t>
            </w:r>
          </w:p>
        </w:tc>
      </w:tr>
      <w:tr>
        <w:trPr>
          <w:trHeight w:val="324"/>
        </w:trPr>
        <w:tc>
          <w:tcPr>
            <w:tcW w:w="3040" w:type="dxa"/>
            <w:vAlign w:val="bottom"/>
            <w:tcBorders>
              <w:left w:val="single" w:sz="8" w:color="auto"/>
            </w:tcBorders>
          </w:tcPr>
          <w:p>
            <w:pPr>
              <w:spacing w:after="0"/>
              <w:rPr>
                <w:sz w:val="24"/>
                <w:szCs w:val="24"/>
                <w:color w:val="auto"/>
              </w:rPr>
            </w:pPr>
          </w:p>
        </w:tc>
        <w:tc>
          <w:tcPr>
            <w:tcW w:w="8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  the founder shares are entitled to registration rights.</w:t>
            </w:r>
          </w:p>
        </w:tc>
      </w:tr>
      <w:tr>
        <w:trPr>
          <w:trHeight w:val="294"/>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Transfer restrictions on founder</w:t>
            </w:r>
          </w:p>
        </w:tc>
        <w:tc>
          <w:tcPr>
            <w:tcW w:w="8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Our initial stockholders have agreed not to transfer, assign or sell any of their founder shares until</w:t>
            </w:r>
          </w:p>
        </w:tc>
      </w:tr>
      <w:tr>
        <w:trPr>
          <w:trHeight w:val="224"/>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8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earlier to occur of: (A) one year after the completion of our initial business combination or</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(B) subsequent to our initial business combination, (x) if the last reported sale price of our Class A</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common stock equals or exceeds $12.00 per share (as adjusted for stock splits, stock dividends,</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reorganizations, recapitalizations and the like) for any 20 trading days within any 30-trading day</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period commencing at least 150 days after our initial business combination, or (y) the date on which</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9"/>
              </w:rPr>
              <w:t>we complete a liquidation, merger, capital stock exchange, reorganization or other similar transaction</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that results in all of our stockholders having the right to exchange their shares of common stock for</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cash, securities or other property (except as described under the section of this prospectus entitled</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“Principal Stockholders—Restrictions on Transfers of Founder Shares and Private Placement</w:t>
            </w:r>
          </w:p>
        </w:tc>
      </w:tr>
      <w:tr>
        <w:trPr>
          <w:trHeight w:val="211"/>
        </w:trPr>
        <w:tc>
          <w:tcPr>
            <w:tcW w:w="304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Shares”).</w:t>
            </w:r>
          </w:p>
        </w:tc>
      </w:tr>
      <w:tr>
        <w:trPr>
          <w:trHeight w:val="316"/>
        </w:trPr>
        <w:tc>
          <w:tcPr>
            <w:tcW w:w="3040" w:type="dxa"/>
            <w:vAlign w:val="bottom"/>
            <w:tcBorders>
              <w:left w:val="single" w:sz="8" w:color="auto"/>
            </w:tcBorders>
          </w:tcPr>
          <w:p>
            <w:pPr>
              <w:spacing w:after="0"/>
              <w:rPr>
                <w:sz w:val="24"/>
                <w:szCs w:val="24"/>
                <w:color w:val="auto"/>
              </w:rPr>
            </w:pPr>
          </w:p>
        </w:tc>
        <w:tc>
          <w:tcPr>
            <w:tcW w:w="8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Any permitted transferees will be subject to the same restrictions and other agreements of our initial</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stockholders with respect to any founder shares. We refer to such transfer restrictions throughout</w:t>
            </w:r>
          </w:p>
        </w:tc>
      </w:tr>
      <w:tr>
        <w:trPr>
          <w:trHeight w:val="211"/>
        </w:trPr>
        <w:tc>
          <w:tcPr>
            <w:tcW w:w="304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this prospectus as the lock-up.</w:t>
            </w:r>
          </w:p>
        </w:tc>
      </w:tr>
      <w:tr>
        <w:trPr>
          <w:trHeight w:val="294"/>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Founder shares conversion and</w:t>
            </w:r>
          </w:p>
        </w:tc>
        <w:tc>
          <w:tcPr>
            <w:tcW w:w="8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shares of Class B common stock will automatically convert into shares of our Class A common</w:t>
            </w:r>
          </w:p>
        </w:tc>
      </w:tr>
      <w:tr>
        <w:trPr>
          <w:trHeight w:val="224"/>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anti-dilution rights</w:t>
            </w:r>
          </w:p>
        </w:tc>
        <w:tc>
          <w:tcPr>
            <w:tcW w:w="82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stock at the time of our initial business combination on a one-for-one basis, subject to adjustment for</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stock splits, stock dividends, reorganizations, recapitalizations and the like, and subject to further</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adjustment as provided herein. In the case that additional shares of Class A common stock, or</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equity-linked securities, are issued or deemed issued in excess of the amounts offered in this</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prospectus and related to the closing of the initial business combination, the ratio at which shares of</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Class B common stock shall convert into shares of Class A common stock will be adjusted (unless</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the holders of a majority of the outstanding shares of Class B common stock agree to waive such</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adjustment with respect to any such issuance or deemed issuance) so that the number of shares of</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Class A common stock issuable upon conversion of all shares of Class B common stock will equal,</w:t>
            </w:r>
          </w:p>
        </w:tc>
      </w:tr>
      <w:tr>
        <w:trPr>
          <w:trHeight w:val="203"/>
        </w:trPr>
        <w:tc>
          <w:tcPr>
            <w:tcW w:w="3040" w:type="dxa"/>
            <w:vAlign w:val="bottom"/>
            <w:tcBorders>
              <w:left w:val="single" w:sz="8" w:color="auto"/>
            </w:tcBorders>
          </w:tcPr>
          <w:p>
            <w:pPr>
              <w:spacing w:after="0"/>
              <w:rPr>
                <w:sz w:val="17"/>
                <w:szCs w:val="17"/>
                <w:color w:val="auto"/>
              </w:rPr>
            </w:pPr>
          </w:p>
        </w:tc>
        <w:tc>
          <w:tcPr>
            <w:tcW w:w="82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 the aggregate, on an as-converted basis, 20% of the sum of (i) the total number of all shares of</w:t>
            </w:r>
          </w:p>
        </w:tc>
      </w:tr>
      <w:tr>
        <w:trPr>
          <w:trHeight w:val="196"/>
        </w:trPr>
        <w:tc>
          <w:tcPr>
            <w:tcW w:w="3040" w:type="dxa"/>
            <w:vAlign w:val="bottom"/>
            <w:tcBorders>
              <w:left w:val="single" w:sz="8" w:color="auto"/>
              <w:bottom w:val="single" w:sz="8" w:color="auto"/>
            </w:tcBorders>
          </w:tcPr>
          <w:p>
            <w:pPr>
              <w:spacing w:after="0"/>
              <w:rPr>
                <w:sz w:val="17"/>
                <w:szCs w:val="17"/>
                <w:color w:val="auto"/>
              </w:rPr>
            </w:pPr>
          </w:p>
        </w:tc>
        <w:tc>
          <w:tcPr>
            <w:tcW w:w="8200" w:type="dxa"/>
            <w:vAlign w:val="bottom"/>
            <w:tcBorders>
              <w:bottom w:val="single" w:sz="8" w:color="auto"/>
              <w:right w:val="single" w:sz="8" w:color="auto"/>
            </w:tcBorders>
          </w:tcPr>
          <w:p>
            <w:pPr>
              <w:ind w:left="200"/>
              <w:spacing w:after="0" w:line="196" w:lineRule="exact"/>
              <w:rPr>
                <w:sz w:val="20"/>
                <w:szCs w:val="20"/>
                <w:color w:val="auto"/>
              </w:rPr>
            </w:pPr>
            <w:r>
              <w:rPr>
                <w:rFonts w:ascii="Arial" w:cs="Arial" w:eastAsia="Arial" w:hAnsi="Arial"/>
                <w:sz w:val="18"/>
                <w:szCs w:val="18"/>
                <w:color w:val="auto"/>
              </w:rPr>
              <w:t>common stock</w:t>
            </w:r>
          </w:p>
        </w:tc>
      </w:tr>
      <w:tr>
        <w:trPr>
          <w:trHeight w:val="359"/>
        </w:trPr>
        <w:tc>
          <w:tcPr>
            <w:tcW w:w="3040" w:type="dxa"/>
            <w:vAlign w:val="bottom"/>
          </w:tcPr>
          <w:p>
            <w:pPr>
              <w:spacing w:after="0"/>
              <w:rPr>
                <w:sz w:val="24"/>
                <w:szCs w:val="24"/>
                <w:color w:val="auto"/>
              </w:rPr>
            </w:pPr>
          </w:p>
        </w:tc>
        <w:tc>
          <w:tcPr>
            <w:tcW w:w="8200" w:type="dxa"/>
            <w:vAlign w:val="bottom"/>
          </w:tcPr>
          <w:p>
            <w:pPr>
              <w:ind w:left="24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244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492442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200"/>
        <w:spacing w:after="0" w:line="235" w:lineRule="auto"/>
        <w:rPr>
          <w:sz w:val="20"/>
          <w:szCs w:val="20"/>
          <w:color w:val="auto"/>
        </w:rPr>
      </w:pPr>
      <w:r>
        <w:rPr>
          <w:rFonts w:ascii="Arial" w:cs="Arial" w:eastAsia="Arial" w:hAnsi="Arial"/>
          <w:sz w:val="18"/>
          <w:szCs w:val="18"/>
          <w:color w:val="auto"/>
        </w:rPr>
        <w:t>outstanding upon the completion of this offering (excluding the private placement shares), plus (ii) all shares of Class A common stock and equity-linked securities issued or deemed issued in connection with the initial business combination (excluding any shares of Class A common stock or equity-linked securities issued, or to be issued, to any seller in the initial business combination). Holders of founder shares may also elect to convert their shares of Class B common stock into an equal number of shares of Class A common stock, subject to adjustment as provided above, at any time. The term “equity-linked securities” refers to any debt or equity securities that are convertible, exercisable or exchangeable for shares of Class A common stock issued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11" w:lineRule="exact"/>
        <w:rPr>
          <w:sz w:val="20"/>
          <w:szCs w:val="20"/>
          <w:color w:val="auto"/>
        </w:rPr>
      </w:pPr>
    </w:p>
    <w:p>
      <w:pPr>
        <w:ind w:left="200"/>
        <w:spacing w:after="0"/>
        <w:tabs>
          <w:tab w:leader="none" w:pos="3220" w:val="left"/>
        </w:tabs>
        <w:rPr>
          <w:sz w:val="20"/>
          <w:szCs w:val="20"/>
          <w:color w:val="auto"/>
        </w:rPr>
      </w:pPr>
      <w:r>
        <w:rPr>
          <w:rFonts w:ascii="Arial" w:cs="Arial" w:eastAsia="Arial" w:hAnsi="Arial"/>
          <w:sz w:val="18"/>
          <w:szCs w:val="18"/>
          <w:b w:val="1"/>
          <w:bCs w:val="1"/>
          <w:color w:val="auto"/>
        </w:rPr>
        <w:t>Election of directors; voting rights</w:t>
      </w:r>
      <w:r>
        <w:rPr>
          <w:sz w:val="20"/>
          <w:szCs w:val="20"/>
          <w:color w:val="auto"/>
        </w:rPr>
        <w:tab/>
      </w:r>
      <w:r>
        <w:rPr>
          <w:rFonts w:ascii="Arial" w:cs="Arial" w:eastAsia="Arial" w:hAnsi="Arial"/>
          <w:sz w:val="16"/>
          <w:szCs w:val="16"/>
          <w:color w:val="auto"/>
        </w:rPr>
        <w:t>Prior to our initial business combination, only holders of our founder shares will have the right to vote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8460" w:type="dxa"/>
            <w:vAlign w:val="bottom"/>
          </w:tcPr>
          <w:p>
            <w:pPr>
              <w:ind w:left="460"/>
              <w:spacing w:after="0"/>
              <w:rPr>
                <w:sz w:val="20"/>
                <w:szCs w:val="20"/>
                <w:color w:val="auto"/>
              </w:rPr>
            </w:pPr>
            <w:r>
              <w:rPr>
                <w:rFonts w:ascii="Arial" w:cs="Arial" w:eastAsia="Arial" w:hAnsi="Arial"/>
                <w:sz w:val="18"/>
                <w:szCs w:val="18"/>
                <w:color w:val="auto"/>
              </w:rPr>
              <w:t>on the election of directors. Holders of our public shares will not be entitled to vote on the election of</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directors during such time. In addition, prior to the completion of an initial business combination,</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holders of a majority of our founder shares may remove a member of the board of directors for any</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reason. These provisions of our amended and restated certificate of incorporation may only be</w:t>
            </w:r>
          </w:p>
        </w:tc>
      </w:tr>
      <w:tr>
        <w:trPr>
          <w:trHeight w:val="202"/>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w w:val="99"/>
              </w:rPr>
              <w:t>amended by a resolution passed by holders of a majority of our Class B common stock. With respect</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w w:val="99"/>
              </w:rPr>
              <w:t>to any other matter submitted to a vote of our stockholders, including any vote in connection with our</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initial business combination, except as required by law or the applicable rules of Nasdaq then in</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effect, holders of our Class B common stock and holders of our Class A common stock will vote</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together as a single class, with each share entitling the holder to one vote. Each of our directors will</w:t>
            </w:r>
          </w:p>
        </w:tc>
      </w:tr>
      <w:tr>
        <w:trPr>
          <w:trHeight w:val="211"/>
        </w:trPr>
        <w:tc>
          <w:tcPr>
            <w:tcW w:w="2780" w:type="dxa"/>
            <w:vAlign w:val="bottom"/>
          </w:tcPr>
          <w:p>
            <w:pPr>
              <w:spacing w:after="0"/>
              <w:rPr>
                <w:sz w:val="18"/>
                <w:szCs w:val="18"/>
                <w:color w:val="auto"/>
              </w:rPr>
            </w:pPr>
          </w:p>
        </w:tc>
        <w:tc>
          <w:tcPr>
            <w:tcW w:w="8460" w:type="dxa"/>
            <w:vAlign w:val="bottom"/>
          </w:tcPr>
          <w:p>
            <w:pPr>
              <w:ind w:left="460"/>
              <w:spacing w:after="0"/>
              <w:rPr>
                <w:sz w:val="20"/>
                <w:szCs w:val="20"/>
                <w:color w:val="auto"/>
              </w:rPr>
            </w:pPr>
            <w:r>
              <w:rPr>
                <w:rFonts w:ascii="Arial" w:cs="Arial" w:eastAsia="Arial" w:hAnsi="Arial"/>
                <w:sz w:val="18"/>
                <w:szCs w:val="18"/>
                <w:color w:val="auto"/>
              </w:rPr>
              <w:t>hold office for a two-year term.</w:t>
            </w:r>
          </w:p>
        </w:tc>
      </w:tr>
      <w:tr>
        <w:trPr>
          <w:trHeight w:val="316"/>
        </w:trPr>
        <w:tc>
          <w:tcPr>
            <w:tcW w:w="2780" w:type="dxa"/>
            <w:vAlign w:val="bottom"/>
          </w:tcPr>
          <w:p>
            <w:pPr>
              <w:ind w:left="200"/>
              <w:spacing w:after="0"/>
              <w:rPr>
                <w:sz w:val="20"/>
                <w:szCs w:val="20"/>
                <w:color w:val="auto"/>
              </w:rPr>
            </w:pPr>
            <w:r>
              <w:rPr>
                <w:rFonts w:ascii="Arial" w:cs="Arial" w:eastAsia="Arial" w:hAnsi="Arial"/>
                <w:sz w:val="18"/>
                <w:szCs w:val="18"/>
                <w:b w:val="1"/>
                <w:bCs w:val="1"/>
                <w:color w:val="auto"/>
              </w:rPr>
              <w:t>Private placement shares</w:t>
            </w:r>
          </w:p>
        </w:tc>
        <w:tc>
          <w:tcPr>
            <w:tcW w:w="8460" w:type="dxa"/>
            <w:vAlign w:val="bottom"/>
          </w:tcPr>
          <w:p>
            <w:pPr>
              <w:ind w:left="460"/>
              <w:spacing w:after="0"/>
              <w:rPr>
                <w:sz w:val="20"/>
                <w:szCs w:val="20"/>
                <w:color w:val="auto"/>
              </w:rPr>
            </w:pPr>
            <w:r>
              <w:rPr>
                <w:rFonts w:ascii="Arial" w:cs="Arial" w:eastAsia="Arial" w:hAnsi="Arial"/>
                <w:sz w:val="18"/>
                <w:szCs w:val="18"/>
                <w:color w:val="auto"/>
              </w:rPr>
              <w:t>Our sponsor has committed, pursuant to a written agreement, to purchase an aggregate of 655,500</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private placement shares (or 715,500 shares if the underwriter’s over-allotment option is exercised</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in full) at a price of $10.00 per share ($6,555,000 in the aggregate or $7,155,000 if the underwriter’s</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over-allotment option is exercised in full) in a private placement that will occur concurrently with the</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closing of this offering. A portion of the purchase price of the private placement shares will be added</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to the proceeds from this offering to be held in the trust account such that at the time of closing</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$200,000,000 (or $230,000,000 if the underwriter’s over-allotment option is exercised in full) will be</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held in the trust account. If we do not complete our initial business combination within 24 months</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from the closing of this offering or during any Extension Period, the proceeds from the sale of the</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private placement shares held in the trust account will be used to fund the redemption of our public</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shares (subject to the requirements of applicable law). Our sponsor has entered into an agreement</w:t>
            </w:r>
          </w:p>
        </w:tc>
      </w:tr>
      <w:tr>
        <w:trPr>
          <w:trHeight w:val="203"/>
        </w:trPr>
        <w:tc>
          <w:tcPr>
            <w:tcW w:w="2780" w:type="dxa"/>
            <w:vAlign w:val="bottom"/>
          </w:tcPr>
          <w:p>
            <w:pPr>
              <w:spacing w:after="0"/>
              <w:rPr>
                <w:sz w:val="17"/>
                <w:szCs w:val="17"/>
                <w:color w:val="auto"/>
              </w:rPr>
            </w:pPr>
          </w:p>
        </w:tc>
        <w:tc>
          <w:tcPr>
            <w:tcW w:w="8460" w:type="dxa"/>
            <w:vAlign w:val="bottom"/>
          </w:tcPr>
          <w:p>
            <w:pPr>
              <w:ind w:left="460"/>
              <w:spacing w:after="0" w:line="202" w:lineRule="exact"/>
              <w:rPr>
                <w:sz w:val="20"/>
                <w:szCs w:val="20"/>
                <w:color w:val="auto"/>
              </w:rPr>
            </w:pPr>
            <w:r>
              <w:rPr>
                <w:rFonts w:ascii="Arial" w:cs="Arial" w:eastAsia="Arial" w:hAnsi="Arial"/>
                <w:sz w:val="18"/>
                <w:szCs w:val="18"/>
                <w:color w:val="auto"/>
              </w:rPr>
              <w:t>with us, pursuant to which it has agreed to waive its redemption rights with respect to the private</w:t>
            </w:r>
          </w:p>
        </w:tc>
      </w:tr>
      <w:tr>
        <w:trPr>
          <w:trHeight w:val="196"/>
        </w:trPr>
        <w:tc>
          <w:tcPr>
            <w:tcW w:w="2780" w:type="dxa"/>
            <w:vAlign w:val="bottom"/>
            <w:tcBorders>
              <w:bottom w:val="single" w:sz="8" w:color="auto"/>
            </w:tcBorders>
          </w:tcPr>
          <w:p>
            <w:pPr>
              <w:spacing w:after="0"/>
              <w:rPr>
                <w:sz w:val="17"/>
                <w:szCs w:val="17"/>
                <w:color w:val="auto"/>
              </w:rPr>
            </w:pPr>
          </w:p>
        </w:tc>
        <w:tc>
          <w:tcPr>
            <w:tcW w:w="846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placement shares.</w:t>
            </w:r>
          </w:p>
        </w:tc>
      </w:tr>
      <w:tr>
        <w:trPr>
          <w:trHeight w:val="359"/>
        </w:trPr>
        <w:tc>
          <w:tcPr>
            <w:tcW w:w="2780" w:type="dxa"/>
            <w:vAlign w:val="bottom"/>
          </w:tcPr>
          <w:p>
            <w:pPr>
              <w:spacing w:after="0"/>
              <w:rPr>
                <w:sz w:val="24"/>
                <w:szCs w:val="24"/>
                <w:color w:val="auto"/>
              </w:rPr>
            </w:pPr>
          </w:p>
        </w:tc>
        <w:tc>
          <w:tcPr>
            <w:tcW w:w="8460" w:type="dxa"/>
            <w:vAlign w:val="bottom"/>
          </w:tcPr>
          <w:p>
            <w:pPr>
              <w:ind w:left="27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607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4607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tabs>
          <w:tab w:leader="none" w:pos="3220" w:val="left"/>
        </w:tabs>
        <w:rPr>
          <w:sz w:val="20"/>
          <w:szCs w:val="20"/>
          <w:color w:val="auto"/>
        </w:rPr>
      </w:pPr>
      <w:r>
        <w:rPr>
          <w:rFonts w:ascii="Arial" w:cs="Arial" w:eastAsia="Arial" w:hAnsi="Arial"/>
          <w:sz w:val="18"/>
          <w:szCs w:val="18"/>
          <w:b w:val="1"/>
          <w:bCs w:val="1"/>
          <w:color w:val="auto"/>
        </w:rPr>
        <w:t>Transfer restrictions on private</w:t>
      </w:r>
      <w:r>
        <w:rPr>
          <w:sz w:val="20"/>
          <w:szCs w:val="20"/>
          <w:color w:val="auto"/>
        </w:rPr>
        <w:tab/>
      </w:r>
      <w:r>
        <w:rPr>
          <w:rFonts w:ascii="Arial" w:cs="Arial" w:eastAsia="Arial" w:hAnsi="Arial"/>
          <w:sz w:val="16"/>
          <w:szCs w:val="16"/>
          <w:color w:val="auto"/>
        </w:rPr>
        <w:t>The private placement shares will not be transferable, assignable or salable until 30 days after the</w:t>
      </w:r>
    </w:p>
    <w:p>
      <w:pPr>
        <w:spacing w:after="0" w:line="18" w:lineRule="exact"/>
        <w:rPr>
          <w:sz w:val="20"/>
          <w:szCs w:val="20"/>
          <w:color w:val="auto"/>
        </w:rPr>
      </w:pPr>
    </w:p>
    <w:p>
      <w:pPr>
        <w:ind w:left="3240" w:right="520" w:hanging="3037"/>
        <w:spacing w:after="0" w:line="238" w:lineRule="auto"/>
        <w:tabs>
          <w:tab w:leader="none" w:pos="3220" w:val="left"/>
        </w:tabs>
        <w:rPr>
          <w:sz w:val="20"/>
          <w:szCs w:val="20"/>
          <w:color w:val="auto"/>
        </w:rPr>
      </w:pPr>
      <w:r>
        <w:rPr>
          <w:rFonts w:ascii="Arial" w:cs="Arial" w:eastAsia="Arial" w:hAnsi="Arial"/>
          <w:sz w:val="18"/>
          <w:szCs w:val="18"/>
          <w:b w:val="1"/>
          <w:bCs w:val="1"/>
          <w:color w:val="auto"/>
        </w:rPr>
        <w:t>placement shares</w:t>
      </w:r>
      <w:r>
        <w:rPr>
          <w:sz w:val="20"/>
          <w:szCs w:val="20"/>
          <w:color w:val="auto"/>
        </w:rPr>
        <w:tab/>
      </w:r>
      <w:r>
        <w:rPr>
          <w:rFonts w:ascii="Arial" w:cs="Arial" w:eastAsia="Arial" w:hAnsi="Arial"/>
          <w:sz w:val="18"/>
          <w:szCs w:val="18"/>
          <w:color w:val="auto"/>
        </w:rPr>
        <w:t>completion of our initial business combination (except as described under the section of this prospectus entitled “Principal Stockholders—Restrictions on Transfers of Founder Shares and Private Placement Shares”).</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Proceeds to be held in trust account</w:t>
      </w:r>
      <w:r>
        <w:rPr>
          <w:rFonts w:ascii="Arial" w:cs="Arial" w:eastAsia="Arial" w:hAnsi="Arial"/>
          <w:sz w:val="16"/>
          <w:szCs w:val="16"/>
          <w:color w:val="auto"/>
        </w:rPr>
        <w:t>Nasdaq rules provide that at least 90% of the gross proceeds from this offering and the sale of the</w:t>
      </w:r>
    </w:p>
    <w:p>
      <w:pPr>
        <w:spacing w:after="0" w:line="4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private placement shares be deposited in a trust account. Of the net proceeds from this offering and</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the sale of the private placement shares, $200,000,000 or $10.00 per share ($230,000,000, or</w:t>
      </w:r>
    </w:p>
    <w:p>
      <w:pPr>
        <w:ind w:left="3240"/>
        <w:spacing w:after="0"/>
        <w:rPr>
          <w:sz w:val="20"/>
          <w:szCs w:val="20"/>
          <w:color w:val="auto"/>
        </w:rPr>
      </w:pPr>
      <w:r>
        <w:rPr>
          <w:rFonts w:ascii="Arial" w:cs="Arial" w:eastAsia="Arial" w:hAnsi="Arial"/>
          <w:sz w:val="16"/>
          <w:szCs w:val="16"/>
          <w:color w:val="auto"/>
        </w:rPr>
        <w:t>$10.00 per share, if the underwriter’s over-allotment option is exercised in full), will be placed into a</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trust account in the United States with Continental Stock Transfer &amp; Trust Company acting as</w:t>
      </w:r>
    </w:p>
    <w:p>
      <w:pPr>
        <w:ind w:left="3240"/>
        <w:spacing w:after="0"/>
        <w:rPr>
          <w:sz w:val="20"/>
          <w:szCs w:val="20"/>
          <w:color w:val="auto"/>
        </w:rPr>
      </w:pPr>
      <w:r>
        <w:rPr>
          <w:rFonts w:ascii="Arial" w:cs="Arial" w:eastAsia="Arial" w:hAnsi="Arial"/>
          <w:sz w:val="16"/>
          <w:szCs w:val="16"/>
          <w:color w:val="auto"/>
        </w:rPr>
        <w:t>trustee. These proceeds include $7,000,000 (or $8,050,000 if the underwriter’s over-allotment option</w:t>
      </w:r>
    </w:p>
    <w:p>
      <w:pPr>
        <w:spacing w:after="0" w:line="1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is exercised in full) in deferred underwriting commissions.</w:t>
      </w:r>
    </w:p>
    <w:p>
      <w:pPr>
        <w:spacing w:after="0" w:line="117" w:lineRule="exact"/>
        <w:rPr>
          <w:sz w:val="20"/>
          <w:szCs w:val="20"/>
          <w:color w:val="auto"/>
        </w:rPr>
      </w:pPr>
    </w:p>
    <w:p>
      <w:pPr>
        <w:ind w:left="3240"/>
        <w:spacing w:after="0" w:line="266"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franchise and income tax obligations (less up to $100,000 interest to pay dissolution expenses), the proceeds from this offering and the sale of the private placement shares will not be released from the trust account until the earliest of (a) the completion of our initial business combination, (b) the redemption of any public shares properly submitted in connection with a stockholder vote to amend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pre-business combination activity, and (c) the redemption of our public shares if we do not complete our initial business combination within 24 months from the closing of this offering or during any Extension Period, subject to applicable law. Public stockholders who redeem their shares of Class A common stock in connection with a stockholder vote described in clause (b) in the preceding sentence shall not be entitled to funds from the trust account upon the subsequent completion of an initial business combination or liquidation if we are unable to complete an initial business combination within 24 months from the closing of this offering or during any Extension Period with respect to such shares of Class A common stock so redeemed. The proceeds deposited in the trust account could become subject to the claims of our creditors, if any, which could have priority over the claims of our public stockholders.</w:t>
      </w:r>
    </w:p>
    <w:p>
      <w:pPr>
        <w:spacing w:after="0" w:line="200" w:lineRule="exact"/>
        <w:rPr>
          <w:sz w:val="20"/>
          <w:szCs w:val="20"/>
          <w:color w:val="auto"/>
        </w:rPr>
      </w:pPr>
    </w:p>
    <w:p>
      <w:pPr>
        <w:spacing w:after="0" w:line="280" w:lineRule="exact"/>
        <w:rPr>
          <w:sz w:val="20"/>
          <w:szCs w:val="20"/>
          <w:color w:val="auto"/>
        </w:rPr>
      </w:pPr>
    </w:p>
    <w:p>
      <w:pPr>
        <w:ind w:left="200"/>
        <w:spacing w:after="0"/>
        <w:tabs>
          <w:tab w:leader="none" w:pos="3220" w:val="left"/>
        </w:tabs>
        <w:rPr>
          <w:sz w:val="20"/>
          <w:szCs w:val="20"/>
          <w:color w:val="auto"/>
        </w:rPr>
      </w:pPr>
      <w:r>
        <w:rPr>
          <w:rFonts w:ascii="Arial" w:cs="Arial" w:eastAsia="Arial" w:hAnsi="Arial"/>
          <w:sz w:val="18"/>
          <w:szCs w:val="18"/>
          <w:b w:val="1"/>
          <w:bCs w:val="1"/>
          <w:color w:val="auto"/>
        </w:rPr>
        <w:t>Anticipated expenses and funding</w:t>
      </w:r>
      <w:r>
        <w:rPr>
          <w:sz w:val="20"/>
          <w:szCs w:val="20"/>
          <w:color w:val="auto"/>
        </w:rPr>
        <w:tab/>
      </w:r>
      <w:r>
        <w:rPr>
          <w:rFonts w:ascii="Arial" w:cs="Arial" w:eastAsia="Arial" w:hAnsi="Arial"/>
          <w:sz w:val="16"/>
          <w:szCs w:val="16"/>
          <w:color w:val="auto"/>
        </w:rPr>
        <w:t>Except as described above with respect to the payment of franchise and income taxes, unless and</w:t>
      </w:r>
    </w:p>
    <w:p>
      <w:pPr>
        <w:spacing w:after="0" w:line="18" w:lineRule="exact"/>
        <w:rPr>
          <w:sz w:val="20"/>
          <w:szCs w:val="20"/>
          <w:color w:val="auto"/>
        </w:rPr>
      </w:pPr>
    </w:p>
    <w:p>
      <w:pPr>
        <w:ind w:left="3240" w:right="460" w:hanging="3039"/>
        <w:spacing w:after="0" w:line="239" w:lineRule="auto"/>
        <w:tabs>
          <w:tab w:leader="none" w:pos="3220" w:val="left"/>
        </w:tabs>
        <w:rPr>
          <w:sz w:val="20"/>
          <w:szCs w:val="20"/>
          <w:color w:val="auto"/>
        </w:rPr>
      </w:pPr>
      <w:r>
        <w:rPr>
          <w:rFonts w:ascii="Arial" w:cs="Arial" w:eastAsia="Arial" w:hAnsi="Arial"/>
          <w:sz w:val="18"/>
          <w:szCs w:val="18"/>
          <w:b w:val="1"/>
          <w:bCs w:val="1"/>
          <w:color w:val="auto"/>
        </w:rPr>
        <w:t>sources</w:t>
      </w:r>
      <w:r>
        <w:rPr>
          <w:sz w:val="20"/>
          <w:szCs w:val="20"/>
          <w:color w:val="auto"/>
        </w:rPr>
        <w:tab/>
      </w:r>
      <w:r>
        <w:rPr>
          <w:rFonts w:ascii="Arial" w:cs="Arial" w:eastAsia="Arial" w:hAnsi="Arial"/>
          <w:sz w:val="18"/>
          <w:szCs w:val="18"/>
          <w:color w:val="auto"/>
        </w:rPr>
        <w:t>until we complete our initial business combination, no proceeds held in the trust account will be available for our use, except to redeem</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320" w:top="459" w:right="5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4899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489902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9" w:right="80"/>
        <w:spacing w:after="0" w:line="235" w:lineRule="auto"/>
        <w:rPr>
          <w:sz w:val="20"/>
          <w:szCs w:val="20"/>
          <w:color w:val="auto"/>
        </w:rPr>
      </w:pPr>
      <w:r>
        <w:rPr>
          <w:rFonts w:ascii="Arial" w:cs="Arial" w:eastAsia="Arial" w:hAnsi="Arial"/>
          <w:sz w:val="18"/>
          <w:szCs w:val="18"/>
          <w:color w:val="auto"/>
        </w:rPr>
        <w:t>our public shares in connection with an amendment to our amended and restated certificate of incorporation, as described above. The proceeds held in the trust account, if invested,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$60,000 (or approximately $69,000 if the underwriter’s over-allotment option is exercised in full) of interest annually assuming an interest rate of 0.03% per year; however, we can provide no assurances regarding this amount. Unless and until we complete our initial business combination, we may pay our expenses only from:</w:t>
      </w:r>
    </w:p>
    <w:p>
      <w:pPr>
        <w:spacing w:after="0" w:line="133" w:lineRule="exact"/>
        <w:rPr>
          <w:sz w:val="20"/>
          <w:szCs w:val="20"/>
          <w:color w:val="auto"/>
        </w:rPr>
      </w:pPr>
    </w:p>
    <w:p>
      <w:pPr>
        <w:ind w:left="209" w:right="80" w:hanging="209"/>
        <w:spacing w:after="0" w:line="238"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shares not held in the trust account, which will be approximately $1,100,000 in working capital after the payment of approximately $1,455,000 in expenses relating to this offering;</w:t>
      </w:r>
    </w:p>
    <w:p>
      <w:pPr>
        <w:spacing w:after="0" w:line="113" w:lineRule="exact"/>
        <w:rPr>
          <w:rFonts w:ascii="Arial" w:cs="Arial" w:eastAsia="Arial" w:hAnsi="Arial"/>
          <w:sz w:val="18"/>
          <w:szCs w:val="18"/>
          <w:color w:val="auto"/>
        </w:rPr>
      </w:pPr>
    </w:p>
    <w:p>
      <w:pPr>
        <w:ind w:left="209" w:hanging="209"/>
        <w:spacing w:after="0"/>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our taxes, any interest earned from the trust account; and</w:t>
      </w:r>
    </w:p>
    <w:p>
      <w:pPr>
        <w:spacing w:after="0" w:line="117" w:lineRule="exact"/>
        <w:rPr>
          <w:rFonts w:ascii="Arial" w:cs="Arial" w:eastAsia="Arial" w:hAnsi="Arial"/>
          <w:sz w:val="18"/>
          <w:szCs w:val="18"/>
          <w:color w:val="auto"/>
        </w:rPr>
      </w:pPr>
    </w:p>
    <w:p>
      <w:pPr>
        <w:ind w:left="209" w:hanging="209"/>
        <w:spacing w:after="0" w:line="269" w:lineRule="auto"/>
        <w:tabs>
          <w:tab w:leader="none" w:pos="20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an initial business combination. Up to $2,000,000 of such loans may be convertible into shares of the post-business combination entity at a price of $10.00 per share at the option of the lender. The shares would be identical to the private placement shares. Except for the foregoing, the terms of such loans, if any, have not been determined and no written agreements exist with respect to such loans.</w:t>
      </w:r>
    </w:p>
    <w:p>
      <w:pPr>
        <w:spacing w:after="0" w:line="92" w:lineRule="exact"/>
        <w:rPr>
          <w:sz w:val="20"/>
          <w:szCs w:val="20"/>
          <w:color w:val="auto"/>
        </w:rPr>
      </w:pPr>
    </w:p>
    <w:p>
      <w:pPr>
        <w:ind w:left="9" w:right="40"/>
        <w:spacing w:after="0" w:line="236" w:lineRule="auto"/>
        <w:rPr>
          <w:sz w:val="20"/>
          <w:szCs w:val="20"/>
          <w:color w:val="auto"/>
        </w:rPr>
      </w:pPr>
      <w:r>
        <w:rPr>
          <w:rFonts w:ascii="Arial" w:cs="Arial" w:eastAsia="Arial" w:hAnsi="Arial"/>
          <w:sz w:val="18"/>
          <w:szCs w:val="18"/>
          <w:color w:val="auto"/>
        </w:rPr>
        <w:t>There is no limitation on our ability to raise funds privately or through loans in connection with our initial business combination. Nasdaq listing rules require that our initial business combination must be with one or more target businesses that together have an aggregate fair market value equal to at least 80% of the value of the trust account (excluding any deferred underwriting fees and taxes payable on the income earned on the trust account) at the time of our signing a definitive agreement in connection with our initial business combination.</w:t>
      </w:r>
    </w:p>
    <w:p>
      <w:pPr>
        <w:spacing w:after="0" w:line="115" w:lineRule="exact"/>
        <w:rPr>
          <w:sz w:val="20"/>
          <w:szCs w:val="20"/>
          <w:color w:val="auto"/>
        </w:rPr>
      </w:pPr>
    </w:p>
    <w:p>
      <w:pPr>
        <w:ind w:left="9" w:right="20"/>
        <w:spacing w:after="0" w:line="237" w:lineRule="auto"/>
        <w:rPr>
          <w:sz w:val="20"/>
          <w:szCs w:val="20"/>
          <w:color w:val="auto"/>
        </w:rPr>
      </w:pPr>
      <w:r>
        <w:rPr>
          <w:rFonts w:ascii="Arial" w:cs="Arial" w:eastAsia="Arial" w:hAnsi="Arial"/>
          <w:sz w:val="18"/>
          <w:szCs w:val="18"/>
          <w:color w:val="auto"/>
        </w:rPr>
        <w:t>If our board of directors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 We will complete our initial business combination only if the post-</w:t>
      </w:r>
    </w:p>
    <w:p>
      <w:pPr>
        <w:spacing w:after="0" w:line="154" w:lineRule="exact"/>
        <w:rPr>
          <w:sz w:val="20"/>
          <w:szCs w:val="20"/>
          <w:color w:val="auto"/>
        </w:rPr>
      </w:pPr>
    </w:p>
    <w:p>
      <w:pPr>
        <w:sectPr>
          <w:pgSz w:w="11900" w:h="16838" w:orient="portrait"/>
          <w:cols w:equalWidth="0" w:num="2">
            <w:col w:w="3140" w:space="91"/>
            <w:col w:w="7789"/>
          </w:cols>
          <w:pgMar w:left="320" w:top="459" w:right="5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20"/>
          </w:cols>
          <w:pgMar w:left="320" w:top="459" w:right="5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718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47186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40"/>
        <w:spacing w:after="0" w:line="267" w:lineRule="auto"/>
        <w:rPr>
          <w:sz w:val="20"/>
          <w:szCs w:val="20"/>
          <w:color w:val="auto"/>
        </w:rPr>
      </w:pPr>
      <w:r>
        <w:rPr>
          <w:rFonts w:ascii="Arial" w:cs="Arial" w:eastAsia="Arial" w:hAnsi="Arial"/>
          <w:sz w:val="16"/>
          <w:szCs w:val="16"/>
          <w:color w:val="auto"/>
        </w:rPr>
        <w: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provided that in the event that our initial business combination involves more than one target business, the 80% of net assets test will be based on the aggregate value of all of the target businesses.</w:t>
      </w:r>
    </w:p>
    <w:p>
      <w:pPr>
        <w:spacing w:after="0" w:line="291" w:lineRule="exact"/>
        <w:rPr>
          <w:sz w:val="20"/>
          <w:szCs w:val="20"/>
          <w:color w:val="auto"/>
        </w:rPr>
      </w:pPr>
    </w:p>
    <w:p>
      <w:pPr>
        <w:ind w:left="200"/>
        <w:spacing w:after="0"/>
        <w:tabs>
          <w:tab w:leader="none" w:pos="3220" w:val="left"/>
        </w:tabs>
        <w:rPr>
          <w:sz w:val="20"/>
          <w:szCs w:val="20"/>
          <w:color w:val="auto"/>
        </w:rPr>
      </w:pPr>
      <w:r>
        <w:rPr>
          <w:rFonts w:ascii="Arial" w:cs="Arial" w:eastAsia="Arial" w:hAnsi="Arial"/>
          <w:sz w:val="18"/>
          <w:szCs w:val="18"/>
          <w:b w:val="1"/>
          <w:bCs w:val="1"/>
          <w:color w:val="auto"/>
        </w:rPr>
        <w:t>Permitted purchases of public</w:t>
      </w:r>
      <w:r>
        <w:rPr>
          <w:sz w:val="20"/>
          <w:szCs w:val="20"/>
          <w:color w:val="auto"/>
        </w:rPr>
        <w:tab/>
      </w:r>
      <w:r>
        <w:rPr>
          <w:rFonts w:ascii="Arial" w:cs="Arial" w:eastAsia="Arial" w:hAnsi="Arial"/>
          <w:sz w:val="16"/>
          <w:szCs w:val="16"/>
          <w:color w:val="auto"/>
        </w:rPr>
        <w:t>If we seek stockholder approval of our initial business combination and we do not conduct</w:t>
      </w:r>
    </w:p>
    <w:p>
      <w:pPr>
        <w:spacing w:after="0" w:line="18" w:lineRule="exact"/>
        <w:rPr>
          <w:sz w:val="20"/>
          <w:szCs w:val="20"/>
          <w:color w:val="auto"/>
        </w:rPr>
      </w:pPr>
    </w:p>
    <w:p>
      <w:pPr>
        <w:ind w:left="3240" w:hanging="3037"/>
        <w:spacing w:after="0" w:line="235" w:lineRule="auto"/>
        <w:tabs>
          <w:tab w:leader="none" w:pos="3220" w:val="left"/>
        </w:tabs>
        <w:rPr>
          <w:sz w:val="20"/>
          <w:szCs w:val="20"/>
          <w:color w:val="auto"/>
        </w:rPr>
      </w:pPr>
      <w:r>
        <w:rPr>
          <w:rFonts w:ascii="Arial" w:cs="Arial" w:eastAsia="Arial" w:hAnsi="Arial"/>
          <w:sz w:val="18"/>
          <w:szCs w:val="18"/>
          <w:b w:val="1"/>
          <w:bCs w:val="1"/>
          <w:color w:val="auto"/>
        </w:rPr>
        <w:t>shares by our affiliates</w:t>
      </w:r>
      <w:r>
        <w:rPr>
          <w:sz w:val="20"/>
          <w:szCs w:val="20"/>
          <w:color w:val="auto"/>
        </w:rPr>
        <w:tab/>
      </w:r>
      <w:r>
        <w:rPr>
          <w:rFonts w:ascii="Arial" w:cs="Arial" w:eastAsia="Arial" w:hAnsi="Arial"/>
          <w:sz w:val="18"/>
          <w:szCs w:val="18"/>
          <w:color w:val="auto"/>
        </w:rPr>
        <w:t>redemptions in connection with our initial business combination pursuant to the tender offer rules, our initial stockholders, directors, officers or their respective affiliates may purchase public shares in privately negotiated transactions or in the open market either prior to or following the completion of our initial business combination. There is no limit on the number of shares our initial stockholders,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Our initial stockholders, directors, officers or their affiliates will not make purchases if the purchases would violate Section 9(a)(2) or Rule 10b-5 of the Exchange Act. Any such purchases will be reported pursuant to Section 13 and Section 16 of the Exchange Act to the extent such purchasers are subject to such reporting requirements. None of the funds held in the trust account will be used to purchase public shares in such transactions prior to completion of our initial business combination. See “Proposed Business— Permitted Purchases of Our Securities” for a description of how our sponsor, initial stockholders, directors, officers or any of their affiliates will select which stockholders to purchase securities from in any private transaction.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4530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453009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rights for public</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upon</w:t>
      </w:r>
    </w:p>
    <w:p>
      <w:pPr>
        <w:ind w:left="200"/>
        <w:spacing w:after="0"/>
        <w:rPr>
          <w:sz w:val="20"/>
          <w:szCs w:val="20"/>
          <w:color w:val="auto"/>
        </w:rPr>
      </w:pPr>
      <w:r>
        <w:rPr>
          <w:rFonts w:ascii="Arial" w:cs="Arial" w:eastAsia="Arial" w:hAnsi="Arial"/>
          <w:sz w:val="16"/>
          <w:szCs w:val="16"/>
          <w:b w:val="1"/>
          <w:bCs w:val="1"/>
          <w:color w:val="auto"/>
        </w:rPr>
        <w:t>completion of our initial business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purpose of any such purchases of public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shares of Class A common stock may be reduced and the number of beneficial holders of our securities may be reduced, which may make it difficult to maintain or obtain the quotation, listing or trading of our securities on a national securities exchange.</w:t>
      </w:r>
    </w:p>
    <w:p>
      <w:pPr>
        <w:spacing w:after="0" w:line="12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franchise and income taxes, divided by the number of then outstanding public shares, subject to the limitations described herein.</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amount in the trust account is initially anticipated to be $10.00 per public share. The per-share amount we will distribute to investors who properly redeem their shares will not be reduced by the deferred underwriting commissions we will pay to the underwriter. The redemption rights may include the requirement that a beneficial holder must identify itself in order to validly redeem its public shares. Our sponsor and each of our officers and directors have entered into a letter agreement with us, pursuant to which they have agreed to waive their redemption rights with respect to any founder shares held by them and any public shares they may acquire during or after this offering in connection with the completion of our initial business combination or otherwise. 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initial vote on the proposal to approve the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stockholders to satisfy such</w:t>
      </w:r>
    </w:p>
    <w:p>
      <w:pPr>
        <w:spacing w:after="0" w:line="200" w:lineRule="exact"/>
        <w:rPr>
          <w:sz w:val="20"/>
          <w:szCs w:val="20"/>
          <w:color w:val="auto"/>
        </w:rPr>
      </w:pPr>
    </w:p>
    <w:p>
      <w:pPr>
        <w:sectPr>
          <w:pgSz w:w="11900" w:h="16838" w:orient="portrait"/>
          <w:cols w:equalWidth="0" w:num="2">
            <w:col w:w="3000" w:space="240"/>
            <w:col w:w="7800"/>
          </w:cols>
          <w:pgMar w:left="320" w:top="459" w:right="539" w:bottom="1440" w:gutter="0" w:footer="0" w:header="0"/>
          <w:type w:val="continuous"/>
        </w:sectPr>
      </w:pP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40"/>
          </w:cols>
          <w:pgMar w:left="320" w:top="459" w:right="5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53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50533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60"/>
        <w:spacing w:after="0" w:line="239" w:lineRule="auto"/>
        <w:rPr>
          <w:sz w:val="20"/>
          <w:szCs w:val="20"/>
          <w:color w:val="auto"/>
        </w:rPr>
      </w:pPr>
      <w:r>
        <w:rPr>
          <w:rFonts w:ascii="Arial" w:cs="Arial" w:eastAsia="Arial" w:hAnsi="Arial"/>
          <w:sz w:val="18"/>
          <w:szCs w:val="18"/>
          <w:color w:val="auto"/>
        </w:rPr>
        <w:t>delivery requirements, which may include the requirement that a beneficial holder must identify itself in order to validly redeem its public shares.</w:t>
      </w:r>
    </w:p>
    <w:p>
      <w:pPr>
        <w:spacing w:after="0" w:line="106" w:lineRule="exact"/>
        <w:rPr>
          <w:sz w:val="20"/>
          <w:szCs w:val="20"/>
          <w:color w:val="auto"/>
        </w:rPr>
      </w:pPr>
    </w:p>
    <w:p>
      <w:pPr>
        <w:ind w:left="3240" w:right="120" w:hanging="3037"/>
        <w:spacing w:after="0" w:line="244" w:lineRule="auto"/>
        <w:rPr>
          <w:sz w:val="20"/>
          <w:szCs w:val="20"/>
          <w:color w:val="auto"/>
        </w:rPr>
      </w:pPr>
      <w:r>
        <w:rPr>
          <w:rFonts w:ascii="Arial" w:cs="Arial" w:eastAsia="Arial" w:hAnsi="Arial"/>
          <w:sz w:val="18"/>
          <w:szCs w:val="18"/>
          <w:b w:val="1"/>
          <w:bCs w:val="1"/>
          <w:color w:val="auto"/>
        </w:rPr>
        <w:t xml:space="preserve">Manner of conducting redemptions </w:t>
      </w:r>
      <w:r>
        <w:rPr>
          <w:rFonts w:ascii="Arial" w:cs="Arial" w:eastAsia="Arial" w:hAnsi="Arial"/>
          <w:sz w:val="18"/>
          <w:szCs w:val="18"/>
          <w:color w:val="auto"/>
        </w:rPr>
        <w:t>We will provide our public stockholders with the opportunity to redeem all or a portion of their public</w:t>
      </w:r>
      <w:r>
        <w:rPr>
          <w:rFonts w:ascii="Arial" w:cs="Arial" w:eastAsia="Arial" w:hAnsi="Arial"/>
          <w:sz w:val="18"/>
          <w:szCs w:val="18"/>
          <w:b w:val="1"/>
          <w:bCs w:val="1"/>
          <w:color w:val="auto"/>
        </w:rPr>
        <w:t xml:space="preserve"> </w:t>
      </w:r>
      <w:r>
        <w:rPr>
          <w:rFonts w:ascii="Arial" w:cs="Arial" w:eastAsia="Arial" w:hAnsi="Arial"/>
          <w:sz w:val="18"/>
          <w:szCs w:val="18"/>
          <w:color w:val="auto"/>
        </w:rPr>
        <w:t>shares upon the completion of our initial business combination either (i) in connection with a stockholder meeting called to approve the initial business combination or (ii) by means of a tender offer.</w:t>
      </w:r>
    </w:p>
    <w:p>
      <w:pPr>
        <w:spacing w:after="0" w:line="112" w:lineRule="exact"/>
        <w:rPr>
          <w:sz w:val="20"/>
          <w:szCs w:val="20"/>
          <w:color w:val="auto"/>
        </w:rPr>
      </w:pPr>
    </w:p>
    <w:p>
      <w:pPr>
        <w:ind w:left="3240"/>
        <w:spacing w:after="0" w:line="235" w:lineRule="auto"/>
        <w:rPr>
          <w:sz w:val="20"/>
          <w:szCs w:val="20"/>
          <w:color w:val="auto"/>
        </w:rPr>
      </w:pPr>
      <w:r>
        <w:rPr>
          <w:rFonts w:ascii="Arial" w:cs="Arial" w:eastAsia="Arial" w:hAnsi="Arial"/>
          <w:sz w:val="18"/>
          <w:szCs w:val="18"/>
          <w:color w:val="auto"/>
        </w:rPr>
        <w:t>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requirements. Under Nasdaq rules, asset acquisitions and stock purchases would not typically require stockholder approval while direct mergers with our company where we do not survive and any transactions where we issue more than 20% of our issued and outstanding common stock or seek to amend our amended and restated certificate of incorporation would require stockholder approval. We may conduct redemptions without a stockholder vote pursuant to the tender offer rules of the SEC unless stockholder approval is required by law or stock exchange listing requirements or we choose to seek stockholder approval for business or other reasons. So long as maintain a listing for our securities on Nasdaq, we will be required to comply with such rules.</w:t>
      </w:r>
    </w:p>
    <w:p>
      <w:pPr>
        <w:spacing w:after="0" w:line="119" w:lineRule="exact"/>
        <w:rPr>
          <w:sz w:val="20"/>
          <w:szCs w:val="20"/>
          <w:color w:val="auto"/>
        </w:rPr>
      </w:pPr>
    </w:p>
    <w:p>
      <w:pPr>
        <w:ind w:left="3240" w:right="120"/>
        <w:spacing w:after="0" w:line="299" w:lineRule="auto"/>
        <w:rPr>
          <w:sz w:val="20"/>
          <w:szCs w:val="20"/>
          <w:color w:val="auto"/>
        </w:rPr>
      </w:pPr>
      <w:r>
        <w:rPr>
          <w:rFonts w:ascii="Arial" w:cs="Arial" w:eastAsia="Arial" w:hAnsi="Arial"/>
          <w:sz w:val="16"/>
          <w:szCs w:val="16"/>
          <w:color w:val="auto"/>
        </w:rPr>
        <w:t>If a stockholder vote is not required and we do not decide to hold a stockholder vote for business or other reasons, we will, pursuant to our amended and restated certificate of incorporation:</w:t>
      </w:r>
    </w:p>
    <w:p>
      <w:pPr>
        <w:spacing w:after="0" w:line="68" w:lineRule="exact"/>
        <w:rPr>
          <w:sz w:val="20"/>
          <w:szCs w:val="20"/>
          <w:color w:val="auto"/>
        </w:rPr>
      </w:pPr>
    </w:p>
    <w:p>
      <w:pPr>
        <w:ind w:left="3440" w:right="80" w:hanging="209"/>
        <w:spacing w:after="0" w:line="239" w:lineRule="auto"/>
        <w:tabs>
          <w:tab w:leader="none" w:pos="3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14" w:lineRule="exact"/>
        <w:rPr>
          <w:rFonts w:ascii="Arial" w:cs="Arial" w:eastAsia="Arial" w:hAnsi="Arial"/>
          <w:sz w:val="18"/>
          <w:szCs w:val="18"/>
          <w:color w:val="auto"/>
        </w:rPr>
      </w:pPr>
    </w:p>
    <w:p>
      <w:pPr>
        <w:ind w:left="3440" w:right="100" w:hanging="209"/>
        <w:spacing w:after="0" w:line="237" w:lineRule="auto"/>
        <w:tabs>
          <w:tab w:leader="none" w:pos="3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14" w:lineRule="exact"/>
        <w:rPr>
          <w:sz w:val="20"/>
          <w:szCs w:val="20"/>
          <w:color w:val="auto"/>
        </w:rPr>
      </w:pPr>
    </w:p>
    <w:p>
      <w:pPr>
        <w:ind w:left="3240" w:right="300"/>
        <w:spacing w:after="0" w:line="239" w:lineRule="auto"/>
        <w:rPr>
          <w:sz w:val="20"/>
          <w:szCs w:val="20"/>
          <w:color w:val="auto"/>
        </w:rPr>
      </w:pPr>
      <w:r>
        <w:rPr>
          <w:rFonts w:ascii="Arial" w:cs="Arial" w:eastAsia="Arial" w:hAnsi="Arial"/>
          <w:sz w:val="18"/>
          <w:szCs w:val="18"/>
          <w:color w:val="auto"/>
        </w:rPr>
        <w:t>Such provisions may be amended if approved by holders of 65% of our common stock entitled to vote thereon.</w:t>
      </w:r>
    </w:p>
    <w:p>
      <w:pPr>
        <w:spacing w:after="0" w:line="114" w:lineRule="exact"/>
        <w:rPr>
          <w:sz w:val="20"/>
          <w:szCs w:val="20"/>
          <w:color w:val="auto"/>
        </w:rPr>
      </w:pPr>
    </w:p>
    <w:p>
      <w:pPr>
        <w:ind w:left="3240"/>
        <w:spacing w:after="0" w:line="236" w:lineRule="auto"/>
        <w:rPr>
          <w:sz w:val="20"/>
          <w:szCs w:val="20"/>
          <w:color w:val="auto"/>
        </w:rPr>
      </w:pPr>
      <w:r>
        <w:rPr>
          <w:rFonts w:ascii="Arial" w:cs="Arial" w:eastAsia="Arial" w:hAnsi="Arial"/>
          <w:sz w:val="18"/>
          <w:szCs w:val="18"/>
          <w:color w:val="auto"/>
        </w:rPr>
        <w:t>Whether or not we maintain our registration under the Exchange Act or our listing on Nasdaq, we will provide our public stockholders with the opportunity to redeem their public shares by one of the two methods listed above. 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704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50704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140"/>
        <w:spacing w:after="0" w:line="235"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upon consummation of our initial business combination and after payment of deferred underwriting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19" w:lineRule="exact"/>
        <w:rPr>
          <w:sz w:val="20"/>
          <w:szCs w:val="20"/>
          <w:color w:val="auto"/>
        </w:rPr>
      </w:pPr>
    </w:p>
    <w:p>
      <w:pPr>
        <w:ind w:left="3240" w:right="320"/>
        <w:spacing w:after="0" w:line="299" w:lineRule="auto"/>
        <w:rPr>
          <w:sz w:val="20"/>
          <w:szCs w:val="20"/>
          <w:color w:val="auto"/>
        </w:rPr>
      </w:pPr>
      <w:r>
        <w:rPr>
          <w:rFonts w:ascii="Arial" w:cs="Arial" w:eastAsia="Arial" w:hAnsi="Arial"/>
          <w:sz w:val="16"/>
          <w:szCs w:val="16"/>
          <w:color w:val="auto"/>
        </w:rPr>
        <w:t>If, however, stockholder approval of the transaction is required by law or stock exchange listing requirements, or we decide to obtain stockholder approval for business or other reasons, we will:</w:t>
      </w:r>
    </w:p>
    <w:p>
      <w:pPr>
        <w:spacing w:after="0" w:line="68" w:lineRule="exact"/>
        <w:rPr>
          <w:sz w:val="20"/>
          <w:szCs w:val="20"/>
          <w:color w:val="auto"/>
        </w:rPr>
      </w:pPr>
    </w:p>
    <w:p>
      <w:pPr>
        <w:ind w:left="3440" w:right="40" w:hanging="209"/>
        <w:spacing w:after="0" w:line="238" w:lineRule="auto"/>
        <w:tabs>
          <w:tab w:leader="none" w:pos="3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3" w:lineRule="exact"/>
        <w:rPr>
          <w:rFonts w:ascii="Arial" w:cs="Arial" w:eastAsia="Arial" w:hAnsi="Arial"/>
          <w:sz w:val="18"/>
          <w:szCs w:val="18"/>
          <w:color w:val="auto"/>
        </w:rPr>
      </w:pPr>
    </w:p>
    <w:p>
      <w:pPr>
        <w:ind w:left="3440" w:hanging="209"/>
        <w:spacing w:after="0"/>
        <w:tabs>
          <w:tab w:leader="none" w:pos="3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ind w:left="3240"/>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and each of our officers and directors have agreed to vote their founder shares and any public shares purchased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assuming all outstanding shares are voted and the underwriter’s over-allotment option is not exercised, in addition to the founder shares, we would need only 7,172,251, or 35.9%, of the 20,000,000 public shares sold in this offering to be voted in favor of an initial business combination in order to have our initial business combination approved. Assuming only the minimum number of shares representing a quorum are voted and the underwriter’s over-allotment option is not exercised, in addition to the founder shares, we would not need any of the 20,000,000 public shares sold in this offering to be voted in favor of an initial</w:t>
      </w:r>
    </w:p>
    <w:p>
      <w:pPr>
        <w:spacing w:after="0" w:line="1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538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453898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40"/>
        <w:spacing w:after="0" w:line="269" w:lineRule="auto"/>
        <w:rPr>
          <w:sz w:val="20"/>
          <w:szCs w:val="20"/>
          <w:color w:val="auto"/>
        </w:rPr>
      </w:pPr>
      <w:r>
        <w:rPr>
          <w:rFonts w:ascii="Arial" w:cs="Arial" w:eastAsia="Arial" w:hAnsi="Arial"/>
          <w:sz w:val="16"/>
          <w:szCs w:val="16"/>
          <w:color w:val="auto"/>
        </w:rPr>
        <w:t>business combination in order to have our initial business combination approved.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their public shares without voting, and if they do vote, irrespective of whether they vote for or against the proposed business combination.</w:t>
      </w:r>
    </w:p>
    <w:p>
      <w:pPr>
        <w:spacing w:after="0" w:line="109" w:lineRule="exact"/>
        <w:rPr>
          <w:sz w:val="20"/>
          <w:szCs w:val="20"/>
          <w:color w:val="auto"/>
        </w:rPr>
      </w:pPr>
    </w:p>
    <w:p>
      <w:pPr>
        <w:ind w:left="3240"/>
        <w:spacing w:after="0" w:line="235" w:lineRule="auto"/>
        <w:rPr>
          <w:sz w:val="20"/>
          <w:szCs w:val="20"/>
          <w:color w:val="auto"/>
        </w:rPr>
      </w:pPr>
      <w:r>
        <w:rPr>
          <w:rFonts w:ascii="Arial" w:cs="Arial" w:eastAsia="Arial" w:hAnsi="Arial"/>
          <w:sz w:val="18"/>
          <w:szCs w:val="18"/>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initial vote on the proposal to approve the initial business combination in the event we distribute proxy materials, or to deliver their shares to the transfer agent electronically.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delivered, or shares tendered electronically, by public stockholders who elected to redeem their shares.</w:t>
      </w:r>
    </w:p>
    <w:p>
      <w:pPr>
        <w:spacing w:after="0" w:line="120" w:lineRule="exact"/>
        <w:rPr>
          <w:sz w:val="20"/>
          <w:szCs w:val="20"/>
          <w:color w:val="auto"/>
        </w:rPr>
      </w:pPr>
    </w:p>
    <w:p>
      <w:pPr>
        <w:ind w:left="3240" w:right="60"/>
        <w:spacing w:after="0" w:line="235" w:lineRule="auto"/>
        <w:rPr>
          <w:sz w:val="20"/>
          <w:szCs w:val="20"/>
          <w:color w:val="auto"/>
        </w:rPr>
      </w:pPr>
      <w:r>
        <w:rPr>
          <w:rFonts w:ascii="Arial" w:cs="Arial" w:eastAsia="Arial" w:hAnsi="Arial"/>
          <w:sz w:val="18"/>
          <w:szCs w:val="18"/>
          <w:color w:val="auto"/>
        </w:rPr>
        <w:t>Our amended and restated certificate of incorporation provides that in no event will we redeem our public shares in an amount that would cause our net tangible assets to be less than $5,000,001 upon consummation of our initial business combination and after payment of deferred underwriting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15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9" w:right="57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401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401574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b w:val="1"/>
          <w:bCs w:val="1"/>
          <w:color w:val="auto"/>
        </w:rPr>
        <w:t>Limitation on redemption rights of stockholders holding more than 15%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20"/>
        <w:spacing w:after="0" w:line="244" w:lineRule="auto"/>
        <w:rPr>
          <w:sz w:val="20"/>
          <w:szCs w:val="20"/>
          <w:color w:val="auto"/>
        </w:rPr>
      </w:pPr>
      <w:r>
        <w:rPr>
          <w:rFonts w:ascii="Arial" w:cs="Arial" w:eastAsia="Arial" w:hAnsi="Arial"/>
          <w:sz w:val="18"/>
          <w:szCs w:val="18"/>
          <w:b w:val="1"/>
          <w:bCs w:val="1"/>
          <w:color w:val="auto"/>
        </w:rPr>
        <w:t>Redemption rights in connection with proposed amendments to our amended and restated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sponsor or its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against an initial business combination if such holder’s shares are not purchased by us or our sponsor or its affiliates at a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w:t>
      </w:r>
    </w:p>
    <w:p>
      <w:pPr>
        <w:spacing w:after="0" w:line="200" w:lineRule="exact"/>
        <w:rPr>
          <w:sz w:val="20"/>
          <w:szCs w:val="20"/>
          <w:color w:val="auto"/>
        </w:rPr>
      </w:pPr>
    </w:p>
    <w:p>
      <w:pPr>
        <w:spacing w:after="0" w:line="3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However, we will not restrict our stockholders’ ability to vote all of their shares (including all shares held by those stockholders that hold more than 15% of the shares sold in this offering) for or against our initial business combination.</w:t>
      </w:r>
    </w:p>
    <w:p>
      <w:pPr>
        <w:spacing w:after="0" w:line="11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amended and restated certificate of incorporation provides that any of its provisions related to pre-business combination activity (including the requirement to deposit proceeds of this offering and the private placement of shares into the trust account and not release such amounts except in specified circumstances, and to provide redemption rights to public stockholders as described herein) may be amended if approved by holders of at least 65% of our common stock entitled to vote thereon, and corresponding provisions of the trust agreement governing the release of funds from our trust account may be</w:t>
      </w:r>
    </w:p>
    <w:p>
      <w:pPr>
        <w:spacing w:after="0" w:line="155" w:lineRule="exact"/>
        <w:rPr>
          <w:sz w:val="20"/>
          <w:szCs w:val="20"/>
          <w:color w:val="auto"/>
        </w:rPr>
      </w:pPr>
    </w:p>
    <w:p>
      <w:pPr>
        <w:sectPr>
          <w:pgSz w:w="11900" w:h="16838" w:orient="portrait"/>
          <w:cols w:equalWidth="0" w:num="2">
            <w:col w:w="3160" w:space="80"/>
            <w:col w:w="7800"/>
          </w:cols>
          <w:pgMar w:left="320" w:top="459" w:right="5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40"/>
          </w:cols>
          <w:pgMar w:left="320" w:top="459" w:right="5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590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45904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40"/>
        <w:spacing w:after="0" w:line="265" w:lineRule="auto"/>
        <w:rPr>
          <w:sz w:val="20"/>
          <w:szCs w:val="20"/>
          <w:color w:val="auto"/>
        </w:rPr>
      </w:pPr>
      <w:r>
        <w:rPr>
          <w:rFonts w:ascii="Arial" w:cs="Arial" w:eastAsia="Arial" w:hAnsi="Arial"/>
          <w:sz w:val="16"/>
          <w:szCs w:val="16"/>
          <w:color w:val="auto"/>
        </w:rPr>
        <w:t>amended if approved by holders of at least 65% of our common stock entitled to vote thereon. In all other instances, our amended and restated certificate of incorporation may be amended by holders of a majority of our outstanding common stock entitled to vote thereon, subject to applicable provisions of the Delaware General Corporation Law, or the DGCL, or applicable stock exchange rules. Under our amended and restated certificate of incorporation,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collectively beneficially own 20.0% of our common stock upon the closing of this offering (assuming they do not purchase any shares in this offering), will participate in any vote to amend our amended and restated certificate of incorporation and/or trust agreement and will have the discretion to vote in any manner they choose. Our sponsor and each of our officers and directors have agreed, pursuant to a letter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(which interest shall be net of taxes payable) divided by the number of then outstanding public shares. Pursuant to the letter agreement, our sponsor and each of our officers and directors have also waived their redemption rights with respect to any founder shares and any public shares held by them in connection with the completion of our initial business combination.</w:t>
      </w: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Release of funds in trust account on</w:t>
      </w:r>
      <w:r>
        <w:rPr>
          <w:rFonts w:ascii="Arial" w:cs="Arial" w:eastAsia="Arial" w:hAnsi="Arial"/>
          <w:sz w:val="16"/>
          <w:szCs w:val="16"/>
          <w:color w:val="auto"/>
        </w:rPr>
        <w:t>On the completion of our initial business combination, the funds held in the trust account will be used</w:t>
      </w:r>
    </w:p>
    <w:p>
      <w:pPr>
        <w:spacing w:after="0" w:line="36" w:lineRule="exact"/>
        <w:rPr>
          <w:sz w:val="20"/>
          <w:szCs w:val="20"/>
          <w:color w:val="auto"/>
        </w:rPr>
      </w:pPr>
    </w:p>
    <w:p>
      <w:pPr>
        <w:ind w:left="200"/>
        <w:spacing w:after="0"/>
        <w:tabs>
          <w:tab w:leader="none" w:pos="3220" w:val="left"/>
        </w:tabs>
        <w:rPr>
          <w:sz w:val="20"/>
          <w:szCs w:val="20"/>
          <w:color w:val="auto"/>
        </w:rPr>
      </w:pPr>
      <w:r>
        <w:rPr>
          <w:rFonts w:ascii="Arial" w:cs="Arial" w:eastAsia="Arial" w:hAnsi="Arial"/>
          <w:sz w:val="18"/>
          <w:szCs w:val="18"/>
          <w:b w:val="1"/>
          <w:bCs w:val="1"/>
          <w:color w:val="auto"/>
        </w:rPr>
        <w:t>closing of our initial business</w:t>
      </w:r>
      <w:r>
        <w:rPr>
          <w:sz w:val="20"/>
          <w:szCs w:val="20"/>
          <w:color w:val="auto"/>
        </w:rPr>
        <w:tab/>
      </w:r>
      <w:r>
        <w:rPr>
          <w:rFonts w:ascii="Arial" w:cs="Arial" w:eastAsia="Arial" w:hAnsi="Arial"/>
          <w:sz w:val="16"/>
          <w:szCs w:val="16"/>
          <w:color w:val="auto"/>
        </w:rPr>
        <w:t>to pay amounts due to any public stockholders who exercise their redemption rights as described</w:t>
      </w:r>
    </w:p>
    <w:p>
      <w:pPr>
        <w:ind w:left="3240" w:right="20" w:hanging="3039"/>
        <w:spacing w:after="0" w:line="236" w:lineRule="auto"/>
        <w:tabs>
          <w:tab w:leader="none" w:pos="3220" w:val="left"/>
        </w:tabs>
        <w:rPr>
          <w:sz w:val="20"/>
          <w:szCs w:val="20"/>
          <w:color w:val="auto"/>
        </w:rPr>
      </w:pPr>
      <w:r>
        <w:rPr>
          <w:rFonts w:ascii="Arial" w:cs="Arial" w:eastAsia="Arial" w:hAnsi="Arial"/>
          <w:sz w:val="18"/>
          <w:szCs w:val="18"/>
          <w:b w:val="1"/>
          <w:bCs w:val="1"/>
          <w:color w:val="auto"/>
        </w:rPr>
        <w:t>combination</w:t>
      </w:r>
      <w:r>
        <w:rPr>
          <w:sz w:val="20"/>
          <w:szCs w:val="20"/>
          <w:color w:val="auto"/>
        </w:rPr>
        <w:tab/>
      </w:r>
      <w:r>
        <w:rPr>
          <w:rFonts w:ascii="Arial" w:cs="Arial" w:eastAsia="Arial" w:hAnsi="Arial"/>
          <w:sz w:val="18"/>
          <w:szCs w:val="18"/>
          <w:color w:val="auto"/>
        </w:rPr>
        <w:t>above under “Redemption rights for public stockholders upon completion of our initial business combination.” We will use the remaining funds to pay the underwriter its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to us from the trust</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100" w:type="dxa"/>
            <w:vAlign w:val="bottom"/>
            <w:tcBorders>
              <w:top w:val="single" w:sz="8" w:color="auto"/>
              <w:left w:val="single" w:sz="8" w:color="auto"/>
            </w:tcBorders>
          </w:tcPr>
          <w:p>
            <w:pPr>
              <w:spacing w:after="0"/>
              <w:rPr>
                <w:sz w:val="24"/>
                <w:szCs w:val="24"/>
                <w:color w:val="auto"/>
              </w:rPr>
            </w:pPr>
          </w:p>
        </w:tc>
        <w:tc>
          <w:tcPr>
            <w:tcW w:w="81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account for general corporate purposes, including for maintenance or expansion of operations of</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post-transaction businesses, the payment of principal or interest due on indebtedness incurred in</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completing our initial business combination, to fund the purchase of other companies or for working</w:t>
            </w:r>
          </w:p>
        </w:tc>
      </w:tr>
      <w:tr>
        <w:trPr>
          <w:trHeight w:val="211"/>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capital.</w:t>
            </w:r>
          </w:p>
        </w:tc>
      </w:tr>
      <w:tr>
        <w:trPr>
          <w:trHeight w:val="307"/>
        </w:trPr>
        <w:tc>
          <w:tcPr>
            <w:tcW w:w="31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Redemption of public shares and</w:t>
            </w: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amended and restated certificate of incorporation provides that we will have only 24 months</w:t>
            </w:r>
          </w:p>
        </w:tc>
      </w:tr>
      <w:tr>
        <w:trPr>
          <w:trHeight w:val="203"/>
        </w:trPr>
        <w:tc>
          <w:tcPr>
            <w:tcW w:w="3100" w:type="dxa"/>
            <w:vAlign w:val="bottom"/>
            <w:tcBorders>
              <w:left w:val="single" w:sz="8" w:color="auto"/>
            </w:tcBorders>
          </w:tcPr>
          <w:p>
            <w:pPr>
              <w:ind w:left="200"/>
              <w:spacing w:after="0" w:line="202" w:lineRule="exact"/>
              <w:rPr>
                <w:sz w:val="20"/>
                <w:szCs w:val="20"/>
                <w:color w:val="auto"/>
              </w:rPr>
            </w:pPr>
            <w:r>
              <w:rPr>
                <w:rFonts w:ascii="Arial" w:cs="Arial" w:eastAsia="Arial" w:hAnsi="Arial"/>
                <w:sz w:val="18"/>
                <w:szCs w:val="18"/>
                <w:b w:val="1"/>
                <w:bCs w:val="1"/>
                <w:color w:val="auto"/>
              </w:rPr>
              <w:t>distribution and liquidation if no</w:t>
            </w: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from the closing of this offering to complete our initial business combination. If we do not complete</w:t>
            </w:r>
          </w:p>
        </w:tc>
      </w:tr>
      <w:tr>
        <w:trPr>
          <w:trHeight w:val="224"/>
        </w:trPr>
        <w:tc>
          <w:tcPr>
            <w:tcW w:w="31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initial business combination</w:t>
            </w: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our initial business combination within such 24-month period or during any Extension Period, we will:</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(i) cease all operations except for the purpose of winding up, (ii) as promptly as reasonably possible</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but not more than ten business days thereafter, redeem the public shares, at a per-share price,</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payable in cash, equal to the aggregate amount then on deposit in the trust account including</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interest earned on the funds held in the trust account and not previously released to us to pay our</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franchise and income taxes (less up to $100,000 of interest to pay dissolution expenses), divided by</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number of then outstanding public shares, which redemption will completely extinguish public</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stockholders’ rights as stockholders (including the right to receive further liquidating distributions, if</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any), subject to applicable law, and (iii) as promptly as reasonably possible following such</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redemption, subject to the approval of our remaining stockholders and our board of directors,</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dissolve and liquidate, subject in each case to our obligations under Delaware law to provide for</w:t>
            </w:r>
          </w:p>
        </w:tc>
      </w:tr>
      <w:tr>
        <w:trPr>
          <w:trHeight w:val="211"/>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claims of creditors and the requirements of other applicable law.</w:t>
            </w:r>
          </w:p>
        </w:tc>
      </w:tr>
      <w:tr>
        <w:trPr>
          <w:trHeight w:val="316"/>
        </w:trPr>
        <w:tc>
          <w:tcPr>
            <w:tcW w:w="310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sponsor and each of our officers and directors have entered into a letter agreement with us</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w w:val="99"/>
              </w:rPr>
              <w:t>pursuant to which they have waived their rights to liquidating distributions from the trust account with</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respect to any founder shares held by them if we fail to complete our initial business combination</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within 24 months from the closing of this offering or during any Extension Period. However, if our</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sponsor, officers or directors acquire public shares in or after this offering, they will be entitled to</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liquidating distributions from the trust account with respect to such public shares if we fail to</w:t>
            </w:r>
          </w:p>
        </w:tc>
      </w:tr>
      <w:tr>
        <w:trPr>
          <w:trHeight w:val="211"/>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complete our initial business combination within the allotted 24-month time period.</w:t>
            </w:r>
          </w:p>
        </w:tc>
      </w:tr>
      <w:tr>
        <w:trPr>
          <w:trHeight w:val="316"/>
        </w:trPr>
        <w:tc>
          <w:tcPr>
            <w:tcW w:w="310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underwriter has agreed to waive its rights to the deferred underwriting commission held in the</w:t>
            </w:r>
          </w:p>
        </w:tc>
      </w:tr>
      <w:tr>
        <w:trPr>
          <w:trHeight w:val="202"/>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trust account in the event we do not complete our initial business combination and subsequently</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liquidate and, in such event, such amounts will be included with the funds held in the trust account</w:t>
            </w:r>
          </w:p>
        </w:tc>
      </w:tr>
      <w:tr>
        <w:trPr>
          <w:trHeight w:val="211"/>
        </w:trPr>
        <w:tc>
          <w:tcPr>
            <w:tcW w:w="310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that will be available to fund the redemption of our public shares.</w:t>
            </w:r>
          </w:p>
        </w:tc>
      </w:tr>
      <w:tr>
        <w:trPr>
          <w:trHeight w:val="316"/>
        </w:trPr>
        <w:tc>
          <w:tcPr>
            <w:tcW w:w="31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Limited payments to insiders</w:t>
            </w:r>
          </w:p>
        </w:tc>
        <w:tc>
          <w:tcPr>
            <w:tcW w:w="81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There will be no finder’s fees, reimbursement, consulting fee, non-cash payments, monies in respect</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of any payment of a loan or other compensation paid by us to our sponsor, officers or directors, or</w:t>
            </w:r>
          </w:p>
        </w:tc>
      </w:tr>
      <w:tr>
        <w:trPr>
          <w:trHeight w:val="203"/>
        </w:trPr>
        <w:tc>
          <w:tcPr>
            <w:tcW w:w="3100" w:type="dxa"/>
            <w:vAlign w:val="bottom"/>
            <w:tcBorders>
              <w:left w:val="single" w:sz="8" w:color="auto"/>
            </w:tcBorders>
          </w:tcPr>
          <w:p>
            <w:pPr>
              <w:spacing w:after="0"/>
              <w:rPr>
                <w:sz w:val="17"/>
                <w:szCs w:val="17"/>
                <w:color w:val="auto"/>
              </w:rPr>
            </w:pPr>
          </w:p>
        </w:tc>
        <w:tc>
          <w:tcPr>
            <w:tcW w:w="814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any affiliate of our sponsor, officers or directors prior to, or in connection with any services rendered</w:t>
            </w:r>
          </w:p>
        </w:tc>
      </w:tr>
      <w:tr>
        <w:trPr>
          <w:trHeight w:val="196"/>
        </w:trPr>
        <w:tc>
          <w:tcPr>
            <w:tcW w:w="3100" w:type="dxa"/>
            <w:vAlign w:val="bottom"/>
            <w:tcBorders>
              <w:left w:val="single" w:sz="8" w:color="auto"/>
              <w:bottom w:val="single" w:sz="8" w:color="auto"/>
            </w:tcBorders>
          </w:tcPr>
          <w:p>
            <w:pPr>
              <w:spacing w:after="0"/>
              <w:rPr>
                <w:sz w:val="17"/>
                <w:szCs w:val="17"/>
                <w:color w:val="auto"/>
              </w:rPr>
            </w:pPr>
          </w:p>
        </w:tc>
        <w:tc>
          <w:tcPr>
            <w:tcW w:w="8140" w:type="dxa"/>
            <w:vAlign w:val="bottom"/>
            <w:tcBorders>
              <w:bottom w:val="single" w:sz="8" w:color="auto"/>
              <w:right w:val="single" w:sz="8" w:color="auto"/>
            </w:tcBorders>
          </w:tcPr>
          <w:p>
            <w:pPr>
              <w:ind w:left="140"/>
              <w:spacing w:after="0" w:line="196" w:lineRule="exact"/>
              <w:rPr>
                <w:sz w:val="20"/>
                <w:szCs w:val="20"/>
                <w:color w:val="auto"/>
              </w:rPr>
            </w:pPr>
            <w:r>
              <w:rPr>
                <w:rFonts w:ascii="Arial" w:cs="Arial" w:eastAsia="Arial" w:hAnsi="Arial"/>
                <w:sz w:val="18"/>
                <w:szCs w:val="18"/>
                <w:color w:val="auto"/>
              </w:rPr>
              <w:t>in order to effectuate, the consummation of our initial business combination</w:t>
            </w:r>
          </w:p>
        </w:tc>
      </w:tr>
      <w:tr>
        <w:trPr>
          <w:trHeight w:val="359"/>
        </w:trPr>
        <w:tc>
          <w:tcPr>
            <w:tcW w:w="3100" w:type="dxa"/>
            <w:vAlign w:val="bottom"/>
          </w:tcPr>
          <w:p>
            <w:pPr>
              <w:spacing w:after="0"/>
              <w:rPr>
                <w:sz w:val="24"/>
                <w:szCs w:val="24"/>
                <w:color w:val="auto"/>
              </w:rPr>
            </w:pPr>
          </w:p>
        </w:tc>
        <w:tc>
          <w:tcPr>
            <w:tcW w:w="8140" w:type="dxa"/>
            <w:vAlign w:val="bottom"/>
          </w:tcPr>
          <w:p>
            <w:pPr>
              <w:ind w:left="242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53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50533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3240" w:right="260"/>
        <w:spacing w:after="0" w:line="281" w:lineRule="auto"/>
        <w:rPr>
          <w:sz w:val="20"/>
          <w:szCs w:val="20"/>
          <w:color w:val="auto"/>
        </w:rPr>
      </w:pPr>
      <w:r>
        <w:rPr>
          <w:rFonts w:ascii="Arial" w:cs="Arial" w:eastAsia="Arial" w:hAnsi="Arial"/>
          <w:sz w:val="16"/>
          <w:szCs w:val="16"/>
          <w:color w:val="auto"/>
        </w:rPr>
        <w:t>(regardless of the type of transaction that it is). However, the following payments will be made to our sponsor, officers or directors, or our or their affiliates, none of which will be made from the proceeds of this offering held in the trust account prior to the completion of our initial business combination:</w:t>
      </w:r>
    </w:p>
    <w:p>
      <w:pPr>
        <w:spacing w:after="0" w:line="92" w:lineRule="exact"/>
        <w:rPr>
          <w:sz w:val="20"/>
          <w:szCs w:val="20"/>
          <w:color w:val="auto"/>
        </w:rPr>
      </w:pPr>
    </w:p>
    <w:p>
      <w:pPr>
        <w:ind w:left="3240"/>
        <w:spacing w:after="0"/>
        <w:tabs>
          <w:tab w:leader="none" w:pos="3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repayment of a loan of up to an aggregate of $300,000 made to us by our sponsor to cover</w:t>
      </w:r>
    </w:p>
    <w:tbl>
      <w:tblPr>
        <w:tblLayout w:type="fixed"/>
        <w:tblInd w:w="0" w:type="dxa"/>
        <w:tblCellMar>
          <w:top w:w="0" w:type="dxa"/>
          <w:left w:w="0" w:type="dxa"/>
          <w:bottom w:w="0" w:type="dxa"/>
          <w:right w:w="0" w:type="dxa"/>
        </w:tblCellMar>
      </w:tblPr>
      <w:tr>
        <w:trPr>
          <w:trHeight w:val="211"/>
        </w:trPr>
        <w:tc>
          <w:tcPr>
            <w:tcW w:w="2400" w:type="dxa"/>
            <w:vAlign w:val="bottom"/>
          </w:tcPr>
          <w:p>
            <w:pPr>
              <w:spacing w:after="0"/>
              <w:rPr>
                <w:sz w:val="18"/>
                <w:szCs w:val="18"/>
                <w:color w:val="auto"/>
              </w:rPr>
            </w:pPr>
          </w:p>
        </w:tc>
        <w:tc>
          <w:tcPr>
            <w:tcW w:w="8840" w:type="dxa"/>
            <w:vAlign w:val="bottom"/>
          </w:tcPr>
          <w:p>
            <w:pPr>
              <w:ind w:left="1040"/>
              <w:spacing w:after="0"/>
              <w:rPr>
                <w:sz w:val="20"/>
                <w:szCs w:val="20"/>
                <w:color w:val="auto"/>
              </w:rPr>
            </w:pPr>
            <w:r>
              <w:rPr>
                <w:rFonts w:ascii="Arial" w:cs="Arial" w:eastAsia="Arial" w:hAnsi="Arial"/>
                <w:sz w:val="18"/>
                <w:szCs w:val="18"/>
                <w:color w:val="auto"/>
              </w:rPr>
              <w:t>offering related and organizational expenses;</w:t>
            </w:r>
          </w:p>
        </w:tc>
      </w:tr>
      <w:tr>
        <w:trPr>
          <w:trHeight w:val="316"/>
        </w:trPr>
        <w:tc>
          <w:tcPr>
            <w:tcW w:w="2400" w:type="dxa"/>
            <w:vAlign w:val="bottom"/>
          </w:tcPr>
          <w:p>
            <w:pPr>
              <w:spacing w:after="0"/>
              <w:rPr>
                <w:sz w:val="24"/>
                <w:szCs w:val="24"/>
                <w:color w:val="auto"/>
              </w:rPr>
            </w:pPr>
          </w:p>
        </w:tc>
        <w:tc>
          <w:tcPr>
            <w:tcW w:w="8840" w:type="dxa"/>
            <w:vAlign w:val="bottom"/>
          </w:tcPr>
          <w:p>
            <w:pPr>
              <w:ind w:left="840"/>
              <w:spacing w:after="0"/>
              <w:rPr>
                <w:sz w:val="20"/>
                <w:szCs w:val="20"/>
                <w:color w:val="auto"/>
              </w:rPr>
            </w:pPr>
            <w:r>
              <w:rPr>
                <w:rFonts w:ascii="Arial" w:cs="Arial" w:eastAsia="Arial" w:hAnsi="Arial"/>
                <w:sz w:val="18"/>
                <w:szCs w:val="18"/>
                <w:color w:val="auto"/>
              </w:rPr>
              <w:t>•  payment to our sponsor or an affiliate of our sponsor of up to $10,000 per month for office space,</w:t>
            </w:r>
          </w:p>
        </w:tc>
      </w:tr>
      <w:tr>
        <w:trPr>
          <w:trHeight w:val="203"/>
        </w:trPr>
        <w:tc>
          <w:tcPr>
            <w:tcW w:w="2400" w:type="dxa"/>
            <w:vAlign w:val="bottom"/>
          </w:tcPr>
          <w:p>
            <w:pPr>
              <w:spacing w:after="0"/>
              <w:rPr>
                <w:sz w:val="17"/>
                <w:szCs w:val="17"/>
                <w:color w:val="auto"/>
              </w:rPr>
            </w:pPr>
          </w:p>
        </w:tc>
        <w:tc>
          <w:tcPr>
            <w:tcW w:w="8840" w:type="dxa"/>
            <w:vAlign w:val="bottom"/>
          </w:tcPr>
          <w:p>
            <w:pPr>
              <w:ind w:left="1040"/>
              <w:spacing w:after="0" w:line="202" w:lineRule="exact"/>
              <w:rPr>
                <w:sz w:val="20"/>
                <w:szCs w:val="20"/>
                <w:color w:val="auto"/>
              </w:rPr>
            </w:pPr>
            <w:r>
              <w:rPr>
                <w:rFonts w:ascii="Arial" w:cs="Arial" w:eastAsia="Arial" w:hAnsi="Arial"/>
                <w:sz w:val="18"/>
                <w:szCs w:val="18"/>
                <w:color w:val="auto"/>
              </w:rPr>
              <w:t>utilities, secretarial and administrative support services provided to us and other expenses and</w:t>
            </w:r>
          </w:p>
        </w:tc>
      </w:tr>
      <w:tr>
        <w:trPr>
          <w:trHeight w:val="211"/>
        </w:trPr>
        <w:tc>
          <w:tcPr>
            <w:tcW w:w="2400" w:type="dxa"/>
            <w:vAlign w:val="bottom"/>
          </w:tcPr>
          <w:p>
            <w:pPr>
              <w:spacing w:after="0"/>
              <w:rPr>
                <w:sz w:val="18"/>
                <w:szCs w:val="18"/>
                <w:color w:val="auto"/>
              </w:rPr>
            </w:pPr>
          </w:p>
        </w:tc>
        <w:tc>
          <w:tcPr>
            <w:tcW w:w="8840" w:type="dxa"/>
            <w:vAlign w:val="bottom"/>
          </w:tcPr>
          <w:p>
            <w:pPr>
              <w:ind w:left="1040"/>
              <w:spacing w:after="0"/>
              <w:rPr>
                <w:sz w:val="20"/>
                <w:szCs w:val="20"/>
                <w:color w:val="auto"/>
              </w:rPr>
            </w:pPr>
            <w:r>
              <w:rPr>
                <w:rFonts w:ascii="Arial" w:cs="Arial" w:eastAsia="Arial" w:hAnsi="Arial"/>
                <w:sz w:val="18"/>
                <w:szCs w:val="18"/>
                <w:color w:val="auto"/>
              </w:rPr>
              <w:t>obligations of our sponsor;</w:t>
            </w:r>
          </w:p>
        </w:tc>
      </w:tr>
      <w:tr>
        <w:trPr>
          <w:trHeight w:val="316"/>
        </w:trPr>
        <w:tc>
          <w:tcPr>
            <w:tcW w:w="2400" w:type="dxa"/>
            <w:vAlign w:val="bottom"/>
          </w:tcPr>
          <w:p>
            <w:pPr>
              <w:spacing w:after="0"/>
              <w:rPr>
                <w:sz w:val="24"/>
                <w:szCs w:val="24"/>
                <w:color w:val="auto"/>
              </w:rPr>
            </w:pPr>
          </w:p>
        </w:tc>
        <w:tc>
          <w:tcPr>
            <w:tcW w:w="8840" w:type="dxa"/>
            <w:vAlign w:val="bottom"/>
          </w:tcPr>
          <w:p>
            <w:pPr>
              <w:ind w:left="840"/>
              <w:spacing w:after="0"/>
              <w:rPr>
                <w:sz w:val="20"/>
                <w:szCs w:val="20"/>
                <w:color w:val="auto"/>
              </w:rPr>
            </w:pPr>
            <w:r>
              <w:rPr>
                <w:rFonts w:ascii="Arial" w:cs="Arial" w:eastAsia="Arial" w:hAnsi="Arial"/>
                <w:sz w:val="18"/>
                <w:szCs w:val="18"/>
                <w:color w:val="auto"/>
              </w:rPr>
              <w:t>•  reimbursement for any out-of-pocket expenses related to identifying, investigating and completing</w:t>
            </w:r>
          </w:p>
        </w:tc>
      </w:tr>
      <w:tr>
        <w:trPr>
          <w:trHeight w:val="211"/>
        </w:trPr>
        <w:tc>
          <w:tcPr>
            <w:tcW w:w="2400" w:type="dxa"/>
            <w:vAlign w:val="bottom"/>
          </w:tcPr>
          <w:p>
            <w:pPr>
              <w:spacing w:after="0"/>
              <w:rPr>
                <w:sz w:val="18"/>
                <w:szCs w:val="18"/>
                <w:color w:val="auto"/>
              </w:rPr>
            </w:pPr>
          </w:p>
        </w:tc>
        <w:tc>
          <w:tcPr>
            <w:tcW w:w="8840" w:type="dxa"/>
            <w:vAlign w:val="bottom"/>
          </w:tcPr>
          <w:p>
            <w:pPr>
              <w:ind w:left="1040"/>
              <w:spacing w:after="0"/>
              <w:rPr>
                <w:sz w:val="20"/>
                <w:szCs w:val="20"/>
                <w:color w:val="auto"/>
              </w:rPr>
            </w:pPr>
            <w:r>
              <w:rPr>
                <w:rFonts w:ascii="Arial" w:cs="Arial" w:eastAsia="Arial" w:hAnsi="Arial"/>
                <w:sz w:val="18"/>
                <w:szCs w:val="18"/>
                <w:color w:val="auto"/>
              </w:rPr>
              <w:t>an initial business combination; and</w:t>
            </w:r>
          </w:p>
        </w:tc>
      </w:tr>
      <w:tr>
        <w:trPr>
          <w:trHeight w:val="316"/>
        </w:trPr>
        <w:tc>
          <w:tcPr>
            <w:tcW w:w="2400" w:type="dxa"/>
            <w:vAlign w:val="bottom"/>
          </w:tcPr>
          <w:p>
            <w:pPr>
              <w:spacing w:after="0"/>
              <w:rPr>
                <w:sz w:val="24"/>
                <w:szCs w:val="24"/>
                <w:color w:val="auto"/>
              </w:rPr>
            </w:pPr>
          </w:p>
        </w:tc>
        <w:tc>
          <w:tcPr>
            <w:tcW w:w="8840" w:type="dxa"/>
            <w:vAlign w:val="bottom"/>
          </w:tcPr>
          <w:p>
            <w:pPr>
              <w:ind w:left="840"/>
              <w:spacing w:after="0"/>
              <w:rPr>
                <w:sz w:val="20"/>
                <w:szCs w:val="20"/>
                <w:color w:val="auto"/>
              </w:rPr>
            </w:pPr>
            <w:r>
              <w:rPr>
                <w:rFonts w:ascii="Arial" w:cs="Arial" w:eastAsia="Arial" w:hAnsi="Arial"/>
                <w:sz w:val="18"/>
                <w:szCs w:val="18"/>
                <w:color w:val="auto"/>
              </w:rPr>
              <w:t>•  repayment of loans which may be made by our sponsor or an affiliate of our sponsor or certain of</w:t>
            </w:r>
          </w:p>
        </w:tc>
      </w:tr>
      <w:tr>
        <w:trPr>
          <w:trHeight w:val="203"/>
        </w:trPr>
        <w:tc>
          <w:tcPr>
            <w:tcW w:w="2400" w:type="dxa"/>
            <w:vAlign w:val="bottom"/>
          </w:tcPr>
          <w:p>
            <w:pPr>
              <w:spacing w:after="0"/>
              <w:rPr>
                <w:sz w:val="17"/>
                <w:szCs w:val="17"/>
                <w:color w:val="auto"/>
              </w:rPr>
            </w:pPr>
          </w:p>
        </w:tc>
        <w:tc>
          <w:tcPr>
            <w:tcW w:w="8840" w:type="dxa"/>
            <w:vAlign w:val="bottom"/>
          </w:tcPr>
          <w:p>
            <w:pPr>
              <w:ind w:left="1040"/>
              <w:spacing w:after="0" w:line="202" w:lineRule="exact"/>
              <w:rPr>
                <w:sz w:val="20"/>
                <w:szCs w:val="20"/>
                <w:color w:val="auto"/>
              </w:rPr>
            </w:pPr>
            <w:r>
              <w:rPr>
                <w:rFonts w:ascii="Arial" w:cs="Arial" w:eastAsia="Arial" w:hAnsi="Arial"/>
                <w:sz w:val="18"/>
                <w:szCs w:val="18"/>
                <w:color w:val="auto"/>
              </w:rPr>
              <w:t>our officers or directors to fund working capital deficiencies or finance transaction costs in</w:t>
            </w:r>
          </w:p>
        </w:tc>
      </w:tr>
      <w:tr>
        <w:trPr>
          <w:trHeight w:val="203"/>
        </w:trPr>
        <w:tc>
          <w:tcPr>
            <w:tcW w:w="2400" w:type="dxa"/>
            <w:vAlign w:val="bottom"/>
          </w:tcPr>
          <w:p>
            <w:pPr>
              <w:spacing w:after="0"/>
              <w:rPr>
                <w:sz w:val="17"/>
                <w:szCs w:val="17"/>
                <w:color w:val="auto"/>
              </w:rPr>
            </w:pPr>
          </w:p>
        </w:tc>
        <w:tc>
          <w:tcPr>
            <w:tcW w:w="8840" w:type="dxa"/>
            <w:vAlign w:val="bottom"/>
          </w:tcPr>
          <w:p>
            <w:pPr>
              <w:ind w:left="1040"/>
              <w:spacing w:after="0" w:line="202" w:lineRule="exact"/>
              <w:rPr>
                <w:sz w:val="20"/>
                <w:szCs w:val="20"/>
                <w:color w:val="auto"/>
              </w:rPr>
            </w:pPr>
            <w:r>
              <w:rPr>
                <w:rFonts w:ascii="Arial" w:cs="Arial" w:eastAsia="Arial" w:hAnsi="Arial"/>
                <w:sz w:val="18"/>
                <w:szCs w:val="18"/>
                <w:color w:val="auto"/>
              </w:rPr>
              <w:t>connection with an intended initial business combination, the terms of which have not been</w:t>
            </w:r>
          </w:p>
        </w:tc>
      </w:tr>
      <w:tr>
        <w:trPr>
          <w:trHeight w:val="203"/>
        </w:trPr>
        <w:tc>
          <w:tcPr>
            <w:tcW w:w="2400" w:type="dxa"/>
            <w:vAlign w:val="bottom"/>
          </w:tcPr>
          <w:p>
            <w:pPr>
              <w:spacing w:after="0"/>
              <w:rPr>
                <w:sz w:val="17"/>
                <w:szCs w:val="17"/>
                <w:color w:val="auto"/>
              </w:rPr>
            </w:pPr>
          </w:p>
        </w:tc>
        <w:tc>
          <w:tcPr>
            <w:tcW w:w="8840" w:type="dxa"/>
            <w:vAlign w:val="bottom"/>
          </w:tcPr>
          <w:p>
            <w:pPr>
              <w:ind w:left="1040"/>
              <w:spacing w:after="0" w:line="202" w:lineRule="exact"/>
              <w:rPr>
                <w:sz w:val="20"/>
                <w:szCs w:val="20"/>
                <w:color w:val="auto"/>
              </w:rPr>
            </w:pPr>
            <w:r>
              <w:rPr>
                <w:rFonts w:ascii="Arial" w:cs="Arial" w:eastAsia="Arial" w:hAnsi="Arial"/>
                <w:sz w:val="18"/>
                <w:szCs w:val="18"/>
                <w:color w:val="auto"/>
              </w:rPr>
              <w:t>determined nor have any written agreements been executed with respect thereto. Up to</w:t>
            </w:r>
          </w:p>
        </w:tc>
      </w:tr>
      <w:tr>
        <w:trPr>
          <w:trHeight w:val="203"/>
        </w:trPr>
        <w:tc>
          <w:tcPr>
            <w:tcW w:w="2400" w:type="dxa"/>
            <w:vAlign w:val="bottom"/>
          </w:tcPr>
          <w:p>
            <w:pPr>
              <w:spacing w:after="0"/>
              <w:rPr>
                <w:sz w:val="17"/>
                <w:szCs w:val="17"/>
                <w:color w:val="auto"/>
              </w:rPr>
            </w:pPr>
          </w:p>
        </w:tc>
        <w:tc>
          <w:tcPr>
            <w:tcW w:w="8840" w:type="dxa"/>
            <w:vAlign w:val="bottom"/>
          </w:tcPr>
          <w:p>
            <w:pPr>
              <w:ind w:left="1040"/>
              <w:spacing w:after="0" w:line="202" w:lineRule="exact"/>
              <w:rPr>
                <w:sz w:val="20"/>
                <w:szCs w:val="20"/>
                <w:color w:val="auto"/>
              </w:rPr>
            </w:pPr>
            <w:r>
              <w:rPr>
                <w:rFonts w:ascii="Arial" w:cs="Arial" w:eastAsia="Arial" w:hAnsi="Arial"/>
                <w:sz w:val="18"/>
                <w:szCs w:val="18"/>
                <w:color w:val="auto"/>
              </w:rPr>
              <w:t>$2,000,000 of such loans may be convertible into shares of the post-business combination entity</w:t>
            </w:r>
          </w:p>
        </w:tc>
      </w:tr>
      <w:tr>
        <w:trPr>
          <w:trHeight w:val="203"/>
        </w:trPr>
        <w:tc>
          <w:tcPr>
            <w:tcW w:w="2400" w:type="dxa"/>
            <w:vAlign w:val="bottom"/>
          </w:tcPr>
          <w:p>
            <w:pPr>
              <w:spacing w:after="0"/>
              <w:rPr>
                <w:sz w:val="17"/>
                <w:szCs w:val="17"/>
                <w:color w:val="auto"/>
              </w:rPr>
            </w:pPr>
          </w:p>
        </w:tc>
        <w:tc>
          <w:tcPr>
            <w:tcW w:w="8840" w:type="dxa"/>
            <w:vAlign w:val="bottom"/>
          </w:tcPr>
          <w:p>
            <w:pPr>
              <w:ind w:left="1040"/>
              <w:spacing w:after="0" w:line="202" w:lineRule="exact"/>
              <w:rPr>
                <w:sz w:val="20"/>
                <w:szCs w:val="20"/>
                <w:color w:val="auto"/>
              </w:rPr>
            </w:pPr>
            <w:r>
              <w:rPr>
                <w:rFonts w:ascii="Arial" w:cs="Arial" w:eastAsia="Arial" w:hAnsi="Arial"/>
                <w:sz w:val="18"/>
                <w:szCs w:val="18"/>
                <w:color w:val="auto"/>
              </w:rPr>
              <w:t>at a price of $10.00 per share at the option of the lender. The shares would be identical to the</w:t>
            </w:r>
          </w:p>
        </w:tc>
      </w:tr>
      <w:tr>
        <w:trPr>
          <w:trHeight w:val="203"/>
        </w:trPr>
        <w:tc>
          <w:tcPr>
            <w:tcW w:w="2400" w:type="dxa"/>
            <w:vAlign w:val="bottom"/>
          </w:tcPr>
          <w:p>
            <w:pPr>
              <w:spacing w:after="0"/>
              <w:rPr>
                <w:sz w:val="17"/>
                <w:szCs w:val="17"/>
                <w:color w:val="auto"/>
              </w:rPr>
            </w:pPr>
          </w:p>
        </w:tc>
        <w:tc>
          <w:tcPr>
            <w:tcW w:w="8840" w:type="dxa"/>
            <w:vAlign w:val="bottom"/>
          </w:tcPr>
          <w:p>
            <w:pPr>
              <w:ind w:left="1040"/>
              <w:spacing w:after="0" w:line="202" w:lineRule="exact"/>
              <w:rPr>
                <w:sz w:val="20"/>
                <w:szCs w:val="20"/>
                <w:color w:val="auto"/>
              </w:rPr>
            </w:pPr>
            <w:r>
              <w:rPr>
                <w:rFonts w:ascii="Arial" w:cs="Arial" w:eastAsia="Arial" w:hAnsi="Arial"/>
                <w:sz w:val="18"/>
                <w:szCs w:val="18"/>
                <w:color w:val="auto"/>
              </w:rPr>
              <w:t>private placement shares. Except for the foregoing, the terms of such loans, if any, have not been</w:t>
            </w:r>
          </w:p>
        </w:tc>
      </w:tr>
      <w:tr>
        <w:trPr>
          <w:trHeight w:val="211"/>
        </w:trPr>
        <w:tc>
          <w:tcPr>
            <w:tcW w:w="2400" w:type="dxa"/>
            <w:vAlign w:val="bottom"/>
          </w:tcPr>
          <w:p>
            <w:pPr>
              <w:spacing w:after="0"/>
              <w:rPr>
                <w:sz w:val="18"/>
                <w:szCs w:val="18"/>
                <w:color w:val="auto"/>
              </w:rPr>
            </w:pPr>
          </w:p>
        </w:tc>
        <w:tc>
          <w:tcPr>
            <w:tcW w:w="8840" w:type="dxa"/>
            <w:vAlign w:val="bottom"/>
          </w:tcPr>
          <w:p>
            <w:pPr>
              <w:ind w:left="1040"/>
              <w:spacing w:after="0"/>
              <w:rPr>
                <w:sz w:val="20"/>
                <w:szCs w:val="20"/>
                <w:color w:val="auto"/>
              </w:rPr>
            </w:pPr>
            <w:r>
              <w:rPr>
                <w:rFonts w:ascii="Arial" w:cs="Arial" w:eastAsia="Arial" w:hAnsi="Arial"/>
                <w:sz w:val="18"/>
                <w:szCs w:val="18"/>
                <w:color w:val="auto"/>
              </w:rPr>
              <w:t>determined and no written agreements exist with respect to such loans.</w:t>
            </w:r>
          </w:p>
        </w:tc>
      </w:tr>
      <w:tr>
        <w:trPr>
          <w:trHeight w:val="316"/>
        </w:trPr>
        <w:tc>
          <w:tcPr>
            <w:tcW w:w="2400" w:type="dxa"/>
            <w:vAlign w:val="bottom"/>
          </w:tcPr>
          <w:p>
            <w:pPr>
              <w:spacing w:after="0"/>
              <w:rPr>
                <w:sz w:val="24"/>
                <w:szCs w:val="24"/>
                <w:color w:val="auto"/>
              </w:rPr>
            </w:pPr>
          </w:p>
        </w:tc>
        <w:tc>
          <w:tcPr>
            <w:tcW w:w="8840" w:type="dxa"/>
            <w:vAlign w:val="bottom"/>
          </w:tcPr>
          <w:p>
            <w:pPr>
              <w:ind w:left="840"/>
              <w:spacing w:after="0"/>
              <w:rPr>
                <w:sz w:val="20"/>
                <w:szCs w:val="20"/>
                <w:color w:val="auto"/>
              </w:rPr>
            </w:pPr>
            <w:r>
              <w:rPr>
                <w:rFonts w:ascii="Arial" w:cs="Arial" w:eastAsia="Arial" w:hAnsi="Arial"/>
                <w:sz w:val="18"/>
                <w:szCs w:val="18"/>
                <w:color w:val="auto"/>
              </w:rPr>
              <w:t>Our audit committee will review on a quarterly basis all payments that were made by us to our</w:t>
            </w:r>
          </w:p>
        </w:tc>
      </w:tr>
      <w:tr>
        <w:trPr>
          <w:trHeight w:val="211"/>
        </w:trPr>
        <w:tc>
          <w:tcPr>
            <w:tcW w:w="2400" w:type="dxa"/>
            <w:vAlign w:val="bottom"/>
          </w:tcPr>
          <w:p>
            <w:pPr>
              <w:spacing w:after="0"/>
              <w:rPr>
                <w:sz w:val="18"/>
                <w:szCs w:val="18"/>
                <w:color w:val="auto"/>
              </w:rPr>
            </w:pPr>
          </w:p>
        </w:tc>
        <w:tc>
          <w:tcPr>
            <w:tcW w:w="8840" w:type="dxa"/>
            <w:vAlign w:val="bottom"/>
          </w:tcPr>
          <w:p>
            <w:pPr>
              <w:ind w:left="840"/>
              <w:spacing w:after="0"/>
              <w:rPr>
                <w:sz w:val="20"/>
                <w:szCs w:val="20"/>
                <w:color w:val="auto"/>
              </w:rPr>
            </w:pPr>
            <w:r>
              <w:rPr>
                <w:rFonts w:ascii="Arial" w:cs="Arial" w:eastAsia="Arial" w:hAnsi="Arial"/>
                <w:sz w:val="18"/>
                <w:szCs w:val="18"/>
                <w:color w:val="auto"/>
              </w:rPr>
              <w:t>sponsor, officers or directors, or our or their affiliates.</w:t>
            </w:r>
          </w:p>
        </w:tc>
      </w:tr>
      <w:tr>
        <w:trPr>
          <w:trHeight w:val="316"/>
        </w:trPr>
        <w:tc>
          <w:tcPr>
            <w:tcW w:w="2400" w:type="dxa"/>
            <w:vAlign w:val="bottom"/>
          </w:tcPr>
          <w:p>
            <w:pPr>
              <w:ind w:left="200"/>
              <w:spacing w:after="0"/>
              <w:rPr>
                <w:sz w:val="20"/>
                <w:szCs w:val="20"/>
                <w:color w:val="auto"/>
              </w:rPr>
            </w:pPr>
            <w:r>
              <w:rPr>
                <w:rFonts w:ascii="Arial" w:cs="Arial" w:eastAsia="Arial" w:hAnsi="Arial"/>
                <w:sz w:val="18"/>
                <w:szCs w:val="18"/>
                <w:b w:val="1"/>
                <w:bCs w:val="1"/>
                <w:color w:val="auto"/>
              </w:rPr>
              <w:t>Audit committee</w:t>
            </w:r>
          </w:p>
        </w:tc>
        <w:tc>
          <w:tcPr>
            <w:tcW w:w="8840" w:type="dxa"/>
            <w:vAlign w:val="bottom"/>
          </w:tcPr>
          <w:p>
            <w:pPr>
              <w:ind w:left="840"/>
              <w:spacing w:after="0"/>
              <w:rPr>
                <w:sz w:val="20"/>
                <w:szCs w:val="20"/>
                <w:color w:val="auto"/>
              </w:rPr>
            </w:pPr>
            <w:r>
              <w:rPr>
                <w:rFonts w:ascii="Arial" w:cs="Arial" w:eastAsia="Arial" w:hAnsi="Arial"/>
                <w:sz w:val="18"/>
                <w:szCs w:val="18"/>
                <w:color w:val="auto"/>
              </w:rPr>
              <w:t>We will establish and maintain an audit committee, which will be composed entirely of independent</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rPr>
              <w:t>directors to, among other things, monitor compliance with the terms described above and the other</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rPr>
              <w:t>terms relating to this offering. If any noncompliance is identified, then the audit committee will be</w:t>
            </w:r>
          </w:p>
        </w:tc>
      </w:tr>
      <w:tr>
        <w:trPr>
          <w:trHeight w:val="202"/>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w w:val="99"/>
              </w:rPr>
              <w:t>charged with the responsibility to promptly take all action necessary to rectify such noncompliance or</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rPr>
              <w:t>otherwise to cause compliance with the terms of this offering. For more information, see the section</w:t>
            </w:r>
          </w:p>
        </w:tc>
      </w:tr>
      <w:tr>
        <w:trPr>
          <w:trHeight w:val="211"/>
        </w:trPr>
        <w:tc>
          <w:tcPr>
            <w:tcW w:w="2400" w:type="dxa"/>
            <w:vAlign w:val="bottom"/>
          </w:tcPr>
          <w:p>
            <w:pPr>
              <w:spacing w:after="0"/>
              <w:rPr>
                <w:sz w:val="18"/>
                <w:szCs w:val="18"/>
                <w:color w:val="auto"/>
              </w:rPr>
            </w:pPr>
          </w:p>
        </w:tc>
        <w:tc>
          <w:tcPr>
            <w:tcW w:w="8840" w:type="dxa"/>
            <w:vAlign w:val="bottom"/>
          </w:tcPr>
          <w:p>
            <w:pPr>
              <w:ind w:left="840"/>
              <w:spacing w:after="0"/>
              <w:rPr>
                <w:sz w:val="20"/>
                <w:szCs w:val="20"/>
                <w:color w:val="auto"/>
              </w:rPr>
            </w:pPr>
            <w:r>
              <w:rPr>
                <w:rFonts w:ascii="Arial" w:cs="Arial" w:eastAsia="Arial" w:hAnsi="Arial"/>
                <w:sz w:val="18"/>
                <w:szCs w:val="18"/>
                <w:color w:val="auto"/>
              </w:rPr>
              <w:t>of this prospectus entitled “Management—Committees of the Board of Directors—Audit Committee.”</w:t>
            </w:r>
          </w:p>
        </w:tc>
      </w:tr>
      <w:tr>
        <w:trPr>
          <w:trHeight w:val="316"/>
        </w:trPr>
        <w:tc>
          <w:tcPr>
            <w:tcW w:w="2400" w:type="dxa"/>
            <w:vAlign w:val="bottom"/>
          </w:tcPr>
          <w:p>
            <w:pPr>
              <w:ind w:left="200"/>
              <w:spacing w:after="0"/>
              <w:rPr>
                <w:sz w:val="20"/>
                <w:szCs w:val="20"/>
                <w:color w:val="auto"/>
              </w:rPr>
            </w:pPr>
            <w:r>
              <w:rPr>
                <w:rFonts w:ascii="Arial" w:cs="Arial" w:eastAsia="Arial" w:hAnsi="Arial"/>
                <w:sz w:val="18"/>
                <w:szCs w:val="18"/>
                <w:b w:val="1"/>
                <w:bCs w:val="1"/>
                <w:color w:val="auto"/>
              </w:rPr>
              <w:t>Indemnity</w:t>
            </w:r>
          </w:p>
        </w:tc>
        <w:tc>
          <w:tcPr>
            <w:tcW w:w="8840" w:type="dxa"/>
            <w:vAlign w:val="bottom"/>
          </w:tcPr>
          <w:p>
            <w:pPr>
              <w:ind w:left="840"/>
              <w:spacing w:after="0"/>
              <w:rPr>
                <w:sz w:val="20"/>
                <w:szCs w:val="20"/>
                <w:color w:val="auto"/>
              </w:rPr>
            </w:pPr>
            <w:r>
              <w:rPr>
                <w:rFonts w:ascii="Arial" w:cs="Arial" w:eastAsia="Arial" w:hAnsi="Arial"/>
                <w:sz w:val="18"/>
                <w:szCs w:val="18"/>
                <w:color w:val="auto"/>
              </w:rPr>
              <w:t>Our sponsor has agreed that it will be liable to us if and to the extent any claims by a third party for</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rPr>
              <w:t>services rendered or products sold to us, or a prospective target business with which we have</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rPr>
              <w:t>entered into a written letter of intent, confidentiality or similar agreement or business combination</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rPr>
              <w:t>agreement, reduce the amount of funds in the trust account to below the lesser of (i) $10.00 per</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w w:val="99"/>
              </w:rPr>
              <w:t>public share and (ii) the actual amount per public share held in the trust account as of the date of the</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rPr>
              <w:t>liquidation of the trust account, if less than $10.00 per share due to reductions in the value of the</w:t>
            </w:r>
          </w:p>
        </w:tc>
      </w:tr>
      <w:tr>
        <w:trPr>
          <w:trHeight w:val="203"/>
        </w:trPr>
        <w:tc>
          <w:tcPr>
            <w:tcW w:w="2400" w:type="dxa"/>
            <w:vAlign w:val="bottom"/>
          </w:tcPr>
          <w:p>
            <w:pPr>
              <w:spacing w:after="0"/>
              <w:rPr>
                <w:sz w:val="17"/>
                <w:szCs w:val="17"/>
                <w:color w:val="auto"/>
              </w:rPr>
            </w:pPr>
          </w:p>
        </w:tc>
        <w:tc>
          <w:tcPr>
            <w:tcW w:w="8840" w:type="dxa"/>
            <w:vAlign w:val="bottom"/>
          </w:tcPr>
          <w:p>
            <w:pPr>
              <w:ind w:left="840"/>
              <w:spacing w:after="0" w:line="202" w:lineRule="exact"/>
              <w:rPr>
                <w:sz w:val="20"/>
                <w:szCs w:val="20"/>
                <w:color w:val="auto"/>
              </w:rPr>
            </w:pPr>
            <w:r>
              <w:rPr>
                <w:rFonts w:ascii="Arial" w:cs="Arial" w:eastAsia="Arial" w:hAnsi="Arial"/>
                <w:sz w:val="18"/>
                <w:szCs w:val="18"/>
                <w:color w:val="auto"/>
              </w:rPr>
              <w:t>trust assets, less taxes payable, provided that such liability will not apply to any claims by a third</w:t>
            </w:r>
          </w:p>
        </w:tc>
      </w:tr>
      <w:tr>
        <w:trPr>
          <w:trHeight w:val="196"/>
        </w:trPr>
        <w:tc>
          <w:tcPr>
            <w:tcW w:w="2400" w:type="dxa"/>
            <w:vAlign w:val="bottom"/>
            <w:tcBorders>
              <w:bottom w:val="single" w:sz="8" w:color="auto"/>
            </w:tcBorders>
          </w:tcPr>
          <w:p>
            <w:pPr>
              <w:spacing w:after="0"/>
              <w:rPr>
                <w:sz w:val="17"/>
                <w:szCs w:val="17"/>
                <w:color w:val="auto"/>
              </w:rPr>
            </w:pPr>
          </w:p>
        </w:tc>
        <w:tc>
          <w:tcPr>
            <w:tcW w:w="8840" w:type="dxa"/>
            <w:vAlign w:val="bottom"/>
            <w:tcBorders>
              <w:bottom w:val="single" w:sz="8" w:color="auto"/>
            </w:tcBorders>
          </w:tcPr>
          <w:p>
            <w:pPr>
              <w:ind w:left="840"/>
              <w:spacing w:after="0" w:line="196" w:lineRule="exact"/>
              <w:rPr>
                <w:sz w:val="20"/>
                <w:szCs w:val="20"/>
                <w:color w:val="auto"/>
              </w:rPr>
            </w:pPr>
            <w:r>
              <w:rPr>
                <w:rFonts w:ascii="Arial" w:cs="Arial" w:eastAsia="Arial" w:hAnsi="Arial"/>
                <w:sz w:val="18"/>
                <w:szCs w:val="18"/>
                <w:color w:val="auto"/>
              </w:rPr>
              <w:t>party or prospective target business who</w:t>
            </w:r>
          </w:p>
        </w:tc>
      </w:tr>
      <w:tr>
        <w:trPr>
          <w:trHeight w:val="359"/>
        </w:trPr>
        <w:tc>
          <w:tcPr>
            <w:tcW w:w="2400" w:type="dxa"/>
            <w:vAlign w:val="bottom"/>
          </w:tcPr>
          <w:p>
            <w:pPr>
              <w:spacing w:after="0"/>
              <w:rPr>
                <w:sz w:val="24"/>
                <w:szCs w:val="24"/>
                <w:color w:val="auto"/>
              </w:rPr>
            </w:pPr>
          </w:p>
        </w:tc>
        <w:tc>
          <w:tcPr>
            <w:tcW w:w="8840" w:type="dxa"/>
            <w:vAlign w:val="bottom"/>
          </w:tcPr>
          <w:p>
            <w:pPr>
              <w:ind w:left="312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61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53619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40" w:right="80"/>
        <w:spacing w:after="0" w:line="235" w:lineRule="auto"/>
        <w:rPr>
          <w:sz w:val="20"/>
          <w:szCs w:val="20"/>
          <w:color w:val="auto"/>
        </w:rPr>
      </w:pPr>
      <w:r>
        <w:rPr>
          <w:rFonts w:ascii="Arial" w:cs="Arial" w:eastAsia="Arial" w:hAnsi="Arial"/>
          <w:sz w:val="18"/>
          <w:szCs w:val="18"/>
          <w:color w:val="auto"/>
        </w:rPr>
        <w:t>executed a waiver of any and all rights to the monies held in the trust account (whether or not such waiver is enforceable) nor will it apply to any claims under our indemnity of the underwriter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directors or members of our sponsor will indemnify us for claims by third parties including, without limitation, claims by vendors and prospective target businesses.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w:t>
      </w:r>
    </w:p>
    <w:p>
      <w:pPr>
        <w:spacing w:after="0" w:line="13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are a newly formed company that has conducted no operations and has generated no revenues. Until we complete our initial business combination (at the earliest),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the section of this prospectus entitled “Proposed Business— Comparison of This Offering to Those of Blank Check Companies Subject to Rule 419.” You should carefully consider these and the other risks set forth in the section of this prospectus entitled “Risk Factors.”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Summary financial data</w:t>
      </w:r>
    </w:p>
    <w:p>
      <w:pPr>
        <w:spacing w:after="0" w:line="134"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Actual</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98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3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Working capital (deficiency)</w:t>
            </w:r>
          </w:p>
        </w:tc>
        <w:tc>
          <w:tcPr>
            <w:tcW w:w="4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(150,279)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4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174,129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Total liabilities</w:t>
            </w:r>
          </w:p>
        </w:tc>
        <w:tc>
          <w:tcPr>
            <w:tcW w:w="4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150,279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4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If our initial business combination is not completed within 24 months from the closing of this offering or during any Extension Period, the proceeds then on deposit in the trust account, including interest earned on the funds held in the trust account and not previously released to us to pay our franchise and income taxes (less up to $100,000 of interest to pay dissolution expenses), will be used to fund the redemption of our public shares. Our sponsor and each of our officers and directors have entered into a letter agreement with us pursuant to which they have agreed to waive their rights to liquidating distributions from the trust account with respect to their founder shares if we fail to complete our initial business combination within such 24-month time period or during any Extension Period.</w:t>
      </w: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520"/>
        <w:spacing w:after="0" w:line="286" w:lineRule="auto"/>
        <w:rPr>
          <w:sz w:val="20"/>
          <w:szCs w:val="20"/>
          <w:color w:val="auto"/>
        </w:rPr>
      </w:pPr>
      <w:r>
        <w:rPr>
          <w:rFonts w:ascii="Arial" w:cs="Arial" w:eastAsia="Arial" w:hAnsi="Arial"/>
          <w:sz w:val="32"/>
          <w:szCs w:val="32"/>
          <w:b w:val="1"/>
          <w:bCs w:val="1"/>
          <w:color w:val="auto"/>
        </w:rPr>
        <w:t>Cautionary note regarding forward-looking statements and risk factor summary</w:t>
      </w:r>
    </w:p>
    <w:p>
      <w:pPr>
        <w:spacing w:after="0" w:line="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statements in this prospectus may constitute “forward-looking statements.”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16"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being a company with no operating history and no revenues;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17"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particularly given competition from other blank check companies and financial and strategic buyers;</w:t>
      </w:r>
    </w:p>
    <w:p>
      <w:pPr>
        <w:spacing w:after="0" w:line="114"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 including competitive prospects of the business following our initial business combination;</w:t>
      </w:r>
    </w:p>
    <w:p>
      <w:pPr>
        <w:spacing w:after="0" w:line="114" w:lineRule="exact"/>
        <w:rPr>
          <w:rFonts w:ascii="Arial" w:cs="Arial" w:eastAsia="Arial" w:hAnsi="Arial"/>
          <w:sz w:val="18"/>
          <w:szCs w:val="18"/>
          <w:color w:val="auto"/>
        </w:rPr>
      </w:pPr>
    </w:p>
    <w:p>
      <w:pPr>
        <w:ind w:left="220" w:right="98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14"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variety and characteristics of prospective target businesses;</w:t>
      </w:r>
    </w:p>
    <w:p>
      <w:pPr>
        <w:spacing w:after="0" w:line="117" w:lineRule="exact"/>
        <w:rPr>
          <w:rFonts w:ascii="Arial" w:cs="Arial" w:eastAsia="Arial" w:hAnsi="Arial"/>
          <w:sz w:val="18"/>
          <w:szCs w:val="18"/>
          <w:color w:val="auto"/>
        </w:rPr>
      </w:pPr>
    </w:p>
    <w:p>
      <w:pPr>
        <w:jc w:val="both"/>
        <w:ind w:left="220" w:right="400" w:hanging="212"/>
        <w:spacing w:after="0" w:line="238"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amidst the uncertainty resulting from the ongoing COVID-19 pandemic, and the effects of the ongoing pandemic on the life sciences subsector and related industries, the economy and any business or businesses with which we consummate our initial business combination;</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performance following this offering;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risks and uncertainties discussed in “Risk Factors” and elsewhere in this prospectus.</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shares.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search for, and consummation of or inability to consummate, a business combination</w:t>
      </w:r>
    </w:p>
    <w:p>
      <w:pPr>
        <w:spacing w:after="0" w:line="114"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reasons.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However, except as required by applicable law or stock exchange rules,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 Please see the section of this prospectus entitled “Proposed Business—Stockholders May Not Have the Ability to Approve Our Initial Business Combination” for additional information.</w:t>
      </w:r>
    </w:p>
    <w:p>
      <w:pPr>
        <w:spacing w:after="0" w:line="8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and each of our officers and directors have agreed to vote in favor of such initial business combination, regardless of how our public stockholders vote.</w:t>
      </w:r>
    </w:p>
    <w:p>
      <w:pPr>
        <w:spacing w:after="0" w:line="8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Pursuant to a letter agreement, our sponsor and each of our officers and directors have agreed to vote their founder shares, as well as any public shares purchased during or after this offering (including in open market and privately negotiated transactions), in favor of our initial business combination. As a result, assuming all outstanding shares are voted and the underwriter’s over-allotment option is not exercised, in addition to the founder shares, we would need only 7,172,251, or 35.9%, of the 20,000,000 public shares sold in this offering to be voted in favor of an initial business combination in order to have our initial business combination approved. Assuming only the minimum number of shares representing a quorum are voted and the underwriter’s over-allotment option is not exercised, in addition to the founder shares, we would not need any of the 20,000,000 public shares sold in this offering to be voted in favor of an initial business combination in order to have our initial business combination approved. Our sponsor and certain of our officers and directors will own shares representing 20% of our outstanding shares of common stock immediately following the completion of this offering (excluding the private placement shares). Accordingly, if we seek stockholder approval of our initial business combination, the agreement by our sponsor and each of our officers and directors to vote in favor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our initial business combination will increase the likelihood that we will receive the requisite stockholder approval for such initial business combination.</w:t>
      </w:r>
    </w:p>
    <w:p>
      <w:pPr>
        <w:spacing w:after="0" w:line="81" w:lineRule="exact"/>
        <w:rPr>
          <w:sz w:val="20"/>
          <w:szCs w:val="20"/>
          <w:color w:val="auto"/>
        </w:rPr>
      </w:pPr>
    </w:p>
    <w:p>
      <w:pPr>
        <w:ind w:right="660"/>
        <w:spacing w:after="0" w:line="248"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initial business combination will be limited to the exercise of your right to redeem your shares from us for cash, unless we seek stockholder approval of the initial business combination.</w:t>
      </w:r>
    </w:p>
    <w:p>
      <w:pPr>
        <w:spacing w:after="0" w:line="94"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Accordingly, if we do not seek stockholder approval, your only opportunity to affect the investment decision regarding a potential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80" w:lineRule="exact"/>
        <w:rPr>
          <w:sz w:val="20"/>
          <w:szCs w:val="20"/>
          <w:color w:val="auto"/>
        </w:rPr>
      </w:pPr>
    </w:p>
    <w:p>
      <w:pPr>
        <w:ind w:right="540"/>
        <w:spacing w:after="0" w:line="325" w:lineRule="auto"/>
        <w:rPr>
          <w:sz w:val="20"/>
          <w:szCs w:val="20"/>
          <w:color w:val="auto"/>
        </w:rPr>
      </w:pPr>
      <w:r>
        <w:rPr>
          <w:rFonts w:ascii="Arial" w:cs="Arial" w:eastAsia="Arial" w:hAnsi="Arial"/>
          <w:sz w:val="16"/>
          <w:szCs w:val="16"/>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in no event will we redeem our public shares in an amount that would cause our net tangible assets to be less than $5,000,001 upon consummation of our initial business combination and after payment of deferred underwriting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upon consummation of our initial business combination and after payment of deferred underwriting commissions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8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 than we initially expected, we may need to restructure the transaction to reserve a greater portion of the cash in the trust account or arrange for third-party financing. Raising additional third-party financing may involve dilutive equity issuances or the incurrence of indebtedness at higher than desirable levels. Furthermore, this dilution would increase to the extent that the anti-dilution provisions of the Class B common stock result in the issuance of Class A shares on a greater than one-to-one basis upon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conversion of the Class B common stock at the time of our initial business combination.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stockholders who properly exercise their redemption rights will not be reduced by the deferred underwriting commissions and after such redemptions, the per-share value of shares held by non-redeeming stockholders will reflect our obligation to pay the deferred underwriting commissions.</w:t>
      </w:r>
    </w:p>
    <w:p>
      <w:pPr>
        <w:spacing w:after="0" w:line="82"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5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9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24 months from the closing of this offering or seek a stockholder approved extension of such period.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81"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ongoing coronavirus (COVID-19) outbreak or any future pandemic and the status of debt and equity markets.</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Since December 2019, a novel strain of coronavirus that causes COVID-19 has spread throughout the world, including the United States. On January 30, 2020, the World Health Organization declared the outbreak of COVID- 19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COVID-19 outbreak as a “pandemic.” The COVID-19 pandemic has resulted, and other infectious diseases could result, in a widespread health crisis that has and will continue to adversely affect economies and financial markets worldwide, and the business of any potential target business with which we consummate a business combination may also be materially and adversely affected. Furthermore, we may be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or if COVID-19 causes a prolonged economic downturn. The effects of the COVID- 19 pandemic on businesses, and the inability to accurately predict the future impact of the pandemic on businesses, has also made determinations and negotiations of valuation more difficult, which could make it more difficult to consummate a business combination transaction.</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extent to which COVID-19 ultimately impacts our identification and consummation of a business combination will depend on future developments, which are highly uncertain and cannot be predicted, including new information which may emerge concerning the severity and spread of COVID-19 and actions to contain the virus or treat its impact, among others. If the disruptions posed by COVID-19 or other matters of global concern continue for an extended period of time, our ability to consummate a business combination, or the operations of a target business with which we ultimately consummate a business combination, may be materially adversely affected.</w:t>
      </w:r>
    </w:p>
    <w:p>
      <w:pPr>
        <w:spacing w:after="0" w:line="1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our ability to consummate a business combination may be dependent on the ability to raise equity and debt financing which may be adversely impacted by COVID-19 and other events, including as a result of increased market volatility, decreased market liquidity and third-party financing being available on terms acceptable to us or at all.</w:t>
      </w:r>
    </w:p>
    <w:p>
      <w:pPr>
        <w:spacing w:after="0" w:line="8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If we seek or complete an initial business combination with a business in the life sciences subsector or related industries, we may face COVID-19 or other pandemic related risk that are specific to such companies.</w:t>
      </w:r>
    </w:p>
    <w:p>
      <w:pPr>
        <w:spacing w:after="0" w:line="8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life science sector faces specific requirements such as access to labs, involving unique reagents and equipment, which can be adversely impacted by COVID-19 or other pandemics. Access and cost can be adversely impacted, and if a company cannot access critical reagents or provide support and services, this can adversely impact product development or commercialization in the life sciences subsector and related industries. Further, crucial talent and employees may be more difficult to access due to pandemic-related and/or remote working conditions. In addition, a pandemic could limit our ability to access data on-premises. These risks may also adversely impact our ability to engage in due diligence and successfully complete an initial business combination.</w:t>
      </w:r>
    </w:p>
    <w:p>
      <w:pPr>
        <w:spacing w:after="0" w:line="8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We may not be able to complete our initial business combination within the prescribed timeframe, in which case we would cease all operations except for the purpose of winding up and we would redeem our public shares and liquidate, in which case our public stockholders may only receive $10.00 per share, or less than such amount in certain circumstances.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amended and restated certificate of incorporation provides that we must complete our initial business combination within 24 months from the closing of this offering. We may not be able to find a suitable target business and complete our initial business combination within such time period. If we have not completed our initial business combination within such time period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1" w:lineRule="exact"/>
        <w:rPr>
          <w:sz w:val="20"/>
          <w:szCs w:val="20"/>
          <w:color w:val="auto"/>
        </w:rPr>
      </w:pPr>
    </w:p>
    <w:p>
      <w:pPr>
        <w:ind w:right="560" w:firstLine="8"/>
        <w:spacing w:after="0" w:line="239" w:lineRule="auto"/>
        <w:tabs>
          <w:tab w:leader="none" w:pos="2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dissolve and liquidate, subject in each case to our obligations under Delaware law to provide for claims of creditors and the requirements of other applicable law. In such case, our public stockholders may only receive $10.00 per share. In certain circumstances, our public stockholders may receive less than $10.00 per share on the redemption of their shares. See “—If third parties bring claims against us, the proceeds held in the trust account could be reduced and the per-share redemption amount received by stockholders may be less than $10.00 per share” and other risk factors below.</w:t>
      </w:r>
    </w:p>
    <w:p>
      <w:pPr>
        <w:spacing w:after="0" w:line="83"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their affiliates may elect to purchase public shares from public stockholders, which may influence a vote on a proposed initial business combination and reduce the public “float” of our Class A common stock.</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their affiliates may purchase public shares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public shares in such transactions.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public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an initial business combination that may not otherwise have been possible. Any such purchases will be reported pursuant to Section 13 and Section 16 of the Exchange Act to the extent such purchasers are subject to such reporting requirements.</w:t>
      </w:r>
    </w:p>
    <w:p>
      <w:pPr>
        <w:spacing w:after="0" w:line="10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and the number of beneficial holders of our securities may be reduced, possibly making it difficult to obtain or maintain the quotation, listing or trading of our securities on a national securities exchange.</w:t>
      </w:r>
    </w:p>
    <w:p>
      <w:pPr>
        <w:spacing w:after="0" w:line="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8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which may include the requirement that a beneficial holder must identify itself. For example, we may require our public stockholders seeking to exercise their redemption rights, whether they are record holders or hold their shares in “street name,” to either tender their certificates to our transfer agent prior to the date set forth in the tender</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32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offer documents or proxy materials mailed to such holders, or up to two business days prior to the initial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Business—Redemption Rights for Public Stockholders upon Completion of our Initial Business Combination—Tendering Stock Certificates in Connection with a Tender Offer or Redemption Rights.”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12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Since the net proceeds of this offering and the sale of the private placement shares are intended to be used to complete an initial business combination with a target business that has not been identified, we may be deemed to be a “blank check” company under the United States securities laws. However, because we will have net tangible assets in excess of $5,000,000 upon the successful completion of this offering and the sale of the private placement shares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shares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Business—Comparison of This Offering to Those of Blank Check Companies Subject to Rule 419.”</w:t>
      </w:r>
    </w:p>
    <w:p>
      <w:pPr>
        <w:spacing w:after="0" w:line="86"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will not restrict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As a result, you will continue to hold that number of shares exceeding 15% and, in order to dispose of such shares, would be required to sell your stock in open market transactions, potentially at a loss.</w:t>
      </w:r>
    </w:p>
    <w:p>
      <w:pPr>
        <w:spacing w:after="0" w:line="26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initial business combination, and there are still many special purpose acquisition companies preparing for an initial public offering, as well as many such companies currently in registration. As a result, at times, fewer attractive targets may be available to consummate an initial business combination.</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or at all.</w:t>
      </w:r>
    </w:p>
    <w:p>
      <w:pPr>
        <w:spacing w:after="0" w:line="81"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b w:val="1"/>
          <w:bCs w:val="1"/>
          <w:i w:val="1"/>
          <w:iCs w:val="1"/>
          <w:color w:val="auto"/>
        </w:rPr>
        <w:t>Because of our special purpose acquisition company structure and limited resources and the significant competition for business combination opportunities, it may be more difficult for us to complete our initial business combination. If we do not complete our initial business combination, our public stockholders may receive only approximately $10.00 per share on our redemption of our public shares, or less than such amount in certain circumstances.</w:t>
      </w:r>
    </w:p>
    <w:p>
      <w:pPr>
        <w:spacing w:after="0" w:line="9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expect to encounter competition from other entities having a business objective similar to ours, including private investors (which may be individuals or investment partnerships), other blank check companies and other entities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similar technical, human and other resources to ours, and our financial resources will be relatively limited when contrasted with those of many of these competitors. While we believe there are numerous target businesses we could potentially acquire with the net proceeds of this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Class A common stock which our public stockholders redeem in connection with our initial business combination, target companies will be aware that this may present closing risk by reducing the resources available to us for our initial business combination. Additionally, potential target companies may be less inclined to consummate a transaction with us because definitive documentation for such a transaction will preclude any recourse against our trust account, meaning that potential counterparties may determine that they do not have adequate contractual remedies in the event a transaction fails to close. These factors may place us at a competitive disadvantage in successfully negotiating an initial business combination. If we do not complete our initial business combination, our public stockholders may receive only approximately $10.00 per share on the liquidation of our trust account. In certain circumstances, our public stockholders may receive less than $10.00 per share upon our liquidation. See “—If third parties bring claims against us, the proceeds held in the trust account could be reduced and the per-share redemption amount received by stockholders may be less than $10.00 per share” and other risk factors below.</w:t>
      </w:r>
    </w:p>
    <w:p>
      <w:pPr>
        <w:spacing w:after="0" w:line="8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If the net proceeds of this offering and the sale of the private placement shares not being held in the trust account are insufficient to allow us to operate for at least the next 24 months, we may be unable to complete our initial business combination, in which case, our public stockholders may only receive $10.00 per share, or less than such amount in certain circumstances.</w:t>
      </w:r>
    </w:p>
    <w:p>
      <w:pPr>
        <w:spacing w:after="0" w:line="9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funds available to us outside of the trust account may not be sufficient to allow us to operate for at least the next 24 months, assuming that our initial business combination is not completed during that time. We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believe that, upon the closing of this offering, the funds available to us outside of the trust account will be sufficient to allow us to operate for at least the next 24 months;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other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do not complete our initial business combination, our public stockholders may receive only approximately $10.00 per share on the liquidation of our trust account. In certain circumstances, our public stockholders may receive less than $10.00 per share upon our liquidation. See “—If third parties bring claims against us, the proceeds held in the trust account could be reduced and the per-share redemption amount received by stockholders may be less than $10.00 per share” and other risk factors below.</w:t>
      </w:r>
    </w:p>
    <w:p>
      <w:pPr>
        <w:spacing w:after="0" w:line="8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If the net proceeds of this offering and the sale of the private placement shares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franchise and income taxes and to complete our initial business combination. If we are unable to obtain these loans, we may be unable to complete our initial business combination.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Of the net proceeds of this offering and the sale of the private placement shares, only approximately $1,100,000 will be available to us initially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outside the trust account to fund our working capital requirements. In the event that our offering expenses exceed our estimate of $1,455,000,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we may fund such excess with funds not to be held in the trust account. In such case, the amount of funds we intend to be held outside the trust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account would decrease by a corresponding amount. The amount held in the trust account will not be impacted as a result of such increase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decrease. Conversely, in the event that the offering expenses are less than our estimate of $1,455,000, the amount of funds we intend to be held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outside the trust account would increase by a corresponding amount. If we are required to seek additional capital, we would need to borrow</w:t>
      </w:r>
    </w:p>
    <w:p>
      <w:pPr>
        <w:spacing w:after="0" w:line="234" w:lineRule="auto"/>
        <w:rPr>
          <w:sz w:val="20"/>
          <w:szCs w:val="20"/>
          <w:color w:val="auto"/>
        </w:rPr>
      </w:pPr>
      <w:r>
        <w:rPr>
          <w:rFonts w:ascii="Arial" w:cs="Arial" w:eastAsia="Arial" w:hAnsi="Arial"/>
          <w:sz w:val="18"/>
          <w:szCs w:val="18"/>
          <w:color w:val="auto"/>
        </w:rPr>
        <w:t>funds from our sponsor, management team or other third parties to operate or may be forced to liquidate. None of our sponsor, officers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directors, nor any of their affiliates, is under any obligation to advance funds to us in such circumstances. Any such advances would be repaid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only from funds held outside the trust account or from funds released to us upon completion of our initial business combination. Up to</w:t>
      </w:r>
    </w:p>
    <w:p>
      <w:pPr>
        <w:spacing w:after="0"/>
        <w:rPr>
          <w:sz w:val="20"/>
          <w:szCs w:val="20"/>
          <w:color w:val="auto"/>
        </w:rPr>
      </w:pPr>
      <w:r>
        <w:rPr>
          <w:rFonts w:ascii="Arial" w:cs="Arial" w:eastAsia="Arial" w:hAnsi="Arial"/>
          <w:sz w:val="16"/>
          <w:szCs w:val="16"/>
          <w:color w:val="auto"/>
        </w:rPr>
        <w:t>$2,000,000 of such loans may be convertible into shares of the post-business combination entity at a price of $10.00 per share at the option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lender. The shares would be identical to the private placement shares. Prior to the completion of our initial business combination, we do not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expect to seek loans from parties other than our sponsor, or an affiliate of our sponsor, as we do not believe third parties will be willing to loan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such funds and provide a waiver against any and all rights to seek access to funds in our trust account. If we are unable to obtain these loans,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we may be unable to complete our initial business combination. If we do not complete our initial business combination because we do not have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sufficient funds available to us, we will be forced to cease operations and liquidate the trust account. Consequently, our public stockholders may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only receive approximately $10.00 per share on our redemption of our public shares. In certain circumstances, our public stockholders may</w:t>
      </w:r>
    </w:p>
    <w:p>
      <w:pPr>
        <w:spacing w:after="0" w:line="234" w:lineRule="auto"/>
        <w:rPr>
          <w:sz w:val="20"/>
          <w:szCs w:val="20"/>
          <w:color w:val="auto"/>
        </w:rPr>
      </w:pPr>
      <w:r>
        <w:rPr>
          <w:rFonts w:ascii="Arial" w:cs="Arial" w:eastAsia="Arial" w:hAnsi="Arial"/>
          <w:sz w:val="18"/>
          <w:szCs w:val="18"/>
          <w:color w:val="auto"/>
        </w:rPr>
        <w:t>receive less than $10.00 per share on the redemption of their shares. See “—If third parties bring claims against us, the proceeds held in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trust account could be reduced and the per-share redemption amount received by stockholders may be less than $10.00 per share” and other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risk factors below.</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 share redemption amount received by stockholders may be less than $10.00 per share.</w:t>
      </w:r>
    </w:p>
    <w:p>
      <w:pPr>
        <w:spacing w:after="0" w:line="8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team will perform an analysis of the alternatives available to it and will only enter into an agreement with a third party that has not executed a waiver if our management team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Marcum LLP, our independent registered public accounting firm, and the underwriter of this offering will not execute agreements with us waiving such claims to the monies held in the trust account.</w:t>
      </w:r>
    </w:p>
    <w:p>
      <w:pPr>
        <w:spacing w:after="0" w:line="28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our management team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do not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stockholders could be less than the $10.00 per share initially held in the trust account, due to claims of such creditors. Pursuant to a letter agreement,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of our officers, directors or members of our sponsor will indemnify us for claims by third parties including, without limitation, claims by vendors and prospective target businesses.</w:t>
      </w:r>
    </w:p>
    <w:p>
      <w:pPr>
        <w:spacing w:after="0" w:line="8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8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Involvement of members of our management and companies with which they are affiliated in civil disputes and litigation, governmental investigations or negative publicity unrelated to our business affairs could materially impact our ability to consummate an initial business combination.</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directors and officers and companies with which they are affiliated have been, and in the future will continue to be, involved in a wide variety of business affairs, including transactions, such as sales and purchases of businesses, and ongoing operations. As a result of such involvement, members of our management and companies with which they are affiliated in have been, and may in the future be, involved in civil disputes, litigation, governmental investigations and negative publicity relating to their business affairs. Any such claims, investigations, lawsuits or negative publicity may be detrimental to our reputation and could negatively affect our ability to identify and complete an initial business combination in a material manner and may have an adverse effect on the price of our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agreed to indemnify our officers and directors to the fullest extent permitted by law. However,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 share redemption amount received by public stockholders may be less than $10.00 per share.</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net proceeds of this offering and certain proceeds from the sale of the private placement shares, in the amount of $200,000,000, will be held in an interest-bearing trust account. The proceeds held in the trust account may only be invested in direct U.S. government securities with a maturity of 185 days or less, or in certain money market funds which invest only in direct U.S.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withdraw to pay income taxes, if any) would be reduced. In the event that we are unable to complete our initial business combination, our public stockholders are entitled to receive their share of the proceeds held in the trust account, plus any interest income. If the balance of the trust account is reduced below $200,000,000 as a result of negative interest rates, the amount of funds in the trust account available for distribution to our public stockholders may be reduced below $10.00 per share.</w:t>
      </w:r>
    </w:p>
    <w:p>
      <w:pPr>
        <w:spacing w:after="0" w:line="8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9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82" w:lineRule="exact"/>
        <w:rPr>
          <w:sz w:val="20"/>
          <w:szCs w:val="20"/>
          <w:color w:val="auto"/>
        </w:rPr>
      </w:pPr>
    </w:p>
    <w:p>
      <w:pPr>
        <w:jc w:val="both"/>
        <w:ind w:right="320"/>
        <w:spacing w:after="0" w:line="244" w:lineRule="auto"/>
        <w:rPr>
          <w:sz w:val="20"/>
          <w:szCs w:val="20"/>
          <w:color w:val="auto"/>
        </w:rPr>
      </w:pPr>
      <w:r>
        <w:rPr>
          <w:rFonts w:ascii="Arial" w:cs="Arial" w:eastAsia="Arial" w:hAnsi="Arial"/>
          <w:sz w:val="18"/>
          <w:szCs w:val="18"/>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9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83"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17"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restrictions on the nature of our investments; and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100" w:firstLine="8"/>
        <w:spacing w:after="0" w:line="364" w:lineRule="auto"/>
        <w:tabs>
          <w:tab w:leader="none" w:pos="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2"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ind w:left="220" w:hanging="212"/>
        <w:spacing w:after="0" w:line="234"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0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w:t>
      </w:r>
    </w:p>
    <w:p>
      <w:pPr>
        <w:spacing w:after="0" w:line="187" w:lineRule="exact"/>
        <w:rPr>
          <w:sz w:val="20"/>
          <w:szCs w:val="20"/>
          <w:color w:val="auto"/>
        </w:rPr>
      </w:pPr>
    </w:p>
    <w:p>
      <w:pPr>
        <w:ind w:firstLine="8"/>
        <w:spacing w:after="0" w:line="236" w:lineRule="auto"/>
        <w:tabs>
          <w:tab w:leader="none" w:pos="2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any other provision relating to stockholders’ rights or pre-initial business combination activity; or (iii) absent an initial business combination within 24 months from the closing of this offering or during any Extension Period,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do not complete our initial business combination, our public stockholders may receive only approximately $10.00 per share on the liquidation of our trust account.</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w:t>
      </w:r>
    </w:p>
    <w:p>
      <w:pPr>
        <w:spacing w:after="0" w:line="8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w:t>
      </w:r>
    </w:p>
    <w:p>
      <w:pPr>
        <w:spacing w:after="0" w:line="8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If we have not completed an initial business combination within 24 months from the closing of this offering, our public stockholders may be forced to wait beyond such 24 months before redemption from our trust account.</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have not completed an initial business combination within 24 months from the closing of this offering or during any Extension Period, the proceeds then on deposit in the trust account, including interest earned on the funds held in the trust account and not previously released to us to pay taxes (less up to $100,000 of the interest to pay dissolution expenses), will be used to fund the redemption of our public shares, as further described herein. Any redemption of public stockholders from the trust account will be effected automatically by function of our amended and restated certificate of incorporation prior to any voluntary winding up. If we are required to wind-up, liquidate the trust account and distribute such amount therein, pro rata, to our public stockholders, as part of any liquidation process, such winding up, liquidation and distribution must comply with the applicable provisions of the DGCL. In that case, investors may be forced to wait beyond 24 months from the closing of this offering or the expiration of any Extension Period before the redemption proceeds of our trust account become available to them, and they receive the return of their pro rata portion of the proceeds from our trust account. We have no obligation to return funds to investors prior to the date of our redemption of public shares or liquidation unless we complete our initial business combination prior thereto and only then in cases where investors have sought to redeem their Class A common stock. Only upon our redemption or any liquidation will public stockholders be entitled to distributions if we do not complete our initial business combination.</w:t>
      </w:r>
    </w:p>
    <w:p>
      <w:pPr>
        <w:spacing w:after="0" w:line="8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8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or during any Extension Period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 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end of the 24</w:t>
      </w:r>
      <w:r>
        <w:rPr>
          <w:rFonts w:ascii="Arial" w:cs="Arial" w:eastAsia="Arial" w:hAnsi="Arial"/>
          <w:sz w:val="11"/>
          <w:szCs w:val="11"/>
          <w:color w:val="auto"/>
        </w:rPr>
        <w:t>th</w:t>
      </w:r>
      <w:r>
        <w:rPr>
          <w:rFonts w:ascii="Arial" w:cs="Arial" w:eastAsia="Arial" w:hAnsi="Arial"/>
          <w:sz w:val="18"/>
          <w:szCs w:val="18"/>
          <w:color w:val="auto"/>
        </w:rPr>
        <w:t xml:space="preserve"> month after the closing of this offering or the expiration of any Extension Period in the event we do not complete our initial business combination and, therefore, we do not intend to comply with the foregoing procedures.</w:t>
      </w:r>
    </w:p>
    <w:p>
      <w:pPr>
        <w:spacing w:after="0" w:line="1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ten years following our dissolution. However, because we are a blank check company, rather than an operating company, and our operations will be limited to searching for prospective target businesses to acquire, the only likely claims to arise would be from our vendors (such 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or during any Extension Period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Therefore, if our stockholders want us to hold an annual meeting prior to our consummation of a business combination, they may attempt to force us to hold one by submitting an application to the Delaware Court of Chancery in accordance with Section 211(c) of the DGCL.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letter agreement with our sponsor, officers and directors may be amended without stockholder approval.</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letter agreement with our sponsor, officers and directors contain provisions relating to transfer restrictions of our founder shares and private placement shares, indemnification of the trust account, waiver of redemption rights and participation in liquidating distributions from the trust account. The letter agreement may be amended without stockholder approval (although releasing the parties from the restriction not to transfer the founder shares for 180 days following the date of this prospectus will require the prior written consent of the underwriter).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stockholders and may have an adverse effect on the value of an investment in our securities.</w:t>
      </w:r>
    </w:p>
    <w:p>
      <w:pPr>
        <w:spacing w:after="0" w:line="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may make it more difficult to complete our initial business combination, and the future exercise of such rights may adversely affect the market price of our Class A common stock.</w:t>
      </w:r>
    </w:p>
    <w:p>
      <w:pPr>
        <w:spacing w:after="0" w:line="8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initial stockholders and their permitted transferees can demand that we register the Class A common stock into which founder shares are convertible, the private placement shares and the Class A common stock issuable upon exercise of the private placement shares. The registration and availability of such a significant number of securities for trading in the public market may have an adverse effect on the market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securities that is expected when the securities owned by our initial stockholders or their permitted transferees are registered for resale.</w:t>
      </w:r>
    </w:p>
    <w:p>
      <w:pPr>
        <w:spacing w:after="0" w:line="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Any stockholders who choose to remain stockholders following our initial business combination could suffer a reduction in the value of their securities.</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will seek to complete an initial business combination with companies focusing on the life sciences subsector and related industries, but may also pursue other business combination opportunities,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shares will ultimately prove to be more favorable to investors than a direct investment, if such opportunity were available, in a business combination target. Accordingly, any stockholders who choose to remain stockholders following our initial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85"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b w:val="1"/>
          <w:bCs w:val="1"/>
          <w:i w:val="1"/>
          <w:iCs w:val="1"/>
          <w:color w:val="auto"/>
        </w:rPr>
        <w:t>We may seek business combination opportunities in industries or sectors which may or may not be outside of our management team’s area of expertise.</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Although we intend to focus on identifying companies focusing on the life sciences subsector and related industries, we will consider an initial business combination outside of our management team’s area of expertise if an initial business combination candidate is presented to us and we determine that such candidate offers an attractive business combination opportunity for our company or we are unable to identify a suitable candidate in this sector after having expanded a reasonable amount of time and effort in an attempt to do so. Although our management team will endeavor to evaluate the risks inherent in any particular business combination candidate, we cannot assure you that we will adequately ascertain or assess all of the significant risk factors. We also cannot assure you that an investment in our shares will not ultimately prove to be less favorable to investors in this offering than a direct investment, if an opportunity were available, in an initial business combination candidate. In the event we elect to pursue a business combination outside of the areas of our management team’s expertise, our management team’s expertise may not be directly applicable to its evaluation or operation, and the information contained in this prospectus regarding the areas of our management team’s expertise would not be relevant to an understanding of the business that we elect to</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acquire. As a result, our management team may not be able to adequately ascertain or assess all of the significant risk factors associated with such an initial business combination. Accordingly, any stockholders who choose to remain stockholders following our initial business combination could suffer a reduction in the value of their shares. Such stockholders are unlikely to have a remedy for such reduction in value.</w:t>
      </w:r>
    </w:p>
    <w:p>
      <w:pPr>
        <w:spacing w:after="0" w:line="8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consistent with our general criteria and guidelines.</w:t>
      </w:r>
    </w:p>
    <w:p>
      <w:pPr>
        <w:spacing w:after="0" w:line="96"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we decide to obtain stockholder approval for business or other reasons, it may be more difficult for us to attain stockholder approval of our initial business combination if the target business does not meet our general criteria and guidelines. If we do not complete our initial business combination, our public stockholders may receive only approximately $10.00 per share on the liquidation of our trust account. In certain circumstances, our public stockholders may receive less than $10.00 per share on the redemption of their shares. See “—If third parties bring claims against us, the proceeds held in the trust account could be reduced and the per-share redemption amount received by stockholders may be less than $10.00 per share” and other risk factors below.</w:t>
      </w:r>
    </w:p>
    <w:p>
      <w:pPr>
        <w:spacing w:after="0" w:line="266"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9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investing in a business without a proven business model and with limited historical financial data,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81"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another entity that commonly renders valuation opinions and, consequently, you may have no assurance from an independent source that the price we are paying for the business is fair to our company from a financial point of view.</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not prohibited from pursuing an initial business combination or subsequent transaction with a company that is affiliated with our sponsor, officers or directors. In the event we seek to complete our initial business combination or, subject to certain exceptions, subsequent material transactions with a company that is affiliated with our sponsor, officers or directors, we, or a committee of independent directors, to the extent required by applicable law or based upon the direction of our board of directors or a committee thereof, will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obtain an opinion from an independent investment banking firm or another entity that commonly renders valuation opinions that such initial business combination or transaction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8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We may issue additional shares of Class A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0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amended and restated certificate of incorporation authorizes the issuance of up to 100,000,000 shares of Class A common stock, 10,000,000 shares of Class B common stock and 1,000,000 shares of preferred stock. Immediately after this offering, there will be 79,344,500 and 5,000,000 (assuming, in each case, that the underwriter has not exercised their over-allotment option) authorized but unissued shares of Class A common stock and Class B common stock, respectively, available for issuance, which amount does not take into account the shares of Class A common stock reserved for issuance upon conversion of shares Class B common stock. Immediately after the consummation of this offering, there will be no shares of preferred stock issued and outstanding. Shares of Class B common stock are convertible into shares of our Class A common stock initially at a one-for-one ratio but subject to adjustment as set forth herein, including in certain circumstances in which we issue Class A common stock or equity-linked securities related to our initial business combination. Shares of Class B common stock are also convertible at the option of the holder at any time.</w:t>
      </w:r>
    </w:p>
    <w:p>
      <w:pPr>
        <w:spacing w:after="0" w:line="10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may issue a substantial number of additional shares of common or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contained in our amended and restated certificate of incorporation. However, our amended and restated certificate of incorporation provides, among other things, that prior to or in connection with our initial business combination, we may not issue additional shares of capital stock that would entitle the holders thereof to (i) 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sponsor and each of our officers and directors have agreed, pursuant to a letter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w:t>
      </w:r>
    </w:p>
    <w:p>
      <w:pPr>
        <w:spacing w:after="0" w:line="188" w:lineRule="exact"/>
        <w:rPr>
          <w:sz w:val="20"/>
          <w:szCs w:val="20"/>
          <w:color w:val="auto"/>
        </w:rPr>
      </w:pPr>
    </w:p>
    <w:p>
      <w:pPr>
        <w:ind w:right="120" w:firstLine="8"/>
        <w:spacing w:after="0" w:line="237" w:lineRule="auto"/>
        <w:tabs>
          <w:tab w:leader="none" w:pos="2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117" w:lineRule="exact"/>
        <w:rPr>
          <w:sz w:val="20"/>
          <w:szCs w:val="20"/>
          <w:color w:val="auto"/>
        </w:rPr>
      </w:pPr>
    </w:p>
    <w:p>
      <w:pPr>
        <w:ind w:left="5520" w:right="5500" w:hanging="5512"/>
        <w:spacing w:after="0" w:line="366" w:lineRule="auto"/>
        <w:tabs>
          <w:tab w:leader="none" w:pos="2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47</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117" w:lineRule="exact"/>
        <w:rPr>
          <w:rFonts w:ascii="Arial" w:cs="Arial" w:eastAsia="Arial" w:hAnsi="Arial"/>
          <w:sz w:val="18"/>
          <w:szCs w:val="18"/>
          <w:color w:val="auto"/>
        </w:rPr>
      </w:pPr>
    </w:p>
    <w:p>
      <w:pPr>
        <w:ind w:left="220" w:hanging="212"/>
        <w:spacing w:after="0" w:line="23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w:t>
      </w:r>
    </w:p>
    <w:p>
      <w:pPr>
        <w:spacing w:after="0" w:line="84"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Unlike many other similarly structured blank check companies, our initial stockholders will receive additional shares of Class A common stock if we issue shares to consummate an initial business combination.</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Class B common stock will automatically convert into Class A common stock at the time of our initial business combination, or earlier at the option of the holders, on a one-for-one basis, subject to adjustment as provided herein. In the case that additional shares of Class A common stock, or equity-linked securities convertible into or exercisable or exchangeable for Class A common stock, are issued or deemed issued in excess of the amounts offered in this prospectus and related to the closing of the initial business combination, the ratio at which founder shares shall convert into Class A common stock will be adjusted so that the number of Class A common stock issuable upon conversion of all shares of Class B common stock will equal, in the aggregate, on an as-converted basis, 20% of the sum of (i) the total number of all shares of common stock outstanding upon the completion of this offering (excluding the private placement shares), plus (ii) all shares of Class A common stock and equity- linked securities issued or deemed issued in connection with the initial business combination (excluding any shares of Class A common stock or equity-linked securities issued, or to be issued, to any seller in the initial business combination). This is different from most other similarly structured blank check companies in which the initial stockholder will only be issued an aggregate of 20% of the total number of shares to be outstanding prior to the initial business combination.</w:t>
      </w:r>
    </w:p>
    <w:p>
      <w:pPr>
        <w:spacing w:after="0" w:line="8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do not complete our initial business combination, our public stockholders may receive only approximately $10.00 per share, or less than such amount in certain circumstances, on the liquidation of our trust account.</w:t>
      </w:r>
    </w:p>
    <w:p>
      <w:pPr>
        <w:spacing w:after="0" w:line="9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our public stockholders may receive only approximately $10.00 per share on the liquidation of our trust account. In certain circumstances, our public stockholders may receive less than $10.00 per share on the redemption of their shares. See “—If third parties bring claims against us, the proceeds held in the trust account could be reduced and the per- share redemption amount received by stockholders may be less than $10.00 per share” and other risk factors below.</w:t>
      </w:r>
    </w:p>
    <w:p>
      <w:pPr>
        <w:spacing w:after="0" w:line="8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8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light of the involvement of our sponsor, officers and directors with other entities, we may decide to acquire one or more businesses with which our sponsor or one or more of our officers or directors is affiliated. Our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officers and directors also serve as officers and board members for other entities, including, without limitation, those described under the section of this prospectus entitled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Business—Selection of a Target Business and Structuring of our Initial Business Combination” and such transaction was approved by a majority of our disinterested directors. Despite our agreement, to the extent required by applicable law or based upon the direction of our board of directors or a committee thereof, to obtain an opinion from an independent investment banking firm or another entity that commonly renders valuation opinions from a financial point of view of an initial business combination with one or more domestic or international businesses affiliated with our sponsor, officers or directors, potential conflicts of interest still may exist and, as a result, the terms of the initial business combination may not be as advantageous to our public stockholders as they would be absent any conflicts of interest.</w:t>
      </w:r>
    </w:p>
    <w:p>
      <w:pPr>
        <w:spacing w:after="0" w:line="286"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Moreover, we may, at our option, pursue an affiliated joint acquisition opportunity with entities to which an officer or director has a fiduciary, contractual or other obligation or duty. Any such parties may co-invest with us in the target business at the time of our initial business combination, or we could raise additional proceeds to complete the acquisition by issuing equity to any such parties, which may give rise to certain conflicts of interest.</w:t>
      </w:r>
    </w:p>
    <w:p>
      <w:pPr>
        <w:spacing w:after="0" w:line="8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Since our sponsor and its investors and our directors will lose their entire at-risk investment in us if our initial business combination is not completed, a conflict of interest may arise in determining whether a particular business combination target is appropriate for our initial business combination.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On March 8, 2021, our sponsor purchased an aggregate of 5,750,000 shares of Class B common stock for an aggregate purchase price of</w:t>
      </w:r>
    </w:p>
    <w:p>
      <w:pPr>
        <w:ind w:right="120"/>
        <w:spacing w:after="0" w:line="271" w:lineRule="auto"/>
        <w:rPr>
          <w:sz w:val="20"/>
          <w:szCs w:val="20"/>
          <w:color w:val="auto"/>
        </w:rPr>
      </w:pPr>
      <w:r>
        <w:rPr>
          <w:rFonts w:ascii="Arial" w:cs="Arial" w:eastAsia="Arial" w:hAnsi="Arial"/>
          <w:sz w:val="16"/>
          <w:szCs w:val="16"/>
          <w:color w:val="auto"/>
        </w:rPr>
        <w:t>$25,000, or approximately $0.004 per share. The number of shares of Class B common stock issued was determined based on the expectation that such shares of Class B common stock would represent 20% of the outstanding shares of common stock after this offering (excluding the private placement shares). All of the founder shares will be worthless if we do not complete an initial business combination. In addition, our sponsor has agreed to purchase an aggregate of 655,500 shares of Class A common stock (or 715,500 shares if the underwriter’s over-allotment option is exercised in full) at a price of $10.00 per share ($6,555,000 in the aggregate, or $7,155,000 in the aggregate if the underwriter’s over-allotment option is exercised in full), which will also be worthless if we do not complete an initial business combination.</w:t>
      </w:r>
    </w:p>
    <w:p>
      <w:pPr>
        <w:spacing w:after="0" w:line="7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Our sponsor and each of our officers and directors have entered into a letter agreement with us pursuant to which they have agreed to vote any shares owned by them in favor of any proposed initial business combination and to waive their redemption rights with respect to their founder shares and any public shares held by them in connection with (i) the completion of our initial business combination and (ii) any stockholder vote to approve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20"/>
        <w:spacing w:after="0" w:line="325" w:lineRule="auto"/>
        <w:rPr>
          <w:sz w:val="20"/>
          <w:szCs w:val="20"/>
          <w:color w:val="auto"/>
        </w:rPr>
      </w:pPr>
      <w:r>
        <w:rPr>
          <w:rFonts w:ascii="Arial" w:cs="Arial" w:eastAsia="Arial" w:hAnsi="Arial"/>
          <w:sz w:val="16"/>
          <w:szCs w:val="16"/>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3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w:t>
      </w:r>
    </w:p>
    <w:p>
      <w:pPr>
        <w:spacing w:after="0" w:line="10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As such, no issuance of debt will affect the per-share amount available for redemption from the trust account. Nevertheless, the incurrence of debt could have a variety of negative effects, including:</w:t>
      </w:r>
    </w:p>
    <w:p>
      <w:pPr>
        <w:spacing w:after="0" w:line="114" w:lineRule="exact"/>
        <w:rPr>
          <w:sz w:val="20"/>
          <w:szCs w:val="20"/>
          <w:color w:val="auto"/>
        </w:rPr>
      </w:pPr>
    </w:p>
    <w:p>
      <w:pPr>
        <w:ind w:left="220" w:right="76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14" w:lineRule="exact"/>
        <w:rPr>
          <w:rFonts w:ascii="Arial" w:cs="Arial" w:eastAsia="Arial" w:hAnsi="Arial"/>
          <w:sz w:val="18"/>
          <w:szCs w:val="18"/>
          <w:color w:val="auto"/>
        </w:rPr>
      </w:pPr>
    </w:p>
    <w:p>
      <w:pPr>
        <w:ind w:left="220" w:right="22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17" w:lineRule="exact"/>
        <w:rPr>
          <w:rFonts w:ascii="Arial" w:cs="Arial" w:eastAsia="Arial" w:hAnsi="Arial"/>
          <w:sz w:val="18"/>
          <w:szCs w:val="18"/>
          <w:color w:val="auto"/>
        </w:rPr>
      </w:pPr>
    </w:p>
    <w:p>
      <w:pPr>
        <w:ind w:left="220" w:right="40" w:hanging="212"/>
        <w:spacing w:after="0" w:line="238"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17"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14" w:lineRule="exact"/>
        <w:rPr>
          <w:rFonts w:ascii="Arial" w:cs="Arial" w:eastAsia="Arial" w:hAnsi="Arial"/>
          <w:sz w:val="18"/>
          <w:szCs w:val="18"/>
          <w:color w:val="auto"/>
        </w:rPr>
      </w:pPr>
    </w:p>
    <w:p>
      <w:pPr>
        <w:ind w:left="220" w:right="70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8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We may complete one business combination with the proceeds of this offering and the sale of the private placement shares which will cause us to be solely dependent on a single business which may have a limited number of services and limited operating activities. This lack of diversification may negatively impact our operating results and profitability.</w:t>
      </w:r>
    </w:p>
    <w:p>
      <w:pPr>
        <w:spacing w:after="0" w:line="9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Of the net proceeds from this offering and the sale of the private placement shares, $200,000,000 (or $230,000,000 if the underwriter’s over-allotment option is exercised in full) will be available to complete our initial business combination and pay related fees and expenses (which includes up to $7,000,000 or up to $8,050,000 if the underwriter’s over-allotment option is exercised in full, for the payment of deferred underwriting commissions).</w:t>
      </w:r>
    </w:p>
    <w:p>
      <w:pPr>
        <w:spacing w:after="0" w:line="100"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concurrently or within a short period of time. However, we may not be able to effectuate our initial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14"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8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We may attempt to concurrently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If we determine to concurrently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6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8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8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amended and restated certificate of incorporation will not provide a specified maximum redemption threshold, except that in no event will we redeem our public shares in an amount that would cause our net tangible assets to be less than $5,000,001 upon consummation of our initial business combination and after</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payment of deferred underwriting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or their affiliates.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Class A common stock submitted for redemption will be returned to the holders thereof, and we instead may search for an alternate business combination.</w:t>
      </w:r>
    </w:p>
    <w:p>
      <w:pPr>
        <w:spacing w:after="0" w:line="8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We cannot assure you that we will not seek to amend our amended and restated certificate of incorporation or governing instruments in a manner that will make it easier for us to complete our initial business combination that some of our stockholders may not support.</w:t>
      </w:r>
    </w:p>
    <w:p>
      <w:pPr>
        <w:spacing w:after="0" w:line="96"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In order to effectuate an initial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an initial business combination. We cannot assure you that we will not seek to amend our charter or governing instruments, including to extend the time to consummate an initial business combination in order to effectuate our initial business combination.</w:t>
      </w:r>
    </w:p>
    <w:p>
      <w:pPr>
        <w:spacing w:after="0" w:line="8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03"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Our amended and restated certificate of incorporation provides that any of its provisions related to pre-initial business combination activity (including the requirement to deposit proceeds of this offering and the private placement of shares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liquidation is substantially reduced or eliminated)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will beneficially own up to 20% of our common stock upon the closing of this offering (excluding the private placement shares), will participate in any vote to amend our amended and restated certificate of incorporation and/or trust</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0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Our sponsor and each of our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and each of our officers and directors. Persons who are not party to, or third-party beneficiaries of, these agreements will not have the ability to pursue remedies against our sponsor or any of our officers or directors for any breach of these agreements. As a result, in the event of a breach, such persons would need to pursue a stockholder derivative action, subject to applicable law.</w:t>
      </w:r>
    </w:p>
    <w:p>
      <w:pPr>
        <w:spacing w:after="0" w:line="26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have not selected any specific business combination target but may target businesses larger than we could acquire with the net proceeds of this offering and the sale of the private placement shares.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public shares from stockholders who elect redemption in connection with our initial business combination and/or the terms of negotiated transactions to purchase public shares in connection with our initial business combination. If we do not complete our initial business combination, our public stockholders may receive only approximately $10.00 per share plus any pro rata interest earned on the funds held in the trust account and not previously released to us to pay our franchise and income taxes on the liquidation of our trust account.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do not complete our initial business combination, our public stockholders may only receive approximately $10.00 per share on the liquidation of our trust account.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Holders of our public shares will not be entitled to vote on any election of directors we hold prior to our initial business combination and, upon consummation of our initial business combination, our sponsor will have certain rights to designate individuals for nomination for election as directors.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Prior to our initial business combination, only holders of our Class B common stock will have the right to vote on the election of directors. Holders of our public shares will not be entitled to vote on the election of directors during such time. In addition, prior to the completion of an initial business combination, holders of a majority of our Class B common stock may remove a member of the board of directors for any reason. Accordingly, you may not have any say in the management of our company prior to the consummation of an initial business combination.</w:t>
      </w:r>
    </w:p>
    <w:p>
      <w:pPr>
        <w:spacing w:after="0" w:line="7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Further, pursuant to a registration and stockholder rights agreement, upon consummation of an initial business combination, our sponsor will be entitled to designate three individuals for nomination for election to our board of directors, subject to modification based on the terms of our initial business combination and as long as the sponsor holds any securities covered by the registration and stockholder rights agreement. This may result in our sponsor having significant control over our business.</w:t>
      </w:r>
    </w:p>
    <w:p>
      <w:pPr>
        <w:spacing w:after="0" w:line="8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Our initial stockholders will control the election of our board of directors until consummation of our initial business combination and will hold a substantial interest in us. As a result, they will elect all of our directors and may exert a substantial influence on actions requiring a stockholder vote, potentially in a manner that you do not support.</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Upon the closing of this offering, our initial stockholders will own shares representing 20% of our issued and outstanding shares of common stock (excluding the private placement shares). In addition, the Class B common stock, all of which are held by our initial stockholders, will entitle the holders to appoint all of our directors prior to our initial business combination. Holders of our public shares will have no right to vote on the appointment of directors during such time.</w:t>
      </w:r>
    </w:p>
    <w:p>
      <w:pPr>
        <w:spacing w:after="0" w:line="10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As a result of their substantial ownership in our company, our initial stockholders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shares in this offering or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w:t>
      </w:r>
    </w:p>
    <w:p>
      <w:pPr>
        <w:spacing w:after="0" w:line="5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8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federal proxy rules require that a proxy statement with respect to a vote on an initial business combination meeting certain financial significance tests include historical and/or pro forma financial statement disclosure in periodic reports. We would include the same financial statement disclosure in connection with any tender offer documents.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statements in accordance with federal proxy or tender offer rules and complete our initial business combination within the prescribed timeframe.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Post-Business Combination Company</w:t>
      </w:r>
    </w:p>
    <w:p>
      <w:pPr>
        <w:spacing w:after="0" w:line="114"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9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financial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may not be able to maintain control of a target business after our initial business combination.</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or issue a substantial number of new shares to third-parties in connection with financing our initial business combination. In such cases,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team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right="540"/>
        <w:spacing w:after="0" w:line="248"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8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If we complete our initial business combination with a business in the life sciences subsector or related industries, we may be unable to obtain U.S. or foreign regulatory approval for our future product candidates following our initial business combination and, as a result, may be unable to commercialize our future product candidates.</w:t>
      </w:r>
    </w:p>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time required to obtain approval by the FDA, EMA (European Medicines Agency),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future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If we complete our initial business combination with a business in the life sciences subsector or related industries, it is possible that none of our product candidates we may seek to develop in the future will ever obtain regulatory approval.</w:t>
      </w:r>
    </w:p>
    <w:p>
      <w:pPr>
        <w:spacing w:after="0" w:line="5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If we complete our initial business combination with a business in the life sciences subsector or related industries, coverage and reimbursement decisions by third-party payors may have an adverse effect on pricing and market acceptance. If reimbursement is not available or is not sufficient for our products following a business combination in such industries, it is less likely that our products will be widely used.</w:t>
      </w:r>
    </w:p>
    <w:p>
      <w:pPr>
        <w:spacing w:after="0" w:line="9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Even if we complete our initial business combination with a business in the life sciences subsector or related industries and our future product candidates are approved for sale by the appropriate regulatory authorities, market acceptance and sales of these products will depend on coverage and reimbursement policies and may be affected by future healthcare reform measures. Third-party payors, such as government healthcare programs, private health insurers and health maintenance organizations, decide what therapies they will cover and establish the level of reimbursement for such therapies. We cannot be certain that coverage and reimbursement will be available or adequate for any products that we develop following a business combination with a business in the life sciences subsector or related industries. If coverage and adequate reimbursement is not available or is available on a limited basis, we may not be able to successfully commercialize any of our future product candidates, if approved.</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Businesses in the life sciences subsector and related industries may face significant delays in obtaining coverage and reimbursement for newly approved therapies, and coverage may be more limited than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purposes for which the therapy is approved by the FDA, EMA or other regulatory authorities. Moreover, eligibility for coverage and reimbursement does not imply that a therapy will be paid for in all cases or at a rate that is commensurate with our product pricing that covers our costs, including research, development, manufacture, sale and distribution expenses. Interim reimbursement levels for new therapies, if applicable, may also be insufficient to cover our costs and may not be made permanent. Reimbursement rates may vary according to the use of the therapy and the clinical setting in which it is used, may be based on reimbursement levels already set for lower cost therapies and may be incorporated into existing payments for other services. Further, no uniform policy for coverage and reimbursement exists in the United States, and coverage and reimbursement can differ significantly from payor to payor. Net prices for therapies may be reduced by mandatory discounts or rebates required by government healthcare programs or private payors and by any future change to laws that presently restrict imports of therapies from countries where they may be sold at lower prices than in the United States. Following a business combination with a business in the life sciences subsector or related industries, our inability to promptly obtain coverage and adequate reimbursement from third-party payors, including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6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If we complete our initial business combination with a business in the life sciences subsector or related industries, we may be unable to obtain, maintain and enforce intellectual property protection for our current or future products, or if the scope of our intellectual property protection is not sufficiently broad, our ability to commercialize our future products successfully and to compete effectively may be materially adversely affected.</w:t>
      </w:r>
    </w:p>
    <w:p>
      <w:pPr>
        <w:spacing w:after="0" w:line="9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success in an initial business combination with a business in the life sciences subsector or related industries will depend on our ability to obtain and maintain patent and other intellectual property protection in the United States and other countries with respect to our current and future proprietary products. Businesses in the life sciences subsector and related industries rely upon a combination of patents and trade secret protection to protect the intellectual property related to their technology, manufacturing processes, and products. If we complete an initial business combination in such industries, our commercial success will depend in part on obtaining and maintaining patent and trade secret protection of our current and future products, if any, and the methods used to manufacture them, as well as successfully defending such patents and trade secrets against third-party challenges. Our ability to stop third parties from making, using, selling, offering to sell or importing our products would depend upon the extent to which we have rights under valid and enforceable patents and other intellectual property that covers these activities.</w:t>
      </w:r>
    </w:p>
    <w:p>
      <w:pPr>
        <w:spacing w:after="0" w:line="8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If we complete our initial business combination with a business in the life sciences subsector or related industries, we may be subject to U.S. foreign investment regulations which may impose additional burdens on or may limit certain investors’ ability to purchase our common stock, potentially making our common stock less attractive to investors.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U.S. Department of Treasury issued final regulations implementing the Foreign Investment Risk Review Modernization Act (FIRRMA) in 2020. FIRRMA expands the jurisdiction of the Committee on Foreign Investment in the United States (CFIUS), to include certain direct or indirect foreign investments in a defined category of U.S. companies, including companies involved in critical infrastructure and critical technologies. Among other things, FIRRMA empowers CFIUS to require certain mandatory filings in connection with certain foreign investments in U.S. companies and permits CFIUS to charge filing fees related to such filings. Such filings are subject to review by CFIUS, which will have the authority to recommend that the U.S. President block or impose conditions on certain foreign investments in companies subject to CFIUS’s oversight. If we complete our initial business combination with a business in the life sciences subsector or related industries, any such restrictions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the ability of foreign investors to invest in the Company could limit our ability to engage in strategic transactions that may benefit our stockholders, including a change of control, and may prevent our stockholders from receiving a premium for their shares of our common stock in connection with a change of control, and could also affect the price that some investors are willing to pay for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management team</w:t>
      </w:r>
    </w:p>
    <w:p>
      <w:pPr>
        <w:spacing w:after="0" w:line="114"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9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1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8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as well as reimbursement of out-of- pocket expenses, if any, with a target business in connection with a particular business combination. These agreements may provide for them to receive compensation or reimbursement for out-of-pocket expenses, if any, following our initial business combination and as a result, may cause them to have conflicts of interest in determining whether a particular business combination is the most advantageous.</w:t>
      </w:r>
    </w:p>
    <w:p>
      <w:pPr>
        <w:spacing w:after="0" w:line="6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key personnel may be able to remain with the company after the completion of our initial business combination only if they are able to negotiate employment or consulting agreements in connection with the initial business combination. Additionally, they may negotiate reimbursement of any out-of-pocket expenses incurred on our behalf prior to the consummation of our initial business combination, should they choose to do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so. Such negotiations would take place concurrently with the negotiation of the initial business combination and could provide for such individuals to receive compensation in the form of cash payments and/or our securities for services they would render to us after the completion of the initial business combination, or as reimbursement for such out-of-pocket expenses.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5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9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Each of our officers and directors is engaged in other business endeavors for which he or she may be entitled to substantial compensation and our officers and directors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“Management—Officers and Directors.”</w:t>
      </w:r>
    </w:p>
    <w:p>
      <w:pPr>
        <w:spacing w:after="0" w:line="80"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94"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w:t>
      </w:r>
    </w:p>
    <w:p>
      <w:pPr>
        <w:spacing w:after="0" w:line="10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There could be overlap between companies that would be suitable for a business combination with us and companies that present an attractive investment opportunity for our directors or officers, and entities with which they currently are or may in the future be affiliated.</w:t>
      </w:r>
    </w:p>
    <w:p>
      <w:pPr>
        <w:spacing w:after="0" w:line="10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Our officers and directors also may become aware of business opportunities which may be appropriate for presentation to us and other entities to which they owe certain fiduciary or contractual duties. Any such opportunities may present additional conflicts of interest in pursuing an acquisition target, and our directors and officers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would otherwise be reasonable for us to pursue, and to the extent the director or officer is permitted to refer that opportunity to us without violating another legal obligation.</w:t>
      </w:r>
    </w:p>
    <w:p>
      <w:pPr>
        <w:spacing w:after="0" w:line="101"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“Management—Officers and Directors,” “Management—Conflicts of Interest” and “Certain Relationships and Related Party Transactions.”</w:t>
      </w:r>
    </w:p>
    <w:p>
      <w:pPr>
        <w:spacing w:after="0" w:line="8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securities</w:t>
      </w:r>
    </w:p>
    <w:p>
      <w:pPr>
        <w:spacing w:after="0" w:line="11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do not complete an initial business combination within 24 months from the closing of this offering or during any Extension Period, subject to applicable law and as further described herein. In no other circumstances will a public stockholder have any right or interest of any kind in the trust account.</w:t>
      </w:r>
    </w:p>
    <w:p>
      <w:pPr>
        <w:spacing w:after="0" w:line="8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8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shares of Class A common stock have been approved for listing on Nasdaq. Although after giving effect to this offering we expect to meet the minimum initial listing standards set forth in the Nasdaq listing standards,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stock price levels. In general, we must maintain a minimum amount in stockholders’ equity (generally $2,500,000) and a minimum of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459" w:right="3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price would generally be required to be at least $4.00 per share, our stockholders’ equity would generally be required to be at least $5,000,000 and we would be required to have a minimum of 300 round-lot holders of our unrestricted securities (with at least 50% of such round-lot holders holding unrestricted securities with a market value of at least $2,500). We cannot assure you that we will be able to meet those initial listing requirements at that time. 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15"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Class A common stock is listed on Nasdaq, shares of our Class A common stock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6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Our sponsor paid an aggregate of $25,000, or approximately $0.004 per share of Class B common stock, and, accordingly, you will experience immediate and substantial dilution from your purchase of our Class A common stock.</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difference between the public offering price per share and the pro forma net tangible book value per share of our Class A common stock after this offering constitutes the dilution to you and the other investors in this offering. Our sponsor acquired the shares of Class B common stock at a nominal price, significantly contributing to this dilution. Upon the closing of this offering, you and the other public stockholders will incur an immediate and substantial dilution of approximately 92.6% (or $9.26 per share, assuming no exercise of the underwriter’s over-allotment option), the difference between the pro forma net tangible book value per share of $0.74 and the initial offering price of $10.00 per share. In addition, because of the anti-dilution rights of the Class B common stock, any equity or equity-linked securities issued or deemed issued in connection with our initial business combination would be disproportionately dilutive to our Class A common stock.</w:t>
      </w:r>
    </w:p>
    <w:p>
      <w:pPr>
        <w:spacing w:after="0" w:line="81" w:lineRule="exact"/>
        <w:rPr>
          <w:sz w:val="20"/>
          <w:szCs w:val="20"/>
          <w:color w:val="auto"/>
        </w:rPr>
      </w:pPr>
    </w:p>
    <w:p>
      <w:pPr>
        <w:ind w:right="560"/>
        <w:spacing w:after="0" w:line="248" w:lineRule="auto"/>
        <w:rPr>
          <w:sz w:val="20"/>
          <w:szCs w:val="20"/>
          <w:color w:val="auto"/>
        </w:rPr>
      </w:pPr>
      <w:r>
        <w:rPr>
          <w:rFonts w:ascii="Arial" w:cs="Arial" w:eastAsia="Arial" w:hAnsi="Arial"/>
          <w:sz w:val="18"/>
          <w:szCs w:val="18"/>
          <w:b w:val="1"/>
          <w:bCs w:val="1"/>
          <w:i w:val="1"/>
          <w:iCs w:val="1"/>
          <w:color w:val="auto"/>
        </w:rPr>
        <w:t>The nominal purchase price paid by our sponsor for the founder shares may significantly dilute the implied value of your public shares in the event we complete an initial business combination. In addition, the value of the sponsor’s founder shares will be significantly greater than the amount our sponsor paid to purchase such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shares in the event we complete an initial business combination, even if the business combination causes the trading price of our Class A common stock to materially decline.</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sponsor has committed to invest an aggregate of $6,580,000 in us in connection with this offering, comprised of the $25,000 purchase price for the founder shares and the $6,555,000 purchase price for the private placement shares. We are offering shares of our Class A common stock to the public at an offering price of $10.00 per share, and the amount in our trust account is initially anticipated to be $10.00 per public share, implying an initial value of $10.00 per public share. However, because the sponsor paid only a nominal purchase price of approximately $0.004 per share for the founder shares, the value of your public shares may be significantly diluted as a result of the automatic conversion of our sponsor’s founder shares into shares of Class A common stock upon our completion of an initial business combination.</w:t>
      </w:r>
    </w:p>
    <w:p>
      <w:pPr>
        <w:spacing w:after="0" w:line="7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following table shows the public shareholders’ and our sponsor’s investment per share and how these compare to the implied value of one share of Class A common stock upon the completion of our initial business combination. The following table assumes that (i) our valuation is $200,000,000 (which is the amount we would have in the trust account for our initial business combination assuming the underwriter’s over-allotment option is not exercised), (ii) no interest is earned on the funds held in the trust account, (iii) no public shares are redeemed in connection with our initial business combination and (iv) all founder shares are held by our sponsor upon completion of our initial business combination, and does not take into account other potential impacts on our valuation at the time of the initial business combination such as (i) the value of our public and private placement shares, (ii) the trading price of our public shares, (iii) the initial business combination transaction costs (including payment of $7,000,000 of deferred underwriting commissions), (iv) any equity issued or cash paid to the target’s sellers, (v) any equity issued to other third party investors, or (vi) the target’s business itself.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held by public shareholders</w:t>
            </w:r>
          </w:p>
        </w:tc>
        <w:tc>
          <w:tcPr>
            <w:tcW w:w="16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tcPr>
          <w:p>
            <w:pPr>
              <w:spacing w:after="0"/>
              <w:rPr>
                <w:sz w:val="19"/>
                <w:szCs w:val="19"/>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 held by our sponsor</w:t>
            </w:r>
          </w:p>
        </w:tc>
        <w:tc>
          <w:tcPr>
            <w:tcW w:w="1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655,500</w:t>
            </w:r>
          </w:p>
        </w:tc>
        <w:tc>
          <w:tcPr>
            <w:tcW w:w="6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Class B common stock held by our sponsor</w:t>
            </w:r>
          </w:p>
        </w:tc>
        <w:tc>
          <w:tcPr>
            <w:tcW w:w="16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common stock</w:t>
            </w:r>
          </w:p>
        </w:tc>
        <w:tc>
          <w:tcPr>
            <w:tcW w:w="1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25,655,500</w:t>
            </w:r>
          </w:p>
        </w:tc>
        <w:tc>
          <w:tcPr>
            <w:tcW w:w="6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Total funds in trust available for initial business combination</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200,000,000</w:t>
            </w:r>
          </w:p>
        </w:tc>
        <w:tc>
          <w:tcPr>
            <w:tcW w:w="6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shareholders’ investment per share of Class A common stock.</w:t>
            </w:r>
          </w:p>
        </w:tc>
        <w:tc>
          <w:tcPr>
            <w:tcW w:w="1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Our sponsor’s total investment per share of common stock(1)</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Implied value per share of Class A common stock upon the initial business combination(2)</w:t>
            </w:r>
          </w:p>
        </w:tc>
        <w:tc>
          <w:tcPr>
            <w:tcW w:w="1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7.80</w:t>
            </w: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400" w:hanging="332"/>
        <w:spacing w:after="0" w:line="258"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sponsor’s total investment in the equity of the company, inclusive of the founder shares and the sponsor’s $6,555,000 investment in shares of our Class A common stock, is $6,580,000.</w:t>
      </w:r>
    </w:p>
    <w:p>
      <w:pPr>
        <w:spacing w:after="0" w:line="43" w:lineRule="exact"/>
        <w:rPr>
          <w:rFonts w:ascii="Arial" w:cs="Arial" w:eastAsia="Arial" w:hAnsi="Arial"/>
          <w:sz w:val="13"/>
          <w:szCs w:val="13"/>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founder shares held by our sponsor would automatically convert into shares of Class A common stock upon completion of our initial business combination.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assumptions, each share of our Class A common stock would have an implied value of $7.80 per share upon completion of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initial business combination, representing a 22% decrease from the initial implied value of $10.00 per public share. While the implied value of</w:t>
      </w:r>
    </w:p>
    <w:p>
      <w:pPr>
        <w:spacing w:after="0" w:line="234" w:lineRule="auto"/>
        <w:rPr>
          <w:sz w:val="20"/>
          <w:szCs w:val="20"/>
          <w:color w:val="auto"/>
        </w:rPr>
      </w:pPr>
      <w:r>
        <w:rPr>
          <w:rFonts w:ascii="Arial" w:cs="Arial" w:eastAsia="Arial" w:hAnsi="Arial"/>
          <w:sz w:val="18"/>
          <w:szCs w:val="18"/>
          <w:color w:val="auto"/>
        </w:rPr>
        <w:t>$7.80 per share of Class A common stock upon completion of our initial business combination would represent a dilution to our public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shareholders, this would represent a significant increase in value for our sponsor relative to the price it paid for each founder share. At $7.80 per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share of Class A common stock, the 5,655,500 shares of Class A common stock that the sponsor would own upon completion of our initial</w:t>
      </w:r>
    </w:p>
    <w:p>
      <w:pPr>
        <w:spacing w:after="0" w:line="234" w:lineRule="auto"/>
        <w:rPr>
          <w:sz w:val="20"/>
          <w:szCs w:val="20"/>
          <w:color w:val="auto"/>
        </w:rPr>
      </w:pPr>
      <w:r>
        <w:rPr>
          <w:rFonts w:ascii="Arial" w:cs="Arial" w:eastAsia="Arial" w:hAnsi="Arial"/>
          <w:sz w:val="18"/>
          <w:szCs w:val="18"/>
          <w:color w:val="auto"/>
        </w:rPr>
        <w:t>business combination (after automatic conversion of the sponsor’s 5,000,000 founder shares) would have an aggregate implied value of</w:t>
      </w:r>
    </w:p>
    <w:p>
      <w:pPr>
        <w:spacing w:after="0" w:line="235" w:lineRule="auto"/>
        <w:rPr>
          <w:sz w:val="20"/>
          <w:szCs w:val="20"/>
          <w:color w:val="auto"/>
        </w:rPr>
      </w:pPr>
      <w:r>
        <w:rPr>
          <w:rFonts w:ascii="Arial" w:cs="Arial" w:eastAsia="Arial" w:hAnsi="Arial"/>
          <w:sz w:val="18"/>
          <w:szCs w:val="18"/>
          <w:color w:val="auto"/>
        </w:rPr>
        <w:t>$44,112,900. As a result, even if the trading price of our Class A common stock significantly declines, the value of the founder shares held by</w:t>
      </w:r>
    </w:p>
    <w:p>
      <w:pPr>
        <w:spacing w:after="0" w:line="235" w:lineRule="auto"/>
        <w:rPr>
          <w:sz w:val="20"/>
          <w:szCs w:val="20"/>
          <w:color w:val="auto"/>
        </w:rPr>
      </w:pPr>
      <w:r>
        <w:rPr>
          <w:rFonts w:ascii="Arial" w:cs="Arial" w:eastAsia="Arial" w:hAnsi="Arial"/>
          <w:sz w:val="18"/>
          <w:szCs w:val="18"/>
          <w:color w:val="auto"/>
        </w:rPr>
        <w:t>our sponsor will be significantly greater than the amount our sponsor paid to purchase such shares. In addition, our sponsor could potentially</w:t>
      </w:r>
    </w:p>
    <w:p>
      <w:pPr>
        <w:spacing w:after="0"/>
        <w:rPr>
          <w:sz w:val="20"/>
          <w:szCs w:val="20"/>
          <w:color w:val="auto"/>
        </w:rPr>
      </w:pPr>
      <w:r>
        <w:rPr>
          <w:rFonts w:ascii="Arial" w:cs="Arial" w:eastAsia="Arial" w:hAnsi="Arial"/>
          <w:sz w:val="16"/>
          <w:szCs w:val="16"/>
          <w:color w:val="auto"/>
        </w:rPr>
        <w:t>recoup its entire investment in our company even if the trading price of our Class A common stock after the initial business combination is as low</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$1.16 per share. As a result, our sponsor is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likely to earn a substantial profit on its investment in us upon disposition of its shares of Class A common stock even if the trading price of our Class A common stock declines after we complete our initial business combination even if the value of the public shares declines significantly. Our sponsor may therefore be economically incentivized to complete an initial business combination with a riskier, weaker-performing or less-established target business than would be the case if our sponsor had paid the same per share price for the founder shares as our public shareholders paid for their public shares.</w:t>
      </w:r>
    </w:p>
    <w:p>
      <w:pPr>
        <w:spacing w:after="0" w:line="8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The determination of the offering price of our Class A common stock and the size of this offering is more arbitrary than the pricing of securities and size of an offering of an operating company in a particular industry. You may have less assurance, therefore, that the offering price of our shares properly reflects the value of such shares than you would have in a typical offering of an operating company.</w:t>
      </w:r>
    </w:p>
    <w:p>
      <w:pPr>
        <w:spacing w:after="0" w:line="9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shares of our Class A common stock were negotiated between us and the underwriter. In determining the size of this offering, management held customary organizational meetings with representatives of the underwriter, both prior to our inception and thereafter, with respect to the state of capital markets generally, and the amount the underwriter believed it reasonably could raise on our behalf. Factors considered in determining the size of this offering, price and terms of the Class A common stock include:</w:t>
      </w:r>
    </w:p>
    <w:p>
      <w:pPr>
        <w:spacing w:after="0" w:line="112"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ind w:left="220" w:hanging="212"/>
        <w:spacing w:after="0" w:line="234"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ind w:left="220" w:hanging="212"/>
        <w:spacing w:after="0" w:line="234"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ind w:left="220" w:hanging="212"/>
        <w:spacing w:after="0" w:line="234"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ind w:left="220" w:hanging="212"/>
        <w:spacing w:after="0" w:line="234"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capital structure;</w:t>
      </w:r>
    </w:p>
    <w:p>
      <w:pPr>
        <w:ind w:left="220" w:hanging="212"/>
        <w:spacing w:after="0" w:line="234"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ind w:left="220" w:hanging="212"/>
        <w:spacing w:after="0" w:line="234"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0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8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ongoing COVID-19 pandemic or other events. Furthermore, an active trading market for our securities may never develop or, if developed, it may not be sustained. You may be unable to sell your securities unless a market can be established and sustained.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 factors</w:t>
      </w:r>
    </w:p>
    <w:p>
      <w:pPr>
        <w:spacing w:after="0" w:line="11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are a newly formed company with no operating history and no revenues, and you have no basis on which to evaluate our ability to achieve our business objective.</w:t>
      </w:r>
    </w:p>
    <w:p>
      <w:pPr>
        <w:spacing w:after="0" w:line="8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 newly formed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an initial business combination and may be unable to complete our initial business combination. If we fail to complete our initial business combination, we will never generate any operating revenues.</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independent registered public accounting firm’s report contains an explanatory paragraph that expresses substantial doubt about our ability continue as a “going concern.”</w:t>
      </w:r>
    </w:p>
    <w:p>
      <w:pPr>
        <w:spacing w:after="0" w:line="8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At March 8, 2021 the Company had no cash and a working capital deficit of $150,279. Further, we have incurred and expect to continue to incur significant costs in pursuit of our finance and acquisition plans. Management’s plans address this need for capital through this offering are discussed in the section of this prospectus titled “Management’s Discussion and Analysis of Financial Condition and Results of Operations.” We cannot assure you that our plans to raise capital or to consummate and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Past performance by our management team, directors and their respective affiliates may not be indicative of future performance of an investment in the company or in the future performance of any business we may acquire.</w:t>
      </w:r>
    </w:p>
    <w:p>
      <w:pPr>
        <w:spacing w:after="0" w:line="8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Information regarding performance by, or businesses associated with, our management team, directors and their respective affiliates is presented for informational purposes only. Past performance by our management team, directors and such affiliates is not a guarantee (i) either of success with respect to any business combination we may consummate or (ii) that we will be able to locate a suitable candidate for our initial business combination. You should not rely on the historical performance of our management team and directors or that of their respective affiliates as indicative of the future performance of an investment in the company or the returns the company will, or is likely to, generate going forward. Our management team and directors and their respective affiliates have had limited past experience with blank check and special purpose acquisition companies.</w:t>
      </w:r>
    </w:p>
    <w:p>
      <w:pPr>
        <w:spacing w:after="0" w:line="8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9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aggregate worldwide market value of our Class A common stock held by non-affiliates equals or exceeds $700,000,000 as of any June 30 before that time,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difficult or impossible because of the potential differences in accounting standards used.</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$250,000,000 as of the prior June 30</w:t>
      </w:r>
      <w:r>
        <w:rPr>
          <w:rFonts w:ascii="Arial" w:cs="Arial" w:eastAsia="Arial" w:hAnsi="Arial"/>
          <w:sz w:val="11"/>
          <w:szCs w:val="11"/>
          <w:color w:val="auto"/>
        </w:rPr>
        <w:t>th</w:t>
      </w:r>
      <w:r>
        <w:rPr>
          <w:rFonts w:ascii="Arial" w:cs="Arial" w:eastAsia="Arial" w:hAnsi="Arial"/>
          <w:sz w:val="18"/>
          <w:szCs w:val="18"/>
          <w:color w:val="auto"/>
        </w:rPr>
        <w:t>, or (2) our annual revenues equal or exceed $100,000,000 during such completed fiscal year and the market value of our common stock held by non-affiliates equals or exceeds $700,000,000 as of the prior June 30</w:t>
      </w:r>
      <w:r>
        <w:rPr>
          <w:rFonts w:ascii="Arial" w:cs="Arial" w:eastAsia="Arial" w:hAnsi="Arial"/>
          <w:sz w:val="11"/>
          <w:szCs w:val="11"/>
          <w:color w:val="auto"/>
        </w:rPr>
        <w:t>th</w:t>
      </w:r>
      <w:r>
        <w:rPr>
          <w:rFonts w:ascii="Arial" w:cs="Arial" w:eastAsia="Arial" w:hAnsi="Arial"/>
          <w:sz w:val="18"/>
          <w:szCs w:val="18"/>
          <w:color w:val="auto"/>
        </w:rPr>
        <w:t>. To the extent we take advantage of such reduced disclosure obligations, it may also make comparison of our financial statements and other disclosures with other public companies difficult or impossible.</w:t>
      </w:r>
    </w:p>
    <w:p>
      <w:pPr>
        <w:spacing w:after="0" w:line="8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9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8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8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will include two-year director terms, the ability of the board of directors to designate the terms of and issue new series of preferred stock, and the fact that, prior to the completion of our initial business combination, only holders of shares of our Class B common stock will have the right to vote in the election of directors, which may make the removal of management more difficult and may discourage transactions that otherwise could involve payment of a premium over prevailing market prices for our securities.</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8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requires, to the fullest extent permitted by law, that derivative actions brought in our name, actions against our directors, officers, other employees 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459" w:right="3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480"/>
        <w:spacing w:after="0" w:line="244" w:lineRule="auto"/>
        <w:rPr>
          <w:sz w:val="20"/>
          <w:szCs w:val="20"/>
          <w:color w:val="auto"/>
        </w:rPr>
      </w:pPr>
      <w:r>
        <w:rPr>
          <w:rFonts w:ascii="Arial" w:cs="Arial" w:eastAsia="Arial" w:hAnsi="Arial"/>
          <w:sz w:val="18"/>
          <w:szCs w:val="18"/>
          <w:b w:val="1"/>
          <w:bCs w:val="1"/>
          <w:i w:val="1"/>
          <w:iCs w:val="1"/>
          <w:color w:val="auto"/>
        </w:rPr>
        <w:t>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9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w:t>
      </w:r>
    </w:p>
    <w:p>
      <w:pPr>
        <w:spacing w:after="0" w:line="1" w:lineRule="exact"/>
        <w:rPr>
          <w:sz w:val="20"/>
          <w:szCs w:val="20"/>
          <w:color w:val="auto"/>
        </w:rPr>
      </w:pPr>
    </w:p>
    <w:p>
      <w:pPr>
        <w:ind w:right="20" w:firstLine="8"/>
        <w:spacing w:after="0" w:line="235" w:lineRule="auto"/>
        <w:tabs>
          <w:tab w:leader="none" w:pos="2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created by the Exchange Act or any other claim for which the federal courts have exclusive jurisdiction. Any person or entity purchasing or otherwise acquiring any interest in shares of our capital stock shall be deemed to have notice of, and consented to, the forum provisions in our amended and restated certificate of incorporation. Unless we consent in writing to the selection of an alternative forum, the federal district courts of the United States shall be the exclusive forum for any action arising under the Securities Act.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0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Our amended and restated of incorporation provides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 incidents or attacks directed at us could result in information theft, data corruption, operational disruption and/or financial loss.</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remediate any vulnerability to, cyber incidents. It is possible that any of these occurrences, or a combination of them, could have adverse consequences on our business and lead to financial loss.</w:t>
      </w:r>
    </w:p>
    <w:p>
      <w:pPr>
        <w:spacing w:after="0" w:line="8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Since only holders of our Class B common stock will have the right to vote on the election of directors, upon the listing of our shares on Nasdaq, Nasdaq may consider us to be a “controlled company” within the meaning of Nasdaq rules and, as a result, we may qualify for exemptions from certain corporate governance requirements.</w:t>
      </w:r>
    </w:p>
    <w:p>
      <w:pPr>
        <w:spacing w:after="0" w:line="9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After completion of this offering, only holders of our Class B common stock will have the right to vote on the election of directors. As a result, Nasdaq may consider us to be a “controlled company” within the meaning of the Nasdaq corporate governance standards. Under Nasdaq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88"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Nasdaq;</w:t>
      </w:r>
    </w:p>
    <w:p>
      <w:pPr>
        <w:spacing w:after="0" w:line="117" w:lineRule="exact"/>
        <w:rPr>
          <w:rFonts w:ascii="Arial" w:cs="Arial" w:eastAsia="Arial" w:hAnsi="Arial"/>
          <w:sz w:val="18"/>
          <w:szCs w:val="18"/>
          <w:color w:val="auto"/>
        </w:rPr>
      </w:pPr>
    </w:p>
    <w:p>
      <w:pPr>
        <w:ind w:left="220" w:right="440" w:hanging="212"/>
        <w:spacing w:after="0" w:line="239"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compensation committee of our board that is comprised entirely of independent directors with a written charter addressing the committee’s purpose and responsibilities; and</w:t>
      </w:r>
    </w:p>
    <w:p>
      <w:pPr>
        <w:spacing w:after="0" w:line="114"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01"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stockholders of companies that are subject to all of Nasdaq corporate governance requirements.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 investment in this offering may result in uncertain U.S. federal income tax consequences. It is unclear whether the redemption rights with respect to our shares of common stock suspend the running of a U.S. holder’s holding period for purposes of determining whether any dividend we pay would be considered “qualified dividends” for U.S. federal income tax purposes. See the section of this prospectus titled “U.S. Federal Income Tax Considerations” for a summary of the material U.S. federal income tax considerations applicable to an investment in our Class A common stock. Prospective investors are urged to consult their tax advisors with respect to these and other tax consequences applicable to their specific circumstances when purchasing, holding or disposing of our Class A common stock.</w:t>
      </w:r>
    </w:p>
    <w:p>
      <w:pPr>
        <w:spacing w:after="0" w:line="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stockholders.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in connection with our initial business combination and subject to requisite stockholder approval under Delaware law, reincorporate in the jurisdiction in which the target company or business is located or in another jurisdiction. The transaction may require a stockholder to recognize taxable income in the jurisdiction in which the stockholder is a tax resident or in which its members are resident if it is a tax transparent entity (or may otherwise result in adverse tax consequences). We do not intend to make any cash distributions to stockholders to pay such taxes.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be subject to withholding taxes or other taxes with respect to their ownership of us after the reincorporation.</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14" w:lineRule="exact"/>
        <w:rPr>
          <w:sz w:val="20"/>
          <w:szCs w:val="20"/>
          <w:color w:val="auto"/>
        </w:rPr>
      </w:pPr>
    </w:p>
    <w:p>
      <w:pPr>
        <w:ind w:left="220" w:right="600" w:hanging="212"/>
        <w:spacing w:after="0" w:line="239"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data privacy;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industry, regulatory or environmental standards within the jurisdictions where we operate;</w:t>
      </w:r>
    </w:p>
    <w:p>
      <w:pPr>
        <w:spacing w:after="0" w:line="117" w:lineRule="exact"/>
        <w:rPr>
          <w:rFonts w:ascii="Arial" w:cs="Arial" w:eastAsia="Arial" w:hAnsi="Arial"/>
          <w:sz w:val="18"/>
          <w:szCs w:val="18"/>
          <w:color w:val="auto"/>
        </w:rPr>
      </w:pPr>
    </w:p>
    <w:p>
      <w:pPr>
        <w:ind w:left="220" w:right="600" w:hanging="212"/>
        <w:spacing w:after="0" w:line="239"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health or safety concerns and governmental restrictions, including those caused by outbreaks of pandemic disease such as the COVID-19 pandemic;</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may not be able to adequately address these additional risks. If we were unable to do so, our operations might suffer, which may adversely impact our results of operations and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related to the life sciences industry.</w:t>
      </w:r>
    </w:p>
    <w:p>
      <w:pPr>
        <w:spacing w:after="0" w:line="1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Business combinations with businesses in the life sciences subsector and related industries may involve special considerations and risks. If we complete our initial business combination with a business in such industries, we will be subject to the following risks in addition to those discussed above, any of which could be detrimental to us and the business we acquire:</w:t>
      </w:r>
    </w:p>
    <w:p>
      <w:pPr>
        <w:spacing w:after="0" w:line="113"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could reduce profit margins;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maintain and manage supply chains effectively;</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320" w:top="45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rapid technological change may lead to competition from unexpected sources; and</w:t>
      </w:r>
    </w:p>
    <w:p>
      <w:pPr>
        <w:spacing w:after="0" w:line="117"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life sciences subsector and related industries are susceptible to significant liability exposure. If liability claims are brought against us following our initial business combination, it could materially adversely affect our operations.</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of the foregoing could have an adverse impact on our operations following our initial business combination. However, our efforts in identifying prospective target businesses may not be limited to businesses in the life sciences subsector.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are offering 20,000,000 shares at an offering price of $10.00 per share. We estimate that the net proceeds of this offering, together with the funds we will receive from the sale of the private placement shares, will be used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b w:val="1"/>
                <w:bCs w:val="1"/>
                <w:color w:val="auto"/>
              </w:rPr>
              <w:t>Without over-</w:t>
            </w:r>
          </w:p>
        </w:tc>
        <w:tc>
          <w:tcPr>
            <w:tcW w:w="32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Over-allotment</w:t>
            </w:r>
          </w:p>
        </w:tc>
      </w:tr>
      <w:tr>
        <w:trPr>
          <w:trHeight w:val="221"/>
        </w:trPr>
        <w:tc>
          <w:tcPr>
            <w:tcW w:w="80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allotment option</w:t>
            </w:r>
          </w:p>
        </w:tc>
        <w:tc>
          <w:tcPr>
            <w:tcW w:w="16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9"/>
              </w:rPr>
              <w:t>option exercised</w:t>
            </w:r>
          </w:p>
        </w:tc>
      </w:tr>
      <w:tr>
        <w:trPr>
          <w:trHeight w:val="48"/>
        </w:trPr>
        <w:tc>
          <w:tcPr>
            <w:tcW w:w="8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proceeds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Gross proceeds from shares offered to public(1)</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200,000,000</w:t>
            </w:r>
          </w:p>
        </w:tc>
        <w:tc>
          <w:tcPr>
            <w:tcW w:w="3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230,000,000</w:t>
            </w: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proceeds from sale of the private placement shares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6,555,000</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7,155,000</w:t>
            </w:r>
          </w:p>
        </w:tc>
      </w:tr>
      <w:tr>
        <w:trPr>
          <w:trHeight w:val="20"/>
        </w:trPr>
        <w:tc>
          <w:tcPr>
            <w:tcW w:w="8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Total gross proceeds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206,555,000</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237,155,000</w:t>
            </w: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8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Estimated Offering expenses(2)</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6"/>
        </w:trPr>
        <w:tc>
          <w:tcPr>
            <w:tcW w:w="8020" w:type="dxa"/>
            <w:vAlign w:val="bottom"/>
          </w:tcPr>
          <w:p>
            <w:pPr>
              <w:spacing w:after="0" w:line="206" w:lineRule="exact"/>
              <w:rPr>
                <w:sz w:val="20"/>
                <w:szCs w:val="20"/>
                <w:color w:val="auto"/>
              </w:rPr>
            </w:pPr>
            <w:r>
              <w:rPr>
                <w:rFonts w:ascii="Arial" w:cs="Arial" w:eastAsia="Arial" w:hAnsi="Arial"/>
                <w:sz w:val="18"/>
                <w:szCs w:val="18"/>
                <w:color w:val="auto"/>
              </w:rPr>
              <w:t>Underwriting commissions (2.0% of gross proceeds from shares offered to public, excluding</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8020" w:type="dxa"/>
            <w:vAlign w:val="bottom"/>
          </w:tcPr>
          <w:p>
            <w:pPr>
              <w:ind w:left="220"/>
              <w:spacing w:after="0" w:line="200" w:lineRule="exact"/>
              <w:rPr>
                <w:sz w:val="20"/>
                <w:szCs w:val="20"/>
                <w:color w:val="auto"/>
              </w:rPr>
            </w:pPr>
            <w:r>
              <w:rPr>
                <w:rFonts w:ascii="Arial" w:cs="Arial" w:eastAsia="Arial" w:hAnsi="Arial"/>
                <w:sz w:val="18"/>
                <w:szCs w:val="18"/>
                <w:color w:val="auto"/>
              </w:rPr>
              <w:t>deferred portion)(3)</w:t>
            </w:r>
          </w:p>
        </w:tc>
        <w:tc>
          <w:tcPr>
            <w:tcW w:w="18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4,000,000</w:t>
            </w:r>
          </w:p>
        </w:tc>
        <w:tc>
          <w:tcPr>
            <w:tcW w:w="320" w:type="dxa"/>
            <w:vAlign w:val="bottom"/>
          </w:tcPr>
          <w:p>
            <w:pPr>
              <w:ind w:left="180"/>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4,600,000</w:t>
            </w:r>
          </w:p>
        </w:tc>
      </w:tr>
      <w:tr>
        <w:trPr>
          <w:trHeight w:val="27"/>
        </w:trPr>
        <w:tc>
          <w:tcPr>
            <w:tcW w:w="8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360,000</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80" w:type="dxa"/>
            <w:vAlign w:val="bottom"/>
          </w:tcPr>
          <w:p>
            <w:pPr>
              <w:spacing w:after="0"/>
              <w:rPr>
                <w:sz w:val="17"/>
                <w:szCs w:val="17"/>
                <w:color w:val="auto"/>
              </w:rPr>
            </w:pPr>
          </w:p>
        </w:tc>
        <w:tc>
          <w:tcPr>
            <w:tcW w:w="14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40,000</w:t>
            </w:r>
          </w:p>
        </w:tc>
        <w:tc>
          <w:tcPr>
            <w:tcW w:w="32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40,000</w:t>
            </w: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63,000</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SEC/FINRA Expenses</w:t>
            </w:r>
          </w:p>
        </w:tc>
        <w:tc>
          <w:tcPr>
            <w:tcW w:w="180" w:type="dxa"/>
            <w:vAlign w:val="bottom"/>
          </w:tcPr>
          <w:p>
            <w:pPr>
              <w:spacing w:after="0"/>
              <w:rPr>
                <w:sz w:val="17"/>
                <w:szCs w:val="17"/>
                <w:color w:val="auto"/>
              </w:rPr>
            </w:pPr>
          </w:p>
        </w:tc>
        <w:tc>
          <w:tcPr>
            <w:tcW w:w="14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60,093</w:t>
            </w:r>
          </w:p>
        </w:tc>
        <w:tc>
          <w:tcPr>
            <w:tcW w:w="32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60,093</w:t>
            </w: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Travel and road show</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Nasdaq listing and filing fees</w:t>
            </w:r>
          </w:p>
        </w:tc>
        <w:tc>
          <w:tcPr>
            <w:tcW w:w="180" w:type="dxa"/>
            <w:vAlign w:val="bottom"/>
          </w:tcPr>
          <w:p>
            <w:pPr>
              <w:spacing w:after="0"/>
              <w:rPr>
                <w:sz w:val="17"/>
                <w:szCs w:val="17"/>
                <w:color w:val="auto"/>
              </w:rPr>
            </w:pPr>
          </w:p>
        </w:tc>
        <w:tc>
          <w:tcPr>
            <w:tcW w:w="14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75,000</w:t>
            </w:r>
          </w:p>
        </w:tc>
        <w:tc>
          <w:tcPr>
            <w:tcW w:w="32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75,000</w:t>
            </w: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 &amp; Officer liability insurance premiums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800,000</w:t>
            </w:r>
          </w:p>
        </w:tc>
        <w:tc>
          <w:tcPr>
            <w:tcW w:w="3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180" w:type="dxa"/>
            <w:vAlign w:val="bottom"/>
          </w:tcPr>
          <w:p>
            <w:pPr>
              <w:spacing w:after="0"/>
              <w:rPr>
                <w:sz w:val="17"/>
                <w:szCs w:val="17"/>
                <w:color w:val="auto"/>
              </w:rPr>
            </w:pPr>
          </w:p>
        </w:tc>
        <w:tc>
          <w:tcPr>
            <w:tcW w:w="14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46,907</w:t>
            </w:r>
          </w:p>
        </w:tc>
        <w:tc>
          <w:tcPr>
            <w:tcW w:w="32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46,907</w:t>
            </w:r>
          </w:p>
        </w:tc>
      </w:tr>
      <w:tr>
        <w:trPr>
          <w:trHeight w:val="27"/>
        </w:trPr>
        <w:tc>
          <w:tcPr>
            <w:tcW w:w="8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estimated offering expenses (excluding underwriting commissions)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1,455,000</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1,455,000</w:t>
            </w:r>
          </w:p>
        </w:tc>
      </w:tr>
      <w:tr>
        <w:trPr>
          <w:trHeight w:val="20"/>
        </w:trPr>
        <w:tc>
          <w:tcPr>
            <w:tcW w:w="8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201,100,000</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231,100,000</w:t>
            </w:r>
          </w:p>
        </w:tc>
      </w:tr>
      <w:tr>
        <w:trPr>
          <w:trHeight w:val="20"/>
        </w:trPr>
        <w:tc>
          <w:tcPr>
            <w:tcW w:w="8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Held in trust account</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200,000,000</w:t>
            </w:r>
          </w:p>
        </w:tc>
        <w:tc>
          <w:tcPr>
            <w:tcW w:w="3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230,000,000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 of public offering size</w:t>
            </w:r>
          </w:p>
        </w:tc>
        <w:tc>
          <w:tcPr>
            <w:tcW w:w="180" w:type="dxa"/>
            <w:vAlign w:val="bottom"/>
          </w:tcPr>
          <w:p>
            <w:pPr>
              <w:spacing w:after="0"/>
              <w:rPr>
                <w:sz w:val="17"/>
                <w:szCs w:val="17"/>
                <w:color w:val="auto"/>
              </w:rPr>
            </w:pPr>
          </w:p>
        </w:tc>
        <w:tc>
          <w:tcPr>
            <w:tcW w:w="14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w:t>
            </w:r>
          </w:p>
        </w:tc>
        <w:tc>
          <w:tcPr>
            <w:tcW w:w="32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 held in trust account(4)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1,100,000</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1,100,000</w:t>
            </w: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8020" w:type="dxa"/>
            <w:vAlign w:val="bottom"/>
          </w:tcPr>
          <w:p>
            <w:pPr>
              <w:spacing w:after="0"/>
              <w:rPr>
                <w:sz w:val="20"/>
                <w:szCs w:val="20"/>
                <w:color w:val="auto"/>
              </w:rPr>
            </w:pPr>
            <w:r>
              <w:rPr>
                <w:rFonts w:ascii="Arial" w:cs="Arial" w:eastAsia="Arial" w:hAnsi="Arial"/>
                <w:sz w:val="18"/>
                <w:szCs w:val="18"/>
                <w:color w:val="auto"/>
              </w:rPr>
              <w:t>The following table shows the use of the $1,100,000 of net proceeds not held in the trust account(5).</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Amount</w:t>
            </w: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 of total</w:t>
            </w: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Legal, accounting, due diligence, travel, and other expenses in connection with any business combination(6)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400,000</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36.36%</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Legal and accounting fees related to regulatory reporting obligations</w:t>
            </w:r>
          </w:p>
        </w:tc>
        <w:tc>
          <w:tcPr>
            <w:tcW w:w="16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175,000</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15.91%</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for office space, administrative and support services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240,000</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21.82%</w:t>
            </w: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Consulting and miscellaneous expenses incurred during search for initial business combination</w:t>
            </w:r>
          </w:p>
        </w:tc>
        <w:tc>
          <w:tcPr>
            <w:tcW w:w="16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150,000</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13.64%</w:t>
            </w: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continued listing fees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55,000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7"/>
                <w:szCs w:val="17"/>
                <w:color w:val="auto"/>
              </w:rPr>
            </w:pPr>
          </w:p>
        </w:tc>
      </w:tr>
      <w:tr>
        <w:trPr>
          <w:trHeight w:val="210"/>
        </w:trPr>
        <w:tc>
          <w:tcPr>
            <w:tcW w:w="8980" w:type="dxa"/>
            <w:vAlign w:val="bottom"/>
          </w:tcPr>
          <w:p>
            <w:pPr>
              <w:spacing w:after="0" w:line="202" w:lineRule="exact"/>
              <w:rPr>
                <w:sz w:val="20"/>
                <w:szCs w:val="20"/>
                <w:color w:val="auto"/>
              </w:rPr>
            </w:pPr>
            <w:r>
              <w:rPr>
                <w:rFonts w:ascii="Arial" w:cs="Arial" w:eastAsia="Arial" w:hAnsi="Arial"/>
                <w:sz w:val="18"/>
                <w:szCs w:val="18"/>
                <w:color w:val="auto"/>
              </w:rPr>
              <w:t>Working capital to cover miscellaneous expenses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80,000</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r>
      <w:tr>
        <w:trPr>
          <w:trHeight w:val="202"/>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1,100,000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7"/>
                <w:szCs w:val="17"/>
                <w:color w:val="auto"/>
              </w:rPr>
            </w:pPr>
          </w:p>
        </w:tc>
      </w:tr>
      <w:tr>
        <w:trPr>
          <w:trHeight w:val="20"/>
        </w:trPr>
        <w:tc>
          <w:tcPr>
            <w:tcW w:w="8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spacing w:after="0" w:line="66" w:lineRule="exact"/>
        <w:rPr>
          <w:rFonts w:ascii="Arial" w:cs="Arial" w:eastAsia="Arial" w:hAnsi="Arial"/>
          <w:sz w:val="13"/>
          <w:szCs w:val="13"/>
          <w:color w:val="auto"/>
        </w:rPr>
      </w:pPr>
    </w:p>
    <w:p>
      <w:pPr>
        <w:ind w:left="340" w:hanging="332"/>
        <w:spacing w:after="0" w:line="245" w:lineRule="auto"/>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under an unsecured promissory note from our sponsor of up to $300,000 as described in this prospectus. As of March 8, 2021, we had not borrowed any amount under this promissory note. These loans will be repaid upon completion of this offering out of the $1,455,000 of offering proceeds that has been allocated for the payment of offering expenses (other than underwriting commissions) and not to be held in the trust account. In the event that offering expenses are less than set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40"/>
        <w:spacing w:after="0" w:line="258" w:lineRule="auto"/>
        <w:rPr>
          <w:sz w:val="20"/>
          <w:szCs w:val="20"/>
          <w:color w:val="auto"/>
        </w:rPr>
      </w:pPr>
      <w:r>
        <w:rPr>
          <w:rFonts w:ascii="Arial" w:cs="Arial" w:eastAsia="Arial" w:hAnsi="Arial"/>
          <w:sz w:val="13"/>
          <w:szCs w:val="13"/>
          <w:color w:val="auto"/>
        </w:rPr>
        <w:t>forth in this table, any such amounts will be used for post-closing working capital expenses. These expenses are estimates only. In the event that the offering expenses are more than as set forth in this table, we may fund such excess with funds not held in the trust account.</w:t>
      </w:r>
    </w:p>
    <w:p>
      <w:pPr>
        <w:spacing w:after="0" w:line="43" w:lineRule="exact"/>
        <w:rPr>
          <w:sz w:val="20"/>
          <w:szCs w:val="20"/>
          <w:color w:val="auto"/>
        </w:rPr>
      </w:pPr>
    </w:p>
    <w:p>
      <w:pPr>
        <w:ind w:left="340" w:right="320" w:hanging="332"/>
        <w:spacing w:after="0" w:line="245"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underwriter has agreed to defer underwriting commissions of 3.5% of the gross proceeds of this offering. Upon and concurrently with the completion of our initial business combination, $7,000,000, which constitutes the underwriter’s deferred commissions (or $8,050,000 if the underwriter’s over-allotment option is exercised in full) will be paid to the underwriter from the funds held in the trust account. See “Underwriting.” The underwriter will not be entitled to any interest accrued on the deferred underwriting discounts and commissions.</w:t>
      </w:r>
    </w:p>
    <w:p>
      <w:pPr>
        <w:spacing w:after="0" w:line="51" w:lineRule="exact"/>
        <w:rPr>
          <w:rFonts w:ascii="Arial" w:cs="Arial" w:eastAsia="Arial" w:hAnsi="Arial"/>
          <w:sz w:val="13"/>
          <w:szCs w:val="13"/>
          <w:color w:val="auto"/>
        </w:rPr>
      </w:pPr>
    </w:p>
    <w:p>
      <w:pPr>
        <w:ind w:left="340" w:right="180" w:hanging="332"/>
        <w:spacing w:after="0" w:line="248"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w:t>
      </w:r>
    </w:p>
    <w:p>
      <w:pPr>
        <w:spacing w:after="0" w:line="49" w:lineRule="exact"/>
        <w:rPr>
          <w:rFonts w:ascii="Arial" w:cs="Arial" w:eastAsia="Arial" w:hAnsi="Arial"/>
          <w:sz w:val="13"/>
          <w:szCs w:val="13"/>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We will also pay our sponsor or an affiliate of our sponsor up to $10,000 per month for office space, utilities, secretarial and administrative support services provided to members of our management team and other expenses and obligations of our sponsor. In the event we identify a business combination partner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0.03% per year, we estimate the interest earned on the trust account will be approximately $60,000 per year (or approximately $69,000 if the underwriter’s over-allotment option is exercised in full); however, we can provide no assurances regarding this amount.</w:t>
      </w:r>
    </w:p>
    <w:p>
      <w:pPr>
        <w:spacing w:after="0" w:line="205" w:lineRule="exact"/>
        <w:rPr>
          <w:rFonts w:ascii="Arial" w:cs="Arial" w:eastAsia="Arial" w:hAnsi="Arial"/>
          <w:sz w:val="13"/>
          <w:szCs w:val="13"/>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1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Nasdaq rules provide that at least 90% of the gross proceeds from this offering and the sale of the private placement shares be deposited in a trust account. Of the net proceeds of this offering and the sale of the private placement shares, $200,000,000 (or $230,000,000 if the underwriter’s over-allotment option is exercised in full), including $7,000,000 (or up to $8,050,000 if the underwriter’s over-allotment option is exercised in full) of deferred underwriting commissions, will be placed in a trust account in the United States with Continental Stock Transfer &amp; Trust Company acting as trustee, and will be invested only in U.S. government treasury bills with a maturity of 185 days or less or in money market funds meeting certain conditions under Rule 2a-7 under the Investment Company Act, which invest only in direct U.S. government treasury obligations. We estimate that the interest earned on the trust account will be approximately $60,000 per year (or approximately $69,000 if the underwriter’s over-allotment option is exercised in full), assuming an interest rate of 0.03% per year; however, we can provide no assurance regarding this amount. Except with respect to interest earned on the funds held in the trust account that may be released to us to pay our franchise and income tax obligations and to pay up to $100,000 in dissolution expenses, the proceeds from this offering and the sale of the private placement shares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w:t>
      </w:r>
    </w:p>
    <w:p>
      <w:pPr>
        <w:spacing w:after="0" w:line="183" w:lineRule="exact"/>
        <w:rPr>
          <w:sz w:val="20"/>
          <w:szCs w:val="20"/>
          <w:color w:val="auto"/>
        </w:rPr>
      </w:pPr>
    </w:p>
    <w:p>
      <w:pPr>
        <w:ind w:firstLine="8"/>
        <w:spacing w:after="0" w:line="239" w:lineRule="auto"/>
        <w:tabs>
          <w:tab w:leader="none" w:pos="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of our public shares if we do not complete our initial business combination within 24 months from the closing of this offering or during any Extension Period, subject to applicable law.</w:t>
      </w:r>
    </w:p>
    <w:p>
      <w:pPr>
        <w:spacing w:after="0" w:line="101"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or used for redemption of our public shares, we may apply the balance of the cash released from the trust account for general corporate purposes,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00"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an initial business combination. However, if our estimate of the costs of undertaking in-depth due diligence and negotiating an initial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their affiliates, but such persons are not under any obligation to advance funds to, or invest in, us.</w:t>
      </w:r>
    </w:p>
    <w:p>
      <w:pPr>
        <w:spacing w:after="0" w:line="7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We will pay our sponsor or an affiliate of our sponsor up to $10,000 per month for office space, utilities, secretarial and administrative support services provided to members of our management team and other expenses and obligations of our sponsor. Upon completion of our initial business combination or our liquidation, we will cease paying these monthly fees.</w:t>
      </w:r>
    </w:p>
    <w:p>
      <w:pPr>
        <w:spacing w:after="0" w:line="1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sponsor has agreed to loan us up to $300,000 to be used for a portion of the expenses of this offering. As of March 8, 2021, we had not borrowed any amount under the promissory note with our sponsor. This loan is non-interest bearing, unsecured and is due at the earlier of December 31, 2021 or the closing of this offering. The loan will be repaid upon the closing of this offering out of offering proceeds not held in the trust account.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w:t>
      </w:r>
    </w:p>
    <w:p>
      <w:pPr>
        <w:spacing w:after="0"/>
        <w:rPr>
          <w:sz w:val="20"/>
          <w:szCs w:val="20"/>
          <w:color w:val="auto"/>
        </w:rPr>
      </w:pPr>
      <w:r>
        <w:rPr>
          <w:rFonts w:ascii="Arial" w:cs="Arial" w:eastAsia="Arial" w:hAnsi="Arial"/>
          <w:sz w:val="16"/>
          <w:szCs w:val="16"/>
          <w:color w:val="auto"/>
        </w:rPr>
        <w:t>sponsor, or certain of our officers or directors may, but are not obligated to, loan us funds as may be required. If we complete our initial business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combination, we would repay such loaned amounts out of the proceeds of the trust account released to us. Otherwise, such loans would be</w:t>
      </w:r>
    </w:p>
    <w:p>
      <w:pPr>
        <w:spacing w:after="0"/>
        <w:rPr>
          <w:sz w:val="20"/>
          <w:szCs w:val="20"/>
          <w:color w:val="auto"/>
        </w:rPr>
      </w:pPr>
      <w:r>
        <w:rPr>
          <w:rFonts w:ascii="Arial" w:cs="Arial" w:eastAsia="Arial" w:hAnsi="Arial"/>
          <w:sz w:val="16"/>
          <w:szCs w:val="16"/>
          <w:color w:val="auto"/>
        </w:rPr>
        <w:t>repaid only out of funds held outside the trust account. In the event that our initial business combination does not close, we may use a portion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working capital held outside the trust account to repay such loaned amounts, but no proceeds from our trust account would be used to repay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such loaned amounts. Up to $2,000,000 of such loans may be convertible into shares of the post-business combination entity at a price of</w:t>
      </w:r>
    </w:p>
    <w:p>
      <w:pPr>
        <w:spacing w:after="0"/>
        <w:rPr>
          <w:sz w:val="20"/>
          <w:szCs w:val="20"/>
          <w:color w:val="auto"/>
        </w:rPr>
      </w:pPr>
      <w:r>
        <w:rPr>
          <w:rFonts w:ascii="Arial" w:cs="Arial" w:eastAsia="Arial" w:hAnsi="Arial"/>
          <w:sz w:val="16"/>
          <w:szCs w:val="16"/>
          <w:color w:val="auto"/>
        </w:rPr>
        <w:t>$10.00 per share at the option of the lender. The shares would be identical to the private placement shares. The terms of such loans, if any, have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not been determined and no written agreements exist with respect to such loans. We do not expect to seek loans from parties other than our</w:t>
      </w:r>
    </w:p>
    <w:p>
      <w:pPr>
        <w:spacing w:after="0"/>
        <w:rPr>
          <w:sz w:val="20"/>
          <w:szCs w:val="20"/>
          <w:color w:val="auto"/>
        </w:rPr>
      </w:pPr>
      <w:r>
        <w:rPr>
          <w:rFonts w:ascii="Arial" w:cs="Arial" w:eastAsia="Arial" w:hAnsi="Arial"/>
          <w:sz w:val="16"/>
          <w:szCs w:val="16"/>
          <w:color w:val="auto"/>
        </w:rPr>
        <w:t>sponsor, or an affiliate of our sponsor, or certain of our officers or directors, as we do not believe third parties will be willing to loan such funds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and provide a waiver against any and all rights to seek access to funds in our trust account.</w:t>
      </w:r>
    </w:p>
    <w:p>
      <w:pPr>
        <w:spacing w:after="0" w:line="10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directors, officers or their respective affiliates may purchase public shares in privately negotiated transactions or in the open market either prior to or following the completion of our initial business combination. There is no limit on the number of shares our sponsor, directors, officers or their affiliates may purchase in such transactions, subject to compliance with applicable law and the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public shares in such transactions prior to completion of our initial business combination. See “Proposed Business— Permitted Purchases of Our Securities” for a description of how our sponsor, initial stockholders, directors, officers or any of their respective affiliates will select which stockholders to purchase securities from in any private transaction.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shares of common stock may be reduced and the number of beneficial holders of our securities may be reduced, which may make it difficult to maintain or obtain the quotation, listing or trading of our securities on a national securities exchange.</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not redeem our public shares in an amount that would cause our net tangible assets to be less than $5,000,001 upon consummation of our initial business combination and after payment of deferred underwriting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0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A public stockholder will be entitled to receive funds from the trust account only upon the earliest to occur of: (i) our completion of an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w:t>
      </w:r>
    </w:p>
    <w:p>
      <w:pPr>
        <w:spacing w:after="0" w:line="1" w:lineRule="exact"/>
        <w:rPr>
          <w:sz w:val="20"/>
          <w:szCs w:val="20"/>
          <w:color w:val="auto"/>
        </w:rPr>
      </w:pPr>
    </w:p>
    <w:p>
      <w:pPr>
        <w:ind w:right="40" w:firstLine="8"/>
        <w:spacing w:after="0" w:line="237" w:lineRule="auto"/>
        <w:tabs>
          <w:tab w:leader="none" w:pos="2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redemption of our public shares if we do not complete our initial business combination within 24 months following the closing of this offering or during any Extension Period, subject to applicable law and as further described herein and any limitations (including but not limited to cash requirements) created by the terms of the proposed initial business combination. In no other circumstances will a public stockholder have any right or interest of any kind to or in the trust account.</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sponsor and each of our officers and directors have entered into a letter agreement with us, pursuant to which they have agreed to (i) waive their redemption rights with respect to their founder shares and any public shares held by them in connection with the completion of our initial business combination, (ii) waive their redemption rights with respect to their founder shares and any public shares held by them in connection with a stockholder vote to approve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32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within 24 months from the closing of this offering or (B) with respect to any other provision relating to stockholders’ rights or pre-initial business combination activity and (iii) waive their rights to liquidating distributions from the trust account with respect to their founder shares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the prescribed timeframe.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 policy</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cash dividends subsequent to our initial business combination will be within the discretion of our board of directors at such time. If we incur any indebtedness in connection with our initial business combination, our ability to declare dividends may be limited by restrictive covenants we may agree to in connection therewith.</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Dilution</w:t>
      </w:r>
    </w:p>
    <w:p>
      <w:pPr>
        <w:spacing w:after="0" w:line="15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difference between the public offering price per share of Class A common stock, and the pro forma net tangible book value per share of our Class A common stock after this offering constitutes the dilution to investors in this offering.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100"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At March 8, 2021, our net tangible book deficit was $150,279, or approximately $(0.03) per share of common stock. After giving effect to the sale of 20,000,000 shares of Class A common stock we are offering by this prospectus (or 23,000,000 shares of Class A common stock if the underwriter’s over-allotment option is exercised in full), the sale of the private placement shares and the deduction of underwriting commissions and estimated expenses of this offering, our pro forma net tangible book value at March 8, 2021 would have been $5,000,010, or $0.74 per share (or $5,000,010, or $0.65 per share, if the underwriter’s over-allotment option is exercised in full), representing an immediate increase in net tangible book value (as decreased by the value of 18,912,384 shares of Class A common stock that may be redeemed for cash, or 21,807,384 shares of Class A common stock that may be redeemed for cash if the underwriter’s over-allotment option is exercised in full) of $0.77 per share (or $0.68 if the underwriter’s over-allotment option is exercised in full) to our sponsor as of the date of this prospectus. Total dilution to public stockholders from this offering will be $9.26 per share (or $9.35 if the underwriter’s over-allotment option is exercised in full).</w:t>
      </w:r>
    </w:p>
    <w:p>
      <w:pPr>
        <w:spacing w:after="0" w:line="81"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The following table illustrates the dilution to the public stockholders on a per-share basis, assuming no value is attributed to the private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Without over-</w:t>
            </w:r>
          </w:p>
        </w:tc>
        <w:tc>
          <w:tcPr>
            <w:tcW w:w="1300" w:type="dxa"/>
            <w:vAlign w:val="bottom"/>
            <w:gridSpan w:val="3"/>
          </w:tcPr>
          <w:p>
            <w:pPr>
              <w:ind w:left="340"/>
              <w:spacing w:after="0"/>
              <w:rPr>
                <w:sz w:val="20"/>
                <w:szCs w:val="20"/>
                <w:color w:val="auto"/>
              </w:rPr>
            </w:pPr>
            <w:r>
              <w:rPr>
                <w:rFonts w:ascii="Arial" w:cs="Arial" w:eastAsia="Arial" w:hAnsi="Arial"/>
                <w:sz w:val="18"/>
                <w:szCs w:val="18"/>
                <w:b w:val="1"/>
                <w:bCs w:val="1"/>
                <w:color w:val="auto"/>
              </w:rPr>
              <w:t>With over-</w:t>
            </w:r>
          </w:p>
        </w:tc>
      </w:tr>
      <w:tr>
        <w:trPr>
          <w:trHeight w:val="221"/>
        </w:trPr>
        <w:tc>
          <w:tcPr>
            <w:tcW w:w="8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allotment</w:t>
            </w:r>
          </w:p>
        </w:tc>
        <w:tc>
          <w:tcPr>
            <w:tcW w:w="13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allotment</w:t>
            </w:r>
          </w:p>
        </w:tc>
      </w:tr>
      <w:tr>
        <w:trPr>
          <w:trHeight w:val="196"/>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10.00</w:t>
            </w:r>
          </w:p>
        </w:tc>
        <w:tc>
          <w:tcPr>
            <w:tcW w:w="560" w:type="dxa"/>
            <w:vAlign w:val="bottom"/>
            <w:tcBorders>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7"/>
                <w:szCs w:val="17"/>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2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(0.03)</w:t>
            </w:r>
          </w:p>
        </w:tc>
        <w:tc>
          <w:tcPr>
            <w:tcW w:w="5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attributable to public stockholders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0.77</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7"/>
                <w:szCs w:val="17"/>
                <w:color w:val="auto"/>
              </w:rPr>
            </w:pPr>
          </w:p>
        </w:tc>
      </w:tr>
      <w:tr>
        <w:trPr>
          <w:trHeight w:val="210"/>
        </w:trPr>
        <w:tc>
          <w:tcPr>
            <w:tcW w:w="8440" w:type="dxa"/>
            <w:vAlign w:val="bottom"/>
          </w:tcPr>
          <w:p>
            <w:pPr>
              <w:spacing w:after="0" w:line="202" w:lineRule="exact"/>
              <w:rPr>
                <w:sz w:val="20"/>
                <w:szCs w:val="20"/>
                <w:color w:val="auto"/>
              </w:rPr>
            </w:pPr>
            <w:r>
              <w:rPr>
                <w:rFonts w:ascii="Arial" w:cs="Arial" w:eastAsia="Arial" w:hAnsi="Arial"/>
                <w:sz w:val="18"/>
                <w:szCs w:val="18"/>
                <w:color w:val="auto"/>
              </w:rPr>
              <w:t>Pro forma net tangible book value after this offering and the sale of the private placement shares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color w:val="auto"/>
              </w:rPr>
              <w:t>0.74</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to public stockholders</w:t>
            </w:r>
          </w:p>
        </w:tc>
        <w:tc>
          <w:tcPr>
            <w:tcW w:w="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9.26</w:t>
            </w:r>
          </w:p>
        </w:tc>
        <w:tc>
          <w:tcPr>
            <w:tcW w:w="560" w:type="dxa"/>
            <w:vAlign w:val="bottom"/>
            <w:tcBorders>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Percentage of dilution to public stockholders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92.6%</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r>
    </w:tbl>
    <w:p>
      <w:pPr>
        <w:spacing w:after="0" w:line="11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For purposes of presentation, we have reduced our pro forma net tangible book value after this offering (assuming no exercise of the underwriter’s over-allotment option) by $189,123,840 because holders of up to approximately 94.6%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account two business days prior to the consummation of our initial business combination, including interest earned on the funds held in the trust account and not previously released to us to pay our income taxes, if any, divided by the number of the then-outstanding public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0"/>
        <w:spacing w:after="0" w:line="239" w:lineRule="auto"/>
        <w:rPr>
          <w:sz w:val="20"/>
          <w:szCs w:val="20"/>
          <w:color w:val="auto"/>
        </w:rPr>
      </w:pPr>
      <w:r>
        <w:rPr>
          <w:rFonts w:ascii="Arial" w:cs="Arial" w:eastAsia="Arial" w:hAnsi="Arial"/>
          <w:sz w:val="18"/>
          <w:szCs w:val="18"/>
          <w:color w:val="auto"/>
        </w:rPr>
        <w:t>The following table sets forth information with respect to our initial stockholders, who hold our Class B common stock, and the public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230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Shares purchased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rPr>
              <w:t>Total consideration</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86"/>
        </w:trPr>
        <w:tc>
          <w:tcPr>
            <w:tcW w:w="538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940" w:type="dxa"/>
            <w:vAlign w:val="bottom"/>
            <w:gridSpan w:val="3"/>
            <w:vMerge w:val="restart"/>
          </w:tcPr>
          <w:p>
            <w:pPr>
              <w:jc w:val="right"/>
              <w:ind w:right="60"/>
              <w:spacing w:after="0" w:line="202" w:lineRule="exact"/>
              <w:rPr>
                <w:sz w:val="20"/>
                <w:szCs w:val="20"/>
                <w:color w:val="auto"/>
              </w:rPr>
            </w:pPr>
            <w:r>
              <w:rPr>
                <w:rFonts w:ascii="Arial" w:cs="Arial" w:eastAsia="Arial" w:hAnsi="Arial"/>
                <w:sz w:val="18"/>
                <w:szCs w:val="18"/>
                <w:b w:val="1"/>
                <w:bCs w:val="1"/>
                <w:color w:val="auto"/>
              </w:rPr>
              <w:t>price per</w:t>
            </w:r>
          </w:p>
        </w:tc>
        <w:tc>
          <w:tcPr>
            <w:tcW w:w="0" w:type="dxa"/>
            <w:vAlign w:val="bottom"/>
          </w:tcPr>
          <w:p>
            <w:pPr>
              <w:spacing w:after="0"/>
              <w:rPr>
                <w:sz w:val="1"/>
                <w:szCs w:val="1"/>
                <w:color w:val="auto"/>
              </w:rPr>
            </w:pPr>
          </w:p>
        </w:tc>
      </w:tr>
      <w:tr>
        <w:trPr>
          <w:trHeight w:val="96"/>
        </w:trPr>
        <w:tc>
          <w:tcPr>
            <w:tcW w:w="538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5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Number</w:t>
            </w: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Percentage</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Amount</w:t>
            </w: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Percentage</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 B Common stock(1)</w:t>
            </w:r>
          </w:p>
        </w:tc>
        <w:tc>
          <w:tcPr>
            <w:tcW w:w="108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5,000,000</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19.49%</w:t>
            </w:r>
          </w:p>
        </w:tc>
        <w:tc>
          <w:tcPr>
            <w:tcW w:w="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655,500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120" w:type="dxa"/>
            <w:vAlign w:val="bottom"/>
          </w:tcPr>
          <w:p>
            <w:pPr>
              <w:spacing w:after="0"/>
              <w:rPr>
                <w:sz w:val="17"/>
                <w:szCs w:val="17"/>
                <w:color w:val="auto"/>
              </w:rPr>
            </w:pP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6,555,000</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3.17%</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Stockholders</w:t>
            </w:r>
          </w:p>
        </w:tc>
        <w:tc>
          <w:tcPr>
            <w:tcW w:w="10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20,000,000</w:t>
            </w:r>
          </w:p>
        </w:tc>
        <w:tc>
          <w:tcPr>
            <w:tcW w:w="122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77.95%</w:t>
            </w:r>
          </w:p>
        </w:tc>
        <w:tc>
          <w:tcPr>
            <w:tcW w:w="2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5"/>
              </w:rPr>
              <w:t>200,000,000</w:t>
            </w:r>
          </w:p>
        </w:tc>
        <w:tc>
          <w:tcPr>
            <w:tcW w:w="1240" w:type="dxa"/>
            <w:vAlign w:val="bottom"/>
            <w:tcBorders>
              <w:bottom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96.82%</w:t>
            </w:r>
          </w:p>
        </w:tc>
        <w:tc>
          <w:tcPr>
            <w:tcW w:w="3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25,655,500</w:t>
            </w: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5"/>
              </w:rPr>
              <w:t>206,580,000</w:t>
            </w: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100.00%</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corresponding forfeiture of 750,000 Class B common stock held by our sponsor.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pro forma net tangible book value per share after this offering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Without over-</w:t>
            </w:r>
          </w:p>
        </w:tc>
        <w:tc>
          <w:tcPr>
            <w:tcW w:w="4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With over-</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allotment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allotment</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Net tangible book deficit before this offering</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(150,279)</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(150,279)</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proceeds from this offering and sale of the private placement shares(1)</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201,100,000</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Plus: Offering costs paid in advance, excluded from tangible book value</w:t>
            </w:r>
          </w:p>
        </w:tc>
        <w:tc>
          <w:tcPr>
            <w:tcW w:w="120" w:type="dxa"/>
            <w:vAlign w:val="bottom"/>
          </w:tcPr>
          <w:p>
            <w:pPr>
              <w:spacing w:after="0"/>
              <w:rPr>
                <w:sz w:val="17"/>
                <w:szCs w:val="17"/>
                <w:color w:val="auto"/>
              </w:rPr>
            </w:pPr>
          </w:p>
        </w:tc>
        <w:tc>
          <w:tcPr>
            <w:tcW w:w="13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174,129</w:t>
            </w: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174,129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Deferred underwriting commissions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(7,000,000)</w:t>
            </w: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(8,050,000)</w:t>
            </w:r>
          </w:p>
        </w:tc>
        <w:tc>
          <w:tcPr>
            <w:tcW w:w="0" w:type="dxa"/>
            <w:vAlign w:val="bottom"/>
          </w:tcPr>
          <w:p>
            <w:pPr>
              <w:spacing w:after="0"/>
              <w:rPr>
                <w:sz w:val="1"/>
                <w:szCs w:val="1"/>
                <w:color w:val="auto"/>
              </w:rPr>
            </w:pPr>
          </w:p>
        </w:tc>
      </w:tr>
      <w:tr>
        <w:trPr>
          <w:trHeight w:val="210"/>
        </w:trPr>
        <w:tc>
          <w:tcPr>
            <w:tcW w:w="8180" w:type="dxa"/>
            <w:vAlign w:val="bottom"/>
          </w:tcPr>
          <w:p>
            <w:pPr>
              <w:spacing w:after="0" w:line="202" w:lineRule="exact"/>
              <w:rPr>
                <w:sz w:val="20"/>
                <w:szCs w:val="20"/>
                <w:color w:val="auto"/>
              </w:rPr>
            </w:pPr>
            <w:r>
              <w:rPr>
                <w:rFonts w:ascii="Arial" w:cs="Arial" w:eastAsia="Arial" w:hAnsi="Arial"/>
                <w:sz w:val="18"/>
                <w:szCs w:val="18"/>
                <w:color w:val="auto"/>
              </w:rPr>
              <w:t>Less: Proceeds held in trust subject to redemption(2)</w:t>
            </w:r>
          </w:p>
        </w:tc>
        <w:tc>
          <w:tcPr>
            <w:tcW w:w="120" w:type="dxa"/>
            <w:vAlign w:val="bottom"/>
          </w:tcPr>
          <w:p>
            <w:pPr>
              <w:spacing w:after="0"/>
              <w:rPr>
                <w:sz w:val="18"/>
                <w:szCs w:val="18"/>
                <w:color w:val="auto"/>
              </w:rPr>
            </w:pP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6"/>
              </w:rPr>
              <w:t>(189,123,840)</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(218,073,840)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5,000,010</w:t>
            </w:r>
          </w:p>
        </w:tc>
        <w:tc>
          <w:tcPr>
            <w:tcW w:w="4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5,000,010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B common stock outstanding prior to this offering</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5,750,000</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Class B common stock forfeited if over-allotment is not exercised</w:t>
            </w:r>
          </w:p>
        </w:tc>
        <w:tc>
          <w:tcPr>
            <w:tcW w:w="120" w:type="dxa"/>
            <w:vAlign w:val="bottom"/>
          </w:tcPr>
          <w:p>
            <w:pPr>
              <w:spacing w:after="0"/>
              <w:rPr>
                <w:sz w:val="17"/>
                <w:szCs w:val="17"/>
                <w:color w:val="auto"/>
              </w:rPr>
            </w:pPr>
          </w:p>
        </w:tc>
        <w:tc>
          <w:tcPr>
            <w:tcW w:w="13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(750,000)</w:t>
            </w:r>
          </w:p>
        </w:tc>
        <w:tc>
          <w:tcPr>
            <w:tcW w:w="40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20,000,000</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Private Placement Shares</w:t>
            </w:r>
          </w:p>
        </w:tc>
        <w:tc>
          <w:tcPr>
            <w:tcW w:w="120" w:type="dxa"/>
            <w:vAlign w:val="bottom"/>
          </w:tcPr>
          <w:p>
            <w:pPr>
              <w:spacing w:after="0"/>
              <w:rPr>
                <w:sz w:val="17"/>
                <w:szCs w:val="17"/>
                <w:color w:val="auto"/>
              </w:rPr>
            </w:pPr>
          </w:p>
        </w:tc>
        <w:tc>
          <w:tcPr>
            <w:tcW w:w="13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655,500</w:t>
            </w: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715,500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Common stock subject to redemption</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(18,912,384)</w:t>
            </w: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(21,807,384)</w:t>
            </w:r>
          </w:p>
        </w:tc>
        <w:tc>
          <w:tcPr>
            <w:tcW w:w="0" w:type="dxa"/>
            <w:vAlign w:val="bottom"/>
          </w:tcPr>
          <w:p>
            <w:pPr>
              <w:spacing w:after="0"/>
              <w:rPr>
                <w:sz w:val="1"/>
                <w:szCs w:val="1"/>
                <w:color w:val="auto"/>
              </w:rPr>
            </w:pPr>
          </w:p>
        </w:tc>
      </w:tr>
      <w:tr>
        <w:trPr>
          <w:trHeight w:val="222"/>
        </w:trPr>
        <w:tc>
          <w:tcPr>
            <w:tcW w:w="81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6,743,116</w:t>
            </w: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7,658,116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20" w:hanging="332"/>
        <w:spacing w:after="0" w:line="258"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$1,455,000 and underwriting commissions of $4,000,000 or $4,600,000 if the underwriter exercises its over-allotment option (excluding deferred underwriting fees). See “Use of Proceeds.”</w:t>
      </w:r>
    </w:p>
    <w:p>
      <w:pPr>
        <w:spacing w:after="0" w:line="43" w:lineRule="exact"/>
        <w:rPr>
          <w:rFonts w:ascii="Arial" w:cs="Arial" w:eastAsia="Arial" w:hAnsi="Arial"/>
          <w:sz w:val="13"/>
          <w:szCs w:val="13"/>
          <w:color w:val="auto"/>
        </w:rPr>
      </w:pPr>
    </w:p>
    <w:p>
      <w:pPr>
        <w:ind w:left="340" w:right="20" w:hanging="332"/>
        <w:spacing w:after="0" w:line="243"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In the event of any such purchases of our shares prior to the completion of our initial business combination, the number of Class A common stock subject to redemption will be reduced by the amount of any such purchases, increasing the pro forma net tangible book value per share. See “Proposed Business—Effecting Our Initial Business Combination—Permitted Purchases and Other Transactions with Respect to Our Securities.”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The following table sets forth our capitalization at March 8, 2021, and as adjusted to give effect to the filing of our amended and restated certificate of incorporation, the sale of our shares in this offering and the private placement shares and the application of the estimated net proceeds derived from the sale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March 8, 2021</w:t>
            </w:r>
          </w:p>
        </w:tc>
      </w:tr>
      <w:tr>
        <w:trPr>
          <w:trHeight w:val="196"/>
        </w:trPr>
        <w:tc>
          <w:tcPr>
            <w:tcW w:w="886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w w:val="94"/>
              </w:rPr>
              <w:t>Actual</w:t>
            </w:r>
          </w:p>
        </w:tc>
        <w:tc>
          <w:tcPr>
            <w:tcW w:w="14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As adjusted(1)</w:t>
            </w:r>
          </w:p>
        </w:tc>
        <w:tc>
          <w:tcPr>
            <w:tcW w:w="120" w:type="dxa"/>
            <w:vAlign w:val="bottom"/>
            <w:tcBorders>
              <w:bottom w:val="single" w:sz="8" w:color="auto"/>
            </w:tcBorders>
          </w:tcPr>
          <w:p>
            <w:pPr>
              <w:spacing w:after="0"/>
              <w:rPr>
                <w:sz w:val="17"/>
                <w:szCs w:val="17"/>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Note payable to related party(2)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10"/>
        </w:trPr>
        <w:tc>
          <w:tcPr>
            <w:tcW w:w="8860" w:type="dxa"/>
            <w:vAlign w:val="bottom"/>
          </w:tcPr>
          <w:p>
            <w:pPr>
              <w:spacing w:after="0" w:line="202" w:lineRule="exact"/>
              <w:rPr>
                <w:sz w:val="20"/>
                <w:szCs w:val="20"/>
                <w:color w:val="auto"/>
              </w:rPr>
            </w:pPr>
            <w:r>
              <w:rPr>
                <w:rFonts w:ascii="Arial" w:cs="Arial" w:eastAsia="Arial" w:hAnsi="Arial"/>
                <w:sz w:val="18"/>
                <w:szCs w:val="18"/>
                <w:color w:val="auto"/>
              </w:rPr>
              <w:t>Deferred underwriting commissions(3)</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8"/>
                <w:szCs w:val="18"/>
                <w:color w:val="auto"/>
              </w:rPr>
            </w:pPr>
          </w:p>
        </w:tc>
      </w:tr>
      <w:tr>
        <w:trPr>
          <w:trHeight w:val="206"/>
        </w:trPr>
        <w:tc>
          <w:tcPr>
            <w:tcW w:w="88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Class A common stock; -0- and 18,912,384 shares are subject to possible redemption, actual and as adjusted,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88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respectively(4)</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189,123,840</w:t>
            </w:r>
          </w:p>
        </w:tc>
        <w:tc>
          <w:tcPr>
            <w:tcW w:w="120" w:type="dxa"/>
            <w:vAlign w:val="bottom"/>
            <w:shd w:val="clear" w:color="auto" w:fill="CCEEFF"/>
          </w:tcPr>
          <w:p>
            <w:pPr>
              <w:spacing w:after="0"/>
              <w:rPr>
                <w:sz w:val="17"/>
                <w:szCs w:val="17"/>
                <w:color w:val="auto"/>
              </w:rPr>
            </w:pPr>
          </w:p>
        </w:tc>
      </w:tr>
      <w:tr>
        <w:trPr>
          <w:trHeight w:val="213"/>
        </w:trPr>
        <w:tc>
          <w:tcPr>
            <w:tcW w:w="886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 actual and as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8860" w:type="dxa"/>
            <w:vAlign w:val="bottom"/>
          </w:tcPr>
          <w:p>
            <w:pPr>
              <w:ind w:left="220"/>
              <w:spacing w:after="0" w:line="200" w:lineRule="exact"/>
              <w:rPr>
                <w:sz w:val="20"/>
                <w:szCs w:val="20"/>
                <w:color w:val="auto"/>
              </w:rPr>
            </w:pPr>
            <w:r>
              <w:rPr>
                <w:rFonts w:ascii="Arial" w:cs="Arial" w:eastAsia="Arial" w:hAnsi="Arial"/>
                <w:sz w:val="18"/>
                <w:szCs w:val="18"/>
                <w:color w:val="auto"/>
              </w:rPr>
              <w:t>adjusted</w:t>
            </w:r>
          </w:p>
        </w:tc>
        <w:tc>
          <w:tcPr>
            <w:tcW w:w="120" w:type="dxa"/>
            <w:vAlign w:val="bottom"/>
          </w:tcPr>
          <w:p>
            <w:pPr>
              <w:spacing w:after="0"/>
              <w:rPr>
                <w:sz w:val="17"/>
                <w:szCs w:val="17"/>
                <w:color w:val="auto"/>
              </w:rPr>
            </w:pPr>
          </w:p>
        </w:tc>
        <w:tc>
          <w:tcPr>
            <w:tcW w:w="74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88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Class A common stock, $0.0001 par value, 100,000,000 shares authorized; -0-and 1,743,116 shares issued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and outstanding (excluding -0- and 18,912,384 shares subject to possible redemption), actual and as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88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adjusted, respectively</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7"/>
                <w:szCs w:val="17"/>
                <w:color w:val="auto"/>
              </w:rPr>
            </w:pPr>
          </w:p>
        </w:tc>
      </w:tr>
      <w:tr>
        <w:trPr>
          <w:trHeight w:val="206"/>
        </w:trPr>
        <w:tc>
          <w:tcPr>
            <w:tcW w:w="8860" w:type="dxa"/>
            <w:vAlign w:val="bottom"/>
          </w:tcPr>
          <w:p>
            <w:pPr>
              <w:spacing w:after="0" w:line="206" w:lineRule="exact"/>
              <w:rPr>
                <w:sz w:val="20"/>
                <w:szCs w:val="20"/>
                <w:color w:val="auto"/>
              </w:rPr>
            </w:pPr>
            <w:r>
              <w:rPr>
                <w:rFonts w:ascii="Arial" w:cs="Arial" w:eastAsia="Arial" w:hAnsi="Arial"/>
                <w:sz w:val="18"/>
                <w:szCs w:val="18"/>
                <w:color w:val="auto"/>
              </w:rPr>
              <w:t>Class B common stock, $0.0001 par value, 10,000,000 shares authorized, 5,750,000 and 5,000,000 shares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8860" w:type="dxa"/>
            <w:vAlign w:val="bottom"/>
          </w:tcPr>
          <w:p>
            <w:pPr>
              <w:ind w:left="220"/>
              <w:spacing w:after="0" w:line="200" w:lineRule="exact"/>
              <w:rPr>
                <w:sz w:val="20"/>
                <w:szCs w:val="20"/>
                <w:color w:val="auto"/>
              </w:rPr>
            </w:pPr>
            <w:r>
              <w:rPr>
                <w:rFonts w:ascii="Arial" w:cs="Arial" w:eastAsia="Arial" w:hAnsi="Arial"/>
                <w:sz w:val="18"/>
                <w:szCs w:val="18"/>
                <w:color w:val="auto"/>
              </w:rPr>
              <w:t>issued and outstanding, actual and as adjusted, respectively(5)</w:t>
            </w:r>
          </w:p>
        </w:tc>
        <w:tc>
          <w:tcPr>
            <w:tcW w:w="120" w:type="dxa"/>
            <w:vAlign w:val="bottom"/>
          </w:tcPr>
          <w:p>
            <w:pPr>
              <w:spacing w:after="0"/>
              <w:rPr>
                <w:sz w:val="17"/>
                <w:szCs w:val="17"/>
                <w:color w:val="auto"/>
              </w:rPr>
            </w:pPr>
          </w:p>
        </w:tc>
        <w:tc>
          <w:tcPr>
            <w:tcW w:w="74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575</w:t>
            </w:r>
          </w:p>
        </w:tc>
        <w:tc>
          <w:tcPr>
            <w:tcW w:w="240" w:type="dxa"/>
            <w:vAlign w:val="bottom"/>
          </w:tcPr>
          <w:p>
            <w:pPr>
              <w:spacing w:after="0"/>
              <w:rPr>
                <w:sz w:val="17"/>
                <w:szCs w:val="17"/>
                <w:color w:val="auto"/>
              </w:rPr>
            </w:pPr>
          </w:p>
        </w:tc>
        <w:tc>
          <w:tcPr>
            <w:tcW w:w="1160" w:type="dxa"/>
            <w:vAlign w:val="bottom"/>
          </w:tcPr>
          <w:p>
            <w:pPr>
              <w:jc w:val="right"/>
              <w:spacing w:after="0" w:line="200" w:lineRule="exact"/>
              <w:rPr>
                <w:sz w:val="20"/>
                <w:szCs w:val="20"/>
                <w:color w:val="auto"/>
              </w:rPr>
            </w:pPr>
            <w:r>
              <w:rPr>
                <w:rFonts w:ascii="Arial" w:cs="Arial" w:eastAsia="Arial" w:hAnsi="Arial"/>
                <w:sz w:val="18"/>
                <w:szCs w:val="18"/>
                <w:color w:val="auto"/>
              </w:rPr>
              <w:t>500</w:t>
            </w:r>
          </w:p>
        </w:tc>
        <w:tc>
          <w:tcPr>
            <w:tcW w:w="120" w:type="dxa"/>
            <w:vAlign w:val="bottom"/>
          </w:tcPr>
          <w:p>
            <w:pPr>
              <w:spacing w:after="0"/>
              <w:rPr>
                <w:sz w:val="17"/>
                <w:szCs w:val="17"/>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4"/>
              </w:rPr>
              <w:t>24,425</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5,000,486</w:t>
            </w:r>
          </w:p>
        </w:tc>
        <w:tc>
          <w:tcPr>
            <w:tcW w:w="120" w:type="dxa"/>
            <w:vAlign w:val="bottom"/>
            <w:shd w:val="clear" w:color="auto" w:fill="CCEEFF"/>
          </w:tcPr>
          <w:p>
            <w:pPr>
              <w:spacing w:after="0"/>
              <w:rPr>
                <w:sz w:val="17"/>
                <w:szCs w:val="17"/>
                <w:color w:val="auto"/>
              </w:rPr>
            </w:pPr>
          </w:p>
        </w:tc>
      </w:tr>
      <w:tr>
        <w:trPr>
          <w:trHeight w:val="209"/>
        </w:trPr>
        <w:tc>
          <w:tcPr>
            <w:tcW w:w="886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(1,150)</w:t>
            </w:r>
          </w:p>
        </w:tc>
        <w:tc>
          <w:tcPr>
            <w:tcW w:w="240" w:type="dxa"/>
            <w:vAlign w:val="bottom"/>
          </w:tcPr>
          <w:p>
            <w:pPr>
              <w:spacing w:after="0"/>
              <w:rPr>
                <w:sz w:val="18"/>
                <w:szCs w:val="18"/>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4"/>
              </w:rPr>
              <w:t>23,850</w:t>
            </w:r>
          </w:p>
        </w:tc>
        <w:tc>
          <w:tcPr>
            <w:tcW w:w="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5,000,010</w:t>
            </w:r>
          </w:p>
        </w:tc>
        <w:tc>
          <w:tcPr>
            <w:tcW w:w="120" w:type="dxa"/>
            <w:vAlign w:val="bottom"/>
            <w:shd w:val="clear" w:color="auto" w:fill="CCEEFF"/>
          </w:tcPr>
          <w:p>
            <w:pPr>
              <w:spacing w:after="0"/>
              <w:rPr>
                <w:sz w:val="17"/>
                <w:szCs w:val="17"/>
                <w:color w:val="auto"/>
              </w:rPr>
            </w:pPr>
          </w:p>
        </w:tc>
      </w:tr>
      <w:tr>
        <w:trPr>
          <w:trHeight w:val="222"/>
        </w:trPr>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capitalization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4"/>
              </w:rPr>
              <w:t>23,850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201,123,850</w:t>
            </w:r>
          </w:p>
        </w:tc>
        <w:tc>
          <w:tcPr>
            <w:tcW w:w="120" w:type="dxa"/>
            <w:vAlign w:val="bottom"/>
          </w:tcPr>
          <w:p>
            <w:pPr>
              <w:spacing w:after="0"/>
              <w:rPr>
                <w:sz w:val="19"/>
                <w:szCs w:val="19"/>
                <w:color w:val="auto"/>
              </w:rPr>
            </w:pPr>
          </w:p>
        </w:tc>
      </w:tr>
    </w:tbl>
    <w:p>
      <w:pPr>
        <w:spacing w:after="0" w:line="6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corresponding forfeiture of 750,000 Class B common stock held by our sponsor.</w:t>
      </w:r>
    </w:p>
    <w:p>
      <w:pPr>
        <w:spacing w:after="0" w:line="66" w:lineRule="exact"/>
        <w:rPr>
          <w:rFonts w:ascii="Arial" w:cs="Arial" w:eastAsia="Arial" w:hAnsi="Arial"/>
          <w:sz w:val="13"/>
          <w:szCs w:val="13"/>
          <w:color w:val="auto"/>
        </w:rPr>
      </w:pPr>
    </w:p>
    <w:p>
      <w:pPr>
        <w:ind w:left="340" w:right="340" w:hanging="332"/>
        <w:spacing w:after="0" w:line="25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sponsor has agreed to loan us up to $300,000 under an unsecured promissory note to be used for a portion of the expenses of this offering. As of March 8, 2021, we had not borrowed any amount under the promissory note.</w:t>
      </w:r>
    </w:p>
    <w:p>
      <w:pPr>
        <w:spacing w:after="0" w:line="43" w:lineRule="exact"/>
        <w:rPr>
          <w:rFonts w:ascii="Arial" w:cs="Arial" w:eastAsia="Arial" w:hAnsi="Arial"/>
          <w:sz w:val="13"/>
          <w:szCs w:val="13"/>
          <w:color w:val="auto"/>
        </w:rPr>
      </w:pPr>
    </w:p>
    <w:p>
      <w:pPr>
        <w:ind w:left="340" w:right="20" w:hanging="332"/>
        <w:spacing w:after="0" w:line="243"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$0.35 per Share, or $7,000,000 ($8,050,000 if the over-allotment is exercised in full) in the aggregate, will be payable to the underwriter for deferred underwriting commissions. The deferred underwriting commissions will become payable to the underwriter from the amounts held in the Trust Account solely in the event that the Company completes an Initial Business Combination, subject to the terms of the underwriting agreement. The Company records deferred underwriting commissions upon the closing of the initial public offering as a reduction of additional paid-in capital. Since the actual additional paid-in capital was reduced by the recording of the accrued deferred underwriting commission, total capitalization, as adjusted, includes the amount of the deferred underwriting commission to reflect total capitalization.</w:t>
      </w:r>
    </w:p>
    <w:p>
      <w:pPr>
        <w:spacing w:after="0" w:line="53" w:lineRule="exact"/>
        <w:rPr>
          <w:rFonts w:ascii="Arial" w:cs="Arial" w:eastAsia="Arial" w:hAnsi="Arial"/>
          <w:sz w:val="13"/>
          <w:szCs w:val="13"/>
          <w:color w:val="auto"/>
        </w:rPr>
      </w:pPr>
    </w:p>
    <w:p>
      <w:pPr>
        <w:ind w:left="340" w:right="20" w:hanging="332"/>
        <w:spacing w:after="0" w:line="243"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53" w:lineRule="exact"/>
        <w:rPr>
          <w:rFonts w:ascii="Arial" w:cs="Arial" w:eastAsia="Arial" w:hAnsi="Arial"/>
          <w:sz w:val="13"/>
          <w:szCs w:val="13"/>
          <w:color w:val="auto"/>
        </w:rPr>
      </w:pPr>
    </w:p>
    <w:p>
      <w:pPr>
        <w:ind w:left="340" w:hanging="332"/>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and as adjusted share amount assumes no exercise of the underwriter’s over-allotment option.</w:t>
      </w:r>
    </w:p>
    <w:p>
      <w:pPr>
        <w:spacing w:after="0" w:line="66" w:lineRule="exact"/>
        <w:rPr>
          <w:rFonts w:ascii="Arial" w:cs="Arial" w:eastAsia="Arial" w:hAnsi="Arial"/>
          <w:sz w:val="13"/>
          <w:szCs w:val="13"/>
          <w:color w:val="auto"/>
        </w:rPr>
      </w:pPr>
    </w:p>
    <w:p>
      <w:pPr>
        <w:ind w:left="340" w:right="40" w:hanging="332"/>
        <w:spacing w:after="0" w:line="25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“as adjusted” additional paid-in capital calculation is equal to the “as adjusted” total stockholders’ equity of $5,000,010, less Class A common stock (par value) of $174, less Class B common stock (par value) of $500, less the accumulated deficit of $1,150.</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line="282"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are a newly organized blank check company incorporated on March 1, 2021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 to date and we do not expect that we will generate operating revenue until we consummate our initial business combination.</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While we may pursue an acquisition opportunity in any business, industry, sector, we intend to focus on industries that complement our management team’s background, and to capitalize on the ability of our management team to identify and acquire a business, focusing on the healthcare or healthcare-related industries. We will pursue investments primarily based in North America. In particular, we intend to focus on companies across the emerging healthcare value chain, life sciences tools, enabling-software, synthetic biology and novel drug discovery and development platforms that enable applications in prevention, diagnosis, treatment and advanced bio-materials. We may pursue a transaction in which our stockholders immediately prior to the completion of our initial business combination would collectively own a minority interest in the post-business combination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117" w:lineRule="exact"/>
        <w:rPr>
          <w:sz w:val="20"/>
          <w:szCs w:val="20"/>
          <w:color w:val="auto"/>
        </w:rPr>
      </w:pPr>
    </w:p>
    <w:p>
      <w:pPr>
        <w:ind w:left="220" w:right="20" w:hanging="212"/>
        <w:spacing w:after="0" w:line="238"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shares of Class A common stock on a greater than one-to-one basis upon conversion of the Class B common stock;</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140" w:lineRule="exact"/>
        <w:rPr>
          <w:rFonts w:ascii="Arial" w:cs="Arial" w:eastAsia="Arial" w:hAnsi="Arial"/>
          <w:sz w:val="16"/>
          <w:szCs w:val="16"/>
          <w:color w:val="auto"/>
        </w:rPr>
      </w:pPr>
    </w:p>
    <w:p>
      <w:pPr>
        <w:jc w:val="both"/>
        <w:ind w:left="220" w:right="180" w:hanging="212"/>
        <w:spacing w:after="0" w:line="299" w:lineRule="auto"/>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68" w:lineRule="exact"/>
        <w:rPr>
          <w:rFonts w:ascii="Arial" w:cs="Arial" w:eastAsia="Arial" w:hAnsi="Arial"/>
          <w:sz w:val="16"/>
          <w:szCs w:val="16"/>
          <w:color w:val="auto"/>
        </w:rPr>
      </w:pPr>
    </w:p>
    <w:p>
      <w:pPr>
        <w:ind w:left="220" w:right="140" w:hanging="212"/>
        <w:spacing w:after="0" w:line="239"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117" w:lineRule="exact"/>
        <w:rPr>
          <w:sz w:val="20"/>
          <w:szCs w:val="20"/>
          <w:color w:val="auto"/>
        </w:rPr>
      </w:pPr>
    </w:p>
    <w:p>
      <w:pPr>
        <w:ind w:left="220" w:right="760" w:hanging="212"/>
        <w:spacing w:after="0" w:line="239"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14" w:lineRule="exact"/>
        <w:rPr>
          <w:rFonts w:ascii="Arial" w:cs="Arial" w:eastAsia="Arial" w:hAnsi="Arial"/>
          <w:sz w:val="18"/>
          <w:szCs w:val="18"/>
          <w:color w:val="auto"/>
        </w:rPr>
      </w:pPr>
    </w:p>
    <w:p>
      <w:pPr>
        <w:ind w:left="220" w:right="220" w:hanging="212"/>
        <w:spacing w:after="0" w:line="239"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17" w:lineRule="exact"/>
        <w:rPr>
          <w:rFonts w:ascii="Arial" w:cs="Arial" w:eastAsia="Arial" w:hAnsi="Arial"/>
          <w:sz w:val="18"/>
          <w:szCs w:val="18"/>
          <w:color w:val="auto"/>
        </w:rPr>
      </w:pPr>
    </w:p>
    <w:p>
      <w:pPr>
        <w:ind w:left="220" w:right="40" w:hanging="212"/>
        <w:spacing w:after="0" w:line="238"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17"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14" w:lineRule="exact"/>
        <w:rPr>
          <w:rFonts w:ascii="Arial" w:cs="Arial" w:eastAsia="Arial" w:hAnsi="Arial"/>
          <w:sz w:val="18"/>
          <w:szCs w:val="18"/>
          <w:color w:val="auto"/>
        </w:rPr>
      </w:pPr>
    </w:p>
    <w:p>
      <w:pPr>
        <w:ind w:left="220" w:right="660" w:hanging="212"/>
        <w:spacing w:after="0" w:line="239"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indicated in the accompanying financial statements, as of March 8, 2021, we had no cash and deferred offering costs of approximately</w:t>
      </w:r>
    </w:p>
    <w:p>
      <w:pPr>
        <w:ind w:right="160"/>
        <w:spacing w:after="0" w:line="238" w:lineRule="auto"/>
        <w:rPr>
          <w:sz w:val="20"/>
          <w:szCs w:val="20"/>
          <w:color w:val="auto"/>
        </w:rPr>
      </w:pPr>
      <w:r>
        <w:rPr>
          <w:rFonts w:ascii="Arial" w:cs="Arial" w:eastAsia="Arial" w:hAnsi="Arial"/>
          <w:sz w:val="18"/>
          <w:szCs w:val="18"/>
          <w:color w:val="auto"/>
        </w:rPr>
        <w:t>$174,129. Further, we expect to incur significant costs in the pursuit of our initial business combination. We cannot assure you that our plans to raise capital or to complete our initial business combination will be successful. These factors among others raise substantial doubt about our ability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and known trends or future events</w:t>
      </w:r>
    </w:p>
    <w:p>
      <w:pPr>
        <w:spacing w:after="0" w:line="13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(at the earliest).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liquidity needs have been satisfied prior to completion of this offering through receipt of $25,000 from the sale of shares of Class B common stock to our sponsor and up to $300,000 in a loan from our sponsor under an unsecured promissory note. As of March 8, 2021, we had no borrowings outstanding under the promissory note with our sponsor. We estimate that the net proceeds from (i) the sale of the shares in this offering, after deducting offering expenses of approximately $1,455,000 and underwriting commissions of $4,000,000, or $4,600,000 if the underwriter’s over-allotment option is exercised in full (excluding deferred underwriting commissions of $7,000,000 (or $8,050,000 if the underwriter’s over-allotment option is exercised in full)) and (ii) the sale of the private placement shares for a purchase price of $6,555,000 (or $7,155,000 if the underwriter’s over-allotment option is exercised in full) will be $201,100,000 (or $231,100,000 if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underwriter’s over-allotment option is exercised in full). Of this amount, $200,000,000, or $230,000,000 if the underwriter’s over-allotment option is exercised in full, including $7,000,000 (or $8,050,000 if the underwriter’s over-allotment option is exercised in full) in deferred underwriting commissions, will be deposited into a trust account. The funds in the trust account will be invested only in specified U.S. government treasury bills or in specified money market funds. The remaining $1,100,000 will not be held in the trust account. In the event that our offering expenses exceed our estimate of $1,455,000 we may fund such excess with funds not to be held in the trust account. In such case, the amount of funds we intend to be held outside the trust account would decrease by a corresponding amount. Conversely, in the event that the offering expenses are less than our estimate of $1,455,000, the amount of funds we intend to be held outside the trust account would increase by a corresponding amount.</w:t>
      </w:r>
    </w:p>
    <w:p>
      <w:pPr>
        <w:spacing w:after="0" w:line="10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deferred underwriting commissions) to complete our initial business combination. We may withdraw interest to pay franchise and income taxes. We estimate our annual franchise tax obligations, based on the number of shares of our common stock authorized and outstanding after the completion of this offering, to be $200,000, which is the maximum amount of annual franchise taxes payable by us as a Delaware corporation per annum, which we may pay from funds from this offering held outside of the trust account or from interest earned on the funds held in our trust account and released to us for this purpose. Our annual income tax obligations will depend on the amount of interest and other income earned on the amounts held in the trust account.</w:t>
      </w:r>
    </w:p>
    <w:p>
      <w:pPr>
        <w:spacing w:after="0" w:line="10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expect the interest earned on the amount in the trust account will be sufficient to pay our franchise and income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00"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Prior to the completion of our initial business combination, we will have available to us the approximately $1,100,000 of proceeds held outside the trust account. We will use these funds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or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$2,000,000 of such loans may be convertible into shares of the post-business combination entity at a price of $10.00 per share at the option of the lender. The shares would be identical to the private placement shares. The terms of such loans, if any, have not been determined and no written agreements exist with respect to such loans. We do not expect to seek loans from parties other than our sponsor or an affiliate of our sponsor, or certain of our officers or directors as we do not believe third parties will be willing to loan such funds and provide a waiver against any and all rights to seek access to funds in our trust account.</w:t>
      </w:r>
    </w:p>
    <w:p>
      <w:pPr>
        <w:spacing w:after="0" w:line="10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expect our primary liquidity requirements during that period to include approximately $400,000 for legal, accounting, due diligence, travel and other expenses in connection with any business combination; $175,000 for legal and accounting fees related to regulatory reporting obligations; $240,000 for payment for office space,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administrative and support services; $150,000 for consulting and miscellaneous expenses incurred during the search for an initial business combination; $55,000 for Nasdaq continued listing fees; and $80,000 for working capital to cover miscellaneous expenses.</w:t>
      </w:r>
    </w:p>
    <w:p>
      <w:pPr>
        <w:spacing w:after="0" w:line="10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may target businesses larger than we could acquire with the net proceeds of this offering and the sale of the private placement shares, and may as a result be required to seek additional financing to complete such proposed initial business combination. Subject to compliance with applicable securities laws, we would only complete such financing concurrently with the completion of our initial business combination. If we do not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Controls and procedures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not currently required to certify an effective system of internal controls as defined by Section 404 of the Sarbanes-Oxley Act. We will be required to comply with the internal control reporting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on our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0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regarding the adequacy of internal controls. Many small and mid-sized target businesses we may consider for our initial business combination may have internal controls that need improvement in areas such as:</w:t>
      </w:r>
    </w:p>
    <w:p>
      <w:pPr>
        <w:spacing w:after="0" w:line="110"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ind w:left="220" w:hanging="212"/>
        <w:spacing w:after="0" w:line="234"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reconciliation of accounts;</w:t>
      </w:r>
    </w:p>
    <w:p>
      <w:pPr>
        <w:ind w:left="220" w:hanging="212"/>
        <w:spacing w:after="0" w:line="234"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ind w:left="220" w:hanging="212"/>
        <w:spacing w:after="0" w:line="234"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ind w:left="220" w:hanging="212"/>
        <w:spacing w:after="0" w:line="234"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0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03"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Once our management team’s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net proceeds of this offering and the sale of the private placement shares held in the trust account will be invested in U.S. government treasury bills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 However, if the interest rates of U.S. government treasury obligations become negative, we may have less interest income available to us for payment of taxes, and a decline in the value of the assets held in the trust account could reduce the principal below the amount initially deposited in the trust account.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 commitments and contractual obligations; quarterly results</w:t>
      </w:r>
    </w:p>
    <w:p>
      <w:pPr>
        <w:spacing w:after="0" w:line="13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As of March 8, 2021, we did not have any off-balance sheet arrangements as defined in Item 303(a)(4)(ii) of Regulation S-K and did not have any commitments or contractual obligations other than those referenced in the accompanying financial statements. See Note 6. No unaudited quarterly operating data is included in this prospectus, as we have conducted no operations to date.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60"/>
          </w:cols>
          <w:pgMar w:left="32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120"/>
        <w:spacing w:after="0" w:line="239" w:lineRule="auto"/>
        <w:rPr>
          <w:sz w:val="20"/>
          <w:szCs w:val="20"/>
          <w:color w:val="auto"/>
        </w:rPr>
      </w:pPr>
      <w:r>
        <w:rPr>
          <w:rFonts w:ascii="Arial" w:cs="Arial" w:eastAsia="Arial" w:hAnsi="Arial"/>
          <w:sz w:val="18"/>
          <w:szCs w:val="18"/>
          <w:color w:val="auto"/>
        </w:rPr>
        <w:t>companies. As a result, our financial statements may not be comparable to companies that comply with new or revised accounting pronouncements as of public company effective dates.</w:t>
      </w:r>
    </w:p>
    <w:p>
      <w:pPr>
        <w:spacing w:after="0" w:line="10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w:t>
      </w:r>
    </w:p>
    <w:p>
      <w:pPr>
        <w:ind w:left="300" w:hanging="292"/>
        <w:spacing w:after="0" w:line="235"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w:t>
      </w:r>
    </w:p>
    <w:p>
      <w:pPr>
        <w:ind w:right="240"/>
        <w:spacing w:after="0" w:line="239" w:lineRule="auto"/>
        <w:rPr>
          <w:rFonts w:ascii="Arial" w:cs="Arial" w:eastAsia="Arial" w:hAnsi="Arial"/>
          <w:sz w:val="18"/>
          <w:szCs w:val="18"/>
          <w:color w:val="auto"/>
        </w:rPr>
      </w:pPr>
      <w:r>
        <w:rPr>
          <w:rFonts w:ascii="Arial" w:cs="Arial" w:eastAsia="Arial" w:hAnsi="Arial"/>
          <w:sz w:val="18"/>
          <w:szCs w:val="18"/>
          <w:color w:val="auto"/>
        </w:rPr>
        <w:t>comparisons of the principal executive officer’s compensation to median employee compensation. These exemptions will apply for a period of five years following the completion of this offering or until we are no longer an “emerging growth company,” whichever is earlier.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Proposed business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company</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a newly organized blank check company incorporated on March 1, 2021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 to date and we do not expect that we will generate operating revenue until we consummate our initial business combination.</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While we may pursue an acquisition opportunity in any business, industry, sector, we intend to focus on industries that complement our management team’s background, and to capitalize on the ability of our management team to identify and acquire a business, focusing on the healthcare or healthcare-related industries. We will pursue investments primarily based in North America. In particular, we intend to focus on companies across the emerging healthcare value chain, life sciences tools, enabling-software, synthetic biology and novel drug discovery and development platforms that enable applications in prevention, diagnosis, treatment and advanced bio-materials. We may pursue a transaction in which our stockholders immediately prior to the completion of our initial business combination would collectively own a minority interest in the post-business combination company.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strategy</w:t>
      </w:r>
    </w:p>
    <w:p>
      <w:pPr>
        <w:spacing w:after="0" w:line="13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believe that the life sciences subsector is undergoing a dramatic transformation due to broad-scale availability of disruptive foundational technologies which enable significant improvements in diagnosis, treatment, monitoring and prediction of health and disease, at an accelerated pace. The pace of innovation is unprecedented throughout history, and we do not see the pace of this innovation subsiding. As a result, the ability to better understand biology – and harness it to diagnose and treat disease – is driving the creation of new markets and the disruption of existing markets throughout the life sciences field. Our focus will be on opportunities across the emerging healthcare value chains being created by disruptive technologies, including life sciences tools, enabling-software, synthetic biology and novel drug discovery and development platforms that enable applications in prevention, diagnosis, treatment and advanced bio-materials. We aim to find a disruptive target company and help accelerate value faster than otherwise achievable as a stand-alone company pursuing a traditional IPO path.</w:t>
      </w:r>
    </w:p>
    <w:p>
      <w:pPr>
        <w:spacing w:after="0" w:line="7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believe that certain life sciences companies will see material benefits from being publicly traded, including greater access to capital and attracting and retaining talent. Based on our management team’s experience as active participants in private financings and subsequent IPOs, we believe we can provide an acquisition target with a more efficient path to going public with a known investor syndicate and acquisition price negotiated upfront.</w:t>
      </w:r>
    </w:p>
    <w:p>
      <w:pPr>
        <w:spacing w:after="0" w:line="10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Our collective network of contacts and deep relationships across industry, academia and the investment community is unique. Value inflection and acceleration of technological development is, of course, not simply about capital, but connectivity and collective wisdom. We intend to contribute to a target company so that it realizes more value, including by potentially helping such company achieve collaborations, gain new strategic guidance, extend the platform into new end markets, and/or expand the quality of its investor syndicate.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320" w:top="459" w:right="3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founders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sponsor team has a long history of working together with combined decades of experience across multiple complimentary areas—(1) innovating, founding, building, and scaling world-class organizations as executives and directors of public and private companies, creating billions of dollars in shareholder value; (2) identifying, vetting, investing in, incubating, and positioning novel scientific breakthroughs and partnering with management teams to help them execute on their visions; (3) maintaining a deep understanding of the market and the vision and the foresight to develop new end markets based on disruptive products across the life sciences subsector; and (4) raising capital for emerging companies with transformative life sciences technologies.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management team and Board of Directors consist of our Executive Chair, Omid Farokhzad, MD, who is currently Founder, CEO, and Chair of Seer, Inc. (Nasdaq: SEER); our Chief Executive Officer, Mostafa Ronaghi, PhD, who was most recently Chief Technology Officer of Illumina (Nasdaq: ILMN); our Chief Financial Officer, Mark Afrasiabi, CFA, most recently Senior Partner at Silver Rock Financial, L.P.; our Chief Business Officer, Rowan Chapman, PhD, a seasoned venture capital investor across the life sciences subsector; our independent director Jay Flatley, who served as CEO of Illumina from June 1999 to March 2016 and Chairman of Illumina until March 2021 (Nasdaq: ILMN); our independent director David Epstein, formerly CEO of Novartis Pharmaceuticals; and our independent director Deep Nishar, currently Senior Managing Partner of the Softbank Vision Fund. We also have a Chief Scientific Advisor, Professor Robert Langer, who is currently one of twelve Institute Professors at MIT. We believe that the strong scientific, entrepreneurial, investment and management backgrounds of our management, directors and advisor —coupled with a deep network across industry, academia, and the investment community—will enable us to identify a disruptive acquisition target that can thrive as a public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management and board of directors</w:t>
      </w:r>
    </w:p>
    <w:p>
      <w:pPr>
        <w:spacing w:after="0" w:line="13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believe that our management team is well-positioned to take advantage of the growing set of acquisition and investment opportunities within the life sciences and pharmaceutical sectors.</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Omid Farokhzad, M.D.—executive chair: </w:t>
      </w:r>
      <w:r>
        <w:rPr>
          <w:rFonts w:ascii="Arial" w:cs="Arial" w:eastAsia="Arial" w:hAnsi="Arial"/>
          <w:sz w:val="18"/>
          <w:szCs w:val="18"/>
          <w:color w:val="auto"/>
        </w:rPr>
        <w:t>Dr. Farokhzad is a physician-scientist, serial entrepreneur, company founder, company builder,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and director – across multiple companies and technology platforms. He founded Seer, Inc. (Nasdaq: SEER) in 2017, where he is Founder/CEO/Chair, advancing a transformative proteomics platform. He previously co-founded BIND Therapeutics (acquired by Pfizer), Selecta Biosciences, Inc. (Nasdaq: SELB), which is developing a novel antigen-specific tolerance platform for biologics and gene therapy, and Tarveda Therapeutics, Inc., a privately held oncology biotherapeutics company. From September 2004 to February 2018, he was a Professor at Harvard Medical School and directed the Center for Nanomedicine at Brigham and Women’s Hospital. He has authored over 180 papers and is an inventor on over 200 issued or pending patents. He is a Fellow of the National Academy of Inventors. He is also a recipient of the 2016 Ellis Island Medal of Honor; the 2014 Golden Door Award from the International Institute of New England, for his scientific, societal and economic contributions to America as an immigrant; The Worldview 100 by Scientific American in 2015, which recognized visionaries who shaped biotechnology around the world; the 2013 RUSNANOPRIZE, one of the largest international nanotechnology prizes, for his work on nanomaterial surface modification; and the 2012 Ernst &amp; Young New England Entrepreneur of the Year Award. Dr. Farokhzad holds an MA and MD from Boston University and an MBA from MIT Sloan School of Management.</w:t>
      </w:r>
    </w:p>
    <w:p>
      <w:pPr>
        <w:spacing w:after="0" w:line="8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 xml:space="preserve">Mostafa Ronaghi, PhD—chief executive officer </w:t>
      </w:r>
      <w:r>
        <w:rPr>
          <w:rFonts w:ascii="Arial" w:cs="Arial" w:eastAsia="Arial" w:hAnsi="Arial"/>
          <w:sz w:val="16"/>
          <w:szCs w:val="16"/>
          <w:i w:val="1"/>
          <w:iCs w:val="1"/>
          <w:color w:val="auto"/>
        </w:rPr>
        <w:t>&amp; director</w:t>
      </w:r>
      <w:r>
        <w:rPr>
          <w:rFonts w:ascii="Arial" w:cs="Arial" w:eastAsia="Arial" w:hAnsi="Arial"/>
          <w:sz w:val="16"/>
          <w:szCs w:val="16"/>
          <w:color w:val="auto"/>
        </w:rPr>
        <w:t>: Dr. Ronaghi is a scientist-entrepreneur, inventor, investor, company-founder,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and director. Most recently, he was Chief Technology Officer, Senior Vice President and member of the Executive Leadership Team at Illumina (Nasdaq: ILMN) from 2008 to 2021. While at Illumina, in 2016, Dr. Ronaghi co-founded GRAIL, a next-gen liquid biopsy platform for cancer detection. He also started Illumina’s Research &amp; Technology Development group, and co-founded the Illumina Accelerator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Program in 2014, one of the most successful accelerator programs in the industry, which coached and invested in more than 50 start-ups, achieving one of the highest success rates for securing external institutional funding. Prior to Illumina, Dr. Ronaghi was Principal Investigator at the Stanford Genome Technology Center from 1999 to 2008. Throughout his prolific career, Dr. Ronaghi co-founded several other companies, including Pyrosequencing AB (founded in 1997; IPO in 2000 in Stockholm), focused on sequencing-by-synthesis technology (which was the first next-gen sequencing technology, and laid the groundwork for the leading technology developed by Illumina). He then co-founded ParAllele Biosciences in 2001, which was acquired by Affymetrix in 2005, which developed a first-of-its-kind technology for highly multiplex genotyping (used by the international Hapmap project to identify genetic variations across different population and diseases). He co-founded NextBio in 2004 (acquired by Illumina in 2013), where he developed a software platform to analyze molecular biological data. He also co-founded Avantome in 2008 (acquired by Illumina in 2008), as a low-cost DNA sequencer to democratize sequencing. He has advised and invested in more than 70 companies and is an inventor on over 30 issued and pending patents, as well as authored more than 80 scientific publications. He is also a recipient of the 2015 Ellis Island Medal of Honor. He currently serves as a Board member at GRAIL, Seer (Nasdaq: SEER), 1Health, Clearlabs, and three other private companies. Dr. Ronaghi holds a PhD in Biotechnology from Royal Institute of Technology, Stockholm, and B.Sc in Biomedical Chemistry, University of Kalmar, Sweden.</w:t>
      </w:r>
    </w:p>
    <w:p>
      <w:pPr>
        <w:spacing w:after="0" w:line="88"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Mark Afrasiabi, CFA—chief financial officer: </w:t>
      </w:r>
      <w:r>
        <w:rPr>
          <w:rFonts w:ascii="Arial" w:cs="Arial" w:eastAsia="Arial" w:hAnsi="Arial"/>
          <w:sz w:val="18"/>
          <w:szCs w:val="18"/>
          <w:color w:val="auto"/>
        </w:rPr>
        <w:t>Mr. Afrasiabi was most recently a Partner and Co-Head of the Investment Committee at Silver</w:t>
      </w:r>
      <w:r>
        <w:rPr>
          <w:rFonts w:ascii="Arial" w:cs="Arial" w:eastAsia="Arial" w:hAnsi="Arial"/>
          <w:sz w:val="18"/>
          <w:szCs w:val="18"/>
          <w:i w:val="1"/>
          <w:iCs w:val="1"/>
          <w:color w:val="auto"/>
        </w:rPr>
        <w:t xml:space="preserve"> </w:t>
      </w:r>
      <w:r>
        <w:rPr>
          <w:rFonts w:ascii="Arial" w:cs="Arial" w:eastAsia="Arial" w:hAnsi="Arial"/>
          <w:sz w:val="18"/>
          <w:szCs w:val="18"/>
          <w:color w:val="auto"/>
        </w:rPr>
        <w:t>Rock Financial LP, an investment management firm with approximately $3 billion in assets under management, where he was responsible for the healthcare portfolio. Mr. Afrasiabi was at Silver Rock from inception in 2010 to 2021. Previously, from 2006 to 2010, he was a High-Yield Research Analyst (covering healthcare) and Portfolio Manager at PIMCO. Throughout his career, he has invested across the capital structure in all subsectors of healthcare, including pharma, biotech, life sciences tools, facilities, services, payers, health IT, and medical devices, among other subsectors. Prior to his 15-year investment management career, he worked in investment banking at Lehman Brothers, and was an Attorney at Irell &amp; Manella LLP. He also served as a Law Clerk on the United States Court of Appeals for the Ninth Circuit (Hon. Richard R. Clifton). Mr. Afrasiabi holds a JD from Harvard Law School and BA in Economics from UCLA, and is a CFA Charterholder.</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i w:val="1"/>
          <w:iCs w:val="1"/>
          <w:color w:val="auto"/>
        </w:rPr>
        <w:t xml:space="preserve">Rowan Chapman, PhD—chief business officer: </w:t>
      </w:r>
      <w:r>
        <w:rPr>
          <w:rFonts w:ascii="Arial" w:cs="Arial" w:eastAsia="Arial" w:hAnsi="Arial"/>
          <w:sz w:val="16"/>
          <w:szCs w:val="16"/>
          <w:color w:val="auto"/>
        </w:rPr>
        <w:t>Dr. Chapman is an executive business development leader from start up to Fortune 50,</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founder, equity investor and director. She currently serves as an independent director at Evidation Health and Natera, Inc. (Nasdaq: NTRA). She has led the execution of more than 80 partnerships and investments across healthcare verticals including life sciences tools, therapeutics, diagnostics, medical devices, vaccines and digital health. Dr. Chapman served as head of Johnson &amp; Johnson Innovation (NYSE: JNJ), Western North America, Australia and New Zealand, from January 2017 to August 2019. Prior to that, she held various roles with General Electric Company (NYSE: GE) from 2012 to 2016, including as Head of Healthcare Investing at GE Ventures where she led the team responsible for the investment portfolio with a particular focus on digital health, data analytics and precision medicine. During that time, she led the creation of three healthcare startups including Evidation Health and Vineti. Dr. Chapman also served as Head of Precision Diagnostics at GE Healthcare, where she was responsible for strategy development to integrate lab services, products, data, informatics and software. Prior to that, she held operational roles in early and growth-stage startups and was a partner at Mohr Davidow Ventures for over 11 years, from 2001 to 2012, gaining extensive experience as an investor, board member or board advisor for a wide variety of technology and data-enabled companies including Adamas (IPO: ADMS), HealthTap, Pacific Biosciences (IPO: PACB), ParAllele Biosciences (acquired: AFFX), Personalis (IPO: PSNL), Sequenta (acquired: ADPT) and Verinata (acquired: ILMN). She was also an early employee at Rosetta Inpharmatics (went public and then acquired by Merck) and Incyte Genomics (Nasdaq: INCY). She is also a co-founder of Initiate Studios, a life sciences incubator founded in 2020, where she partners with entrepreneurs to launch new healthcare companies. Dr. Chapman holds a PhD in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Biochemistry and Molecular Biology and BA in Biochemistry from the University of Cambridge, United Kingdom, and carried out post-doctoral research at UCSF.</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David R. Epstein—independent director: </w:t>
      </w:r>
      <w:r>
        <w:rPr>
          <w:rFonts w:ascii="Arial" w:cs="Arial" w:eastAsia="Arial" w:hAnsi="Arial"/>
          <w:sz w:val="18"/>
          <w:szCs w:val="18"/>
          <w:color w:val="auto"/>
        </w:rPr>
        <w:t>Mr. Epstein is executive partner at Flagship Pioneering and Chairman of Axcella Health, Inc. (Nasdaq:</w:t>
      </w:r>
      <w:r>
        <w:rPr>
          <w:rFonts w:ascii="Arial" w:cs="Arial" w:eastAsia="Arial" w:hAnsi="Arial"/>
          <w:sz w:val="18"/>
          <w:szCs w:val="18"/>
          <w:i w:val="1"/>
          <w:iCs w:val="1"/>
          <w:color w:val="auto"/>
        </w:rPr>
        <w:t xml:space="preserve"> </w:t>
      </w:r>
      <w:r>
        <w:rPr>
          <w:rFonts w:ascii="Arial" w:cs="Arial" w:eastAsia="Arial" w:hAnsi="Arial"/>
          <w:sz w:val="18"/>
          <w:szCs w:val="18"/>
          <w:color w:val="auto"/>
        </w:rPr>
        <w:t>AXLA), Rubius Therapeutics, Inc. (Nasdaq: RUBY) and Evelo Biosciences, Inc. (Nasdaq: EVLO). Mr. Epstein is also a board member at three privately held biotherapeutics companies (Tarus Therapeutics, Valo Health and Woolsey Pharma). From 2010 to mid-2016 he served as CEO of Novartis Pharmaceuticals, a division of Novartis AG. Previously, he started and led Novartis’ Oncology and Molecular Diagnostic units. Under his leadership the company’s oncology business grew to the second largest in the world. David has more than 25 years of extensive drug development, deal making, commercialization and leadership experience on a global scale. Over the course of his career, he led the development and commercialization of over 30 new molecular entities, including major breakthroughs such as Glivec</w:t>
      </w:r>
      <w:r>
        <w:rPr>
          <w:rFonts w:ascii="Arial" w:cs="Arial" w:eastAsia="Arial" w:hAnsi="Arial"/>
          <w:sz w:val="11"/>
          <w:szCs w:val="11"/>
          <w:color w:val="auto"/>
        </w:rPr>
        <w:t>®</w:t>
      </w:r>
      <w:r>
        <w:rPr>
          <w:rFonts w:ascii="Arial" w:cs="Arial" w:eastAsia="Arial" w:hAnsi="Arial"/>
          <w:sz w:val="18"/>
          <w:szCs w:val="18"/>
          <w:color w:val="auto"/>
        </w:rPr>
        <w:t>, Tasigna</w:t>
      </w:r>
      <w:r>
        <w:rPr>
          <w:rFonts w:ascii="Arial" w:cs="Arial" w:eastAsia="Arial" w:hAnsi="Arial"/>
          <w:sz w:val="11"/>
          <w:szCs w:val="11"/>
          <w:color w:val="auto"/>
        </w:rPr>
        <w:t>®</w:t>
      </w:r>
      <w:r>
        <w:rPr>
          <w:rFonts w:ascii="Arial" w:cs="Arial" w:eastAsia="Arial" w:hAnsi="Arial"/>
          <w:sz w:val="18"/>
          <w:szCs w:val="18"/>
          <w:color w:val="auto"/>
        </w:rPr>
        <w:t>, Gilenya</w:t>
      </w:r>
      <w:r>
        <w:rPr>
          <w:rFonts w:ascii="Arial" w:cs="Arial" w:eastAsia="Arial" w:hAnsi="Arial"/>
          <w:sz w:val="11"/>
          <w:szCs w:val="11"/>
          <w:color w:val="auto"/>
        </w:rPr>
        <w:t>®</w:t>
      </w:r>
      <w:r>
        <w:rPr>
          <w:rFonts w:ascii="Arial" w:cs="Arial" w:eastAsia="Arial" w:hAnsi="Arial"/>
          <w:sz w:val="18"/>
          <w:szCs w:val="18"/>
          <w:color w:val="auto"/>
        </w:rPr>
        <w:t>, Cosentyx</w:t>
      </w:r>
      <w:r>
        <w:rPr>
          <w:rFonts w:ascii="Arial" w:cs="Arial" w:eastAsia="Arial" w:hAnsi="Arial"/>
          <w:sz w:val="11"/>
          <w:szCs w:val="11"/>
          <w:color w:val="auto"/>
        </w:rPr>
        <w:t>®</w:t>
      </w:r>
      <w:r>
        <w:rPr>
          <w:rFonts w:ascii="Arial" w:cs="Arial" w:eastAsia="Arial" w:hAnsi="Arial"/>
          <w:sz w:val="18"/>
          <w:szCs w:val="18"/>
          <w:color w:val="auto"/>
        </w:rPr>
        <w:t xml:space="preserve"> and Entresto</w:t>
      </w:r>
      <w:r>
        <w:rPr>
          <w:rFonts w:ascii="Arial" w:cs="Arial" w:eastAsia="Arial" w:hAnsi="Arial"/>
          <w:sz w:val="11"/>
          <w:szCs w:val="11"/>
          <w:color w:val="auto"/>
        </w:rPr>
        <w:t>®</w:t>
      </w:r>
      <w:r>
        <w:rPr>
          <w:rFonts w:ascii="Arial" w:cs="Arial" w:eastAsia="Arial" w:hAnsi="Arial"/>
          <w:sz w:val="18"/>
          <w:szCs w:val="18"/>
          <w:color w:val="auto"/>
        </w:rPr>
        <w:t>. His teams developed three Prix Galien award winners, and he has mentored several CEOs into their roles. He was named by FierceBiotech as one of the “25 most influential people in biopharma” in 2015. Early in his career, he was an associate in the strategy practice of consulting firm Booz, Allen and Hamilton. Mr. Epstein holds a BS in pharmacy from Rutgers University College of Pharmacy and an MBA in finance and marketing from the Columbia University Graduate School of Business.</w:t>
      </w:r>
    </w:p>
    <w:p>
      <w:pPr>
        <w:spacing w:after="0" w:line="8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 xml:space="preserve">Jay Flatley—independent director: </w:t>
      </w:r>
      <w:r>
        <w:rPr>
          <w:rFonts w:ascii="Arial" w:cs="Arial" w:eastAsia="Arial" w:hAnsi="Arial"/>
          <w:sz w:val="18"/>
          <w:szCs w:val="18"/>
          <w:color w:val="auto"/>
        </w:rPr>
        <w:t>Mr. Flatley led Illumina (Nasdaq: ILMN) as CEO from 1999 until 2016, as Executive Chairman through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served as Chairman of the Board until March 2021. During his tenure as CEO, he took the company from $1.3 million in sales in 2000 to $2.2 billion in 2015, representing a compound annual growth rate of 64 percent. Prior to joining Illumina, Mr. Flatley was co-founder, President, CEO, and a director of Molecular Dynamics, Inc., a Nasdaq-listed life sciences Company focused on genetic discovery and analysis, from 1994 until its sale to Amersham Pharmacia Biotech Inc. in 1998. He served in various other positions of increasing responsibility with Molecular Dynamics from 1987 to 1994. From 1985 to 1987, Mr. Flatley was Vice President of Engineering and Vice President of Strategic Planning at Plexus Computers, a UNIX computer Company. Mr. Flatley also serves as Chairman of Zymergen (Nasdaq: ZY), Chairman of Iridia, Inc. (privately held) and a director of Coherent, Inc. (Nasdaq: COHR); Denali Therapeutics, Inc. (Nasdaq: DNLI); and Helix Holdings I, LLC. He is also on the Board of Trustees at the Salk Institute, and is Chair of Wellcome Leap, a US-based non-profit organization founded by the Wellcome Trust to accelerate innovations that benefit global health. Mr. Flatley holds a BA in economics from Claremont McKenna College and a BS and MS in industrial engineering from Stanford University.</w:t>
      </w:r>
    </w:p>
    <w:p>
      <w:pPr>
        <w:spacing w:after="0" w:line="8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i w:val="1"/>
          <w:iCs w:val="1"/>
          <w:color w:val="auto"/>
        </w:rPr>
        <w:t xml:space="preserve">Deep Nishar—independent director: </w:t>
      </w:r>
      <w:r>
        <w:rPr>
          <w:rFonts w:ascii="Arial" w:cs="Arial" w:eastAsia="Arial" w:hAnsi="Arial"/>
          <w:sz w:val="16"/>
          <w:szCs w:val="16"/>
          <w:color w:val="auto"/>
        </w:rPr>
        <w:t>Mr. Nishar is currently Senior Managing Partner of the Softbank Vision Fund, which he joined in 2015. He</w:t>
      </w:r>
      <w:r>
        <w:rPr>
          <w:rFonts w:ascii="Arial" w:cs="Arial" w:eastAsia="Arial" w:hAnsi="Arial"/>
          <w:sz w:val="16"/>
          <w:szCs w:val="16"/>
          <w:i w:val="1"/>
          <w:iCs w:val="1"/>
          <w:color w:val="auto"/>
        </w:rPr>
        <w:t xml:space="preserve"> </w:t>
      </w:r>
      <w:r>
        <w:rPr>
          <w:rFonts w:ascii="Arial" w:cs="Arial" w:eastAsia="Arial" w:hAnsi="Arial"/>
          <w:sz w:val="16"/>
          <w:szCs w:val="16"/>
          <w:color w:val="auto"/>
        </w:rPr>
        <w:t>has over 20 years of experience helping build and grow internet and software businesses. From January 2009 to October 2014, Mr. Nishar served in various roles with LinkedIn Corporation, most recently as Senior Vice President, Products and User Experience. From August 2003 to January 2009, Mr. Nishar served in various roles with Google Inc. (Nasdaq: GOOGL), most recently as the Senior Director of Products for the Asia-Pacific region. Previously he was the Founder of enterprise software company Patkai Networks. He is an inventor on 14 patents, and is a recipient of the Google Founders Award, which is given to employees who made extraordinary contributions to the company. Mr. Nishar currently serves on the board of directors of Seer (Nasdaq: SEER), Relay Therapeutics (Nasdaq: RLAY), Vir Biotechnology, Inc. (Nasdaq: VIR) and Zymergen (Nasdaq: ZY), and previously served on the board of directors of Guardant Health (Nasdaq: GH), Tripadvisor (Nasdaq: TRIP), and OPower. Mr. Nishar received his MBA with highest honors (Baker Scholar) from Harvard Business School, his M.SEE from the University of Illinois, Urbana- Champaign, and his B.Tech with honors from the Indian Institute of Technology.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scientific advisor</w:t>
      </w:r>
    </w:p>
    <w:p>
      <w:pPr>
        <w:spacing w:after="0" w:line="11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Robert Langer, Sc.D. </w:t>
      </w:r>
      <w:r>
        <w:rPr>
          <w:rFonts w:ascii="Arial" w:cs="Arial" w:eastAsia="Arial" w:hAnsi="Arial"/>
          <w:sz w:val="18"/>
          <w:szCs w:val="18"/>
          <w:color w:val="auto"/>
        </w:rPr>
        <w:t>is the David H. Koch Institute Professor at MIT. Dr. Langer is a prolific entrepreneur and visionary scientist who has</w:t>
      </w:r>
      <w:r>
        <w:rPr>
          <w:rFonts w:ascii="Arial" w:cs="Arial" w:eastAsia="Arial" w:hAnsi="Arial"/>
          <w:sz w:val="18"/>
          <w:szCs w:val="18"/>
          <w:b w:val="1"/>
          <w:bCs w:val="1"/>
          <w:color w:val="auto"/>
        </w:rPr>
        <w:t xml:space="preserve"> </w:t>
      </w:r>
      <w:r>
        <w:rPr>
          <w:rFonts w:ascii="Arial" w:cs="Arial" w:eastAsia="Arial" w:hAnsi="Arial"/>
          <w:sz w:val="18"/>
          <w:szCs w:val="18"/>
          <w:color w:val="auto"/>
        </w:rPr>
        <w:t>co-founded more than 30 companies over a multi-decade career, which collectively have resulted in transformative products that have changed the world across many end-markets, including Moderna (Nasdaq: MRNA), which is helping to lead the fight against COVID-19 via its mRNA platform.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Dr. Langer has written over 1,250 articles (&gt;334,000 citations; H-Index 285; as of March 2021), and has nearly 1,050 patents worldwide.</w:t>
      </w:r>
    </w:p>
    <w:p>
      <w:pPr>
        <w:spacing w:after="0" w:line="266" w:lineRule="auto"/>
        <w:rPr>
          <w:sz w:val="20"/>
          <w:szCs w:val="20"/>
          <w:color w:val="auto"/>
        </w:rPr>
      </w:pPr>
      <w:r>
        <w:rPr>
          <w:rFonts w:ascii="Arial" w:cs="Arial" w:eastAsia="Arial" w:hAnsi="Arial"/>
          <w:sz w:val="16"/>
          <w:szCs w:val="16"/>
          <w:color w:val="auto"/>
        </w:rPr>
        <w:t>Dr. Langer’s patents have been licensed or sublicensed to over 250 pharmaceutical, chemical, biotechnology and medical device companies. Dr. Langer has received over 220 major awards. He is one of 5 living individuals to have received both the United States National Medal of Science (2006) and the United States National Medal of Technology and Innovation (2011). He also received the 2002 Charles Stark Draper Prize, considered the equivalent of the Nobel Prize for engineers, the 2008 Millennium Prize, the world’s largest technology prize, the 2012 Priestley Medal, the highest award of the American Chemical Society, the 2013 Wolf Prize in Chemistry, the 2014 Breakthrough Prize in Life Sciences and the 2014 Kyoto Prize. He is also the only engineer to have received the Gairdner Foundation International Award; 82 recipients of this award have subsequently received a Nobel Prize. Among numerous other awards Langer has received are the Dickson Prize for Science (2002), Heinz Award for Technology, Economy and Employment (2003), the Harvey Prize (2003), the John Fritz Award (2003) (given previously to inventors such as Thomas Edison and Orville Wright), the General Motors Kettering Prize for Cancer Research (2004), the Dan David Prize in Materials Science (2005), the Albany Medical Center Prize in Medicine and Biomedical Research (2005), the largest prize in the U.S. for medical research, induction into the National Inventors Hall of Fame (2006), the Max Planck Research Award (2008), the Prince of Asturias Award for Technical and Scientific Research (2008), the Warren Alpert Foundation Prize (2011) and the Terumo International Prize (2012). In 1998, he received the Lemelson-MIT prize, the world’s largest prize for invention for being “one of history’s most prolific inventors in medicine.” In 1989 Dr. Langer was elected to the Institute of Medicine of the National Academy of Sciences, and in 1992 he was elected to both the National Academy of Engineering and to the National Academy of Sciences, and in 2012 he was elected to the National Academy of Inventors.</w:t>
      </w:r>
    </w:p>
    <w:p>
      <w:pPr>
        <w:spacing w:after="0" w:line="29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He currently serves on the Board of Directors at Moderna (Nasdaq: MRNA), Seer (Nasdaq: SEER), Frequency Therapeutics (Nasdaq: FREQ), and PureTech Health plc (Nasdaq: PRTC; LSE: PRTC). Dr. Langer completed his undergraduate studies in Chemical Engineering at Cornell University and obtained his Sc.D in Chemical Engineering at MIT.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advantages</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Technology innovation is disrupting many markets across the life sciences subsector from basic discovery and translational research to novel diagnostics, vaccines, therapeutics and advanced bio-materials. We believe our management team is well positioned to identify opportunities for the reasons outlined below:</w:t>
      </w:r>
    </w:p>
    <w:p>
      <w:pPr>
        <w:spacing w:after="0" w:line="82"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i w:val="1"/>
          <w:iCs w:val="1"/>
          <w:color w:val="auto"/>
        </w:rPr>
        <w:t xml:space="preserve">Track record of success: </w:t>
      </w:r>
      <w:r>
        <w:rPr>
          <w:rFonts w:ascii="Arial" w:cs="Arial" w:eastAsia="Arial" w:hAnsi="Arial"/>
          <w:sz w:val="16"/>
          <w:szCs w:val="16"/>
          <w:color w:val="auto"/>
        </w:rPr>
        <w:t>Members of our management team have established long-term track records as operating executives, scientists,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founders, and investment professionals in the life sciences subsector, and have founded and/or invested in numerous successful, innovative biotechnology and life sciences tools companies. Executive Chair, Dr. Omid Farokhzad, M.D., is founder, CEO and Chair of transformative proteomics platform Seer, which he led to a successful IPO in December 2020. He previously co-founded BIND Therapeutics (acquired by Pfizer), Selecta Biosciences (Nasdaq: SELB) and Tarveda Therapeutics. CEO and Director, Mostafa Ronaghi, PhD, was most recently Chief Technology Officer, Senior Vice President and member of the Executive Leadership Team at Illumina (Nasdaq: ILMN) from 2008-2021. While at Illumina, in 2016, Dr. Ronaghi also co-founded GRAIL, a next-gen liquid biopsy platform for cancer detection.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Deep relationships across the life sciences and pharmaceutical ecosystem: </w:t>
      </w:r>
      <w:r>
        <w:rPr>
          <w:rFonts w:ascii="Arial" w:cs="Arial" w:eastAsia="Arial" w:hAnsi="Arial"/>
          <w:sz w:val="18"/>
          <w:szCs w:val="18"/>
          <w:color w:val="auto"/>
        </w:rPr>
        <w:t>Our management team, directors and advisors maintain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senior business development and R&amp;D leadership across the life sciences and pharmaceutical ecosystem, as well as with leading academics and major investment funds focused on the life sciences. We believe that our team has developed a reputation for being trusted advisors to entrepreneurs and companies across the life sciences value chain, which we believe will facilitate investment opportunities in these companies.</w:t>
      </w:r>
    </w:p>
    <w:p>
      <w:pPr>
        <w:spacing w:after="0" w:line="81"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i w:val="1"/>
          <w:iCs w:val="1"/>
          <w:color w:val="auto"/>
        </w:rPr>
        <w:t xml:space="preserve">Proactive and proprietary transaction sourcing: </w:t>
      </w:r>
      <w:r>
        <w:rPr>
          <w:rFonts w:ascii="Arial" w:cs="Arial" w:eastAsia="Arial" w:hAnsi="Arial"/>
          <w:sz w:val="18"/>
          <w:szCs w:val="18"/>
          <w:color w:val="auto"/>
        </w:rPr>
        <w:t>We believe our management team has access to high-quality deal flow, due in large part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broad range of industry contacts, and the reputation of our management team, directors and scientific advisor. We expect our team’s reputation for having deep industry expertise will also attract referrals from industry colleagues. Many of these companies may be less well-known and may represent a landscape of investment opportunities uniquely accessible to our team.</w:t>
      </w:r>
    </w:p>
    <w:p>
      <w:pPr>
        <w:spacing w:after="0" w:line="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 xml:space="preserve">Significant value-add capability: </w:t>
      </w:r>
      <w:r>
        <w:rPr>
          <w:rFonts w:ascii="Arial" w:cs="Arial" w:eastAsia="Arial" w:hAnsi="Arial"/>
          <w:sz w:val="18"/>
          <w:szCs w:val="18"/>
          <w:color w:val="auto"/>
        </w:rPr>
        <w:t>We believe that our team’s blend of operating and investment experience can help companies maximize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value. We aim to find a target that we believe would achieve more value from partnering with us than by pursuing the traditional IPO path, by leveraging the collective business, scientific, financial, intellectual property, recruiting and deal-making advice of our team. Our management team, board of directors and scientific advisors collectively have decades of experience founding, and then growing and managing, companies and taking them from private markets to the public market. The team also has experience crafting strategic partnerships with industry-leading pharmaceutical and life sciences companies. Our team is also interested in potential opportunities with which one or more members of our team or directors could take a board seat in the company following the initial business combination, if feasible and mutually beneficial to our team and the target.</w:t>
      </w:r>
    </w:p>
    <w:p>
      <w:pPr>
        <w:spacing w:after="0" w:line="8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Broad vision, exceptional network and deep domain expertise to facilitate the identification and diligence of opportunities: </w:t>
      </w:r>
      <w:r>
        <w:rPr>
          <w:rFonts w:ascii="Arial" w:cs="Arial" w:eastAsia="Arial" w:hAnsi="Arial"/>
          <w:sz w:val="18"/>
          <w:szCs w:val="18"/>
          <w:color w:val="auto"/>
        </w:rPr>
        <w:t>We believe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 and directors possess a unique combination of attributes from having a broad view of key trends in life sciences technological developments and the emerging healthcare value-chain, to a deep understanding of key technological and scientific nuances, which should allow us to better vet technology platforms, identify appropriate expertise, and achieve a thorough level of diligence of a target company. Due to our broad industry and academic networks, we may see opportunities and synergies even before the target company’s management or board does.</w:t>
      </w:r>
    </w:p>
    <w:p>
      <w:pPr>
        <w:spacing w:after="0" w:line="86" w:lineRule="exact"/>
        <w:rPr>
          <w:sz w:val="20"/>
          <w:szCs w:val="20"/>
          <w:color w:val="auto"/>
        </w:rPr>
      </w:pPr>
    </w:p>
    <w:p>
      <w:pPr>
        <w:jc w:val="both"/>
        <w:ind w:right="360"/>
        <w:spacing w:after="0" w:line="247" w:lineRule="auto"/>
        <w:rPr>
          <w:sz w:val="20"/>
          <w:szCs w:val="20"/>
          <w:color w:val="auto"/>
        </w:rPr>
      </w:pPr>
      <w:r>
        <w:rPr>
          <w:rFonts w:ascii="Arial" w:cs="Arial" w:eastAsia="Arial" w:hAnsi="Arial"/>
          <w:sz w:val="18"/>
          <w:szCs w:val="18"/>
          <w:i w:val="1"/>
          <w:iCs w:val="1"/>
          <w:color w:val="auto"/>
        </w:rPr>
        <w:t xml:space="preserve">Broad experience across private and public markets: </w:t>
      </w:r>
      <w:r>
        <w:rPr>
          <w:rFonts w:ascii="Arial" w:cs="Arial" w:eastAsia="Arial" w:hAnsi="Arial"/>
          <w:sz w:val="18"/>
          <w:szCs w:val="18"/>
          <w:color w:val="auto"/>
        </w:rPr>
        <w:t>Our team has experience leading large, publicly traded corporations at the board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levels, which could open the door to many companies not yet envisioning an IPO. The team’s collective experience could assist in transitioning a high-quality, privately-held company to the public market.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combination strategy</w:t>
      </w:r>
    </w:p>
    <w:p>
      <w:pPr>
        <w:spacing w:after="0" w:line="13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Consistent with our business strategy discussed above and the expertise of our team, we have identified the following general criteria to evaluate prospective target businesses, although we may decide to enter into our initial business combination with a target business that does not meet all of these criteria:</w:t>
      </w:r>
    </w:p>
    <w:p>
      <w:pPr>
        <w:spacing w:after="0" w:line="113"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Grounded in breakthrough science (i.e., first-in-class or best-in-class competitive positioning);</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market leading product(s);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Addressing an unmet medical need;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significant benefits to patients;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480" w:hanging="212"/>
        <w:spacing w:after="0" w:line="239"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Multiple assets with the ability to diversify risk and successfully navigate an economic downturn, and changes in the industry landscape, social sustainability trends and evolving regulatory environment;</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IPO-ready management team, with experience in the public market; and</w:t>
      </w:r>
    </w:p>
    <w:p>
      <w:pPr>
        <w:spacing w:after="0" w:line="117" w:lineRule="exact"/>
        <w:rPr>
          <w:rFonts w:ascii="Arial" w:cs="Arial" w:eastAsia="Arial" w:hAnsi="Arial"/>
          <w:sz w:val="18"/>
          <w:szCs w:val="18"/>
          <w:color w:val="auto"/>
        </w:rPr>
      </w:pPr>
    </w:p>
    <w:p>
      <w:pPr>
        <w:ind w:left="220" w:right="380" w:hanging="212"/>
        <w:spacing w:after="0" w:line="299" w:lineRule="auto"/>
        <w:tabs>
          <w:tab w:leader="none" w:pos="2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Experienced investor base: companies that have been funded by experienced life sciences investors including venture capitalists, private equity investors, healthcare companies and other institutional investors who have also provided strategic inputs to the company.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Our acquisition and diligence process will include:</w:t>
      </w:r>
    </w:p>
    <w:p>
      <w:pPr>
        <w:spacing w:after="0" w:line="117" w:lineRule="exact"/>
        <w:rPr>
          <w:sz w:val="20"/>
          <w:szCs w:val="20"/>
          <w:color w:val="auto"/>
        </w:rPr>
      </w:pPr>
    </w:p>
    <w:p>
      <w:pPr>
        <w:ind w:left="220" w:right="180" w:hanging="212"/>
        <w:spacing w:after="0" w:line="239"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Scientific and technological analysis, with assessment of product development, commercial, clinical, regulatory and reimbursement success factors;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Commercial review, including interviews with key opinion leaders, customers, competitors and industry experts;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evaluation including analysis of historical results and modeling of various scenarios;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10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on these general guidelines as well as other considerations, factors and criteria that our management team may deem relevant.</w:t>
      </w:r>
    </w:p>
    <w:p>
      <w:pPr>
        <w:spacing w:after="0" w:line="10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are not prohibited from pursuing an initial business combination or subsequent transaction with a company that is affiliated with our sponsor, officers, directors or scientific advisor. In the event we seek to complete our initial business combination or, subject to certain exceptions, subsequent material transactions with a company that is affiliated with our sponsor, officers, directors or scientific advisor, we, or a committee of independent directors, to the extent required by applicable law or based upon the direction of our board of directors or a committee thereof, will obtain an opinion from an independent investment banking firm that is a member of the Financial Industry Regulatory Authority or FINRA, or from an independent accounting firm that such initial business combination or transaction is fair to our company from a financial point of view.</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sponsor or any of our officers, directors or scientific advisor may directly or indirectly own our common stock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 or director is made a condition to any agreement with respect to our initial business combination.</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Each of our officers and directors presently has, or may in the future have, fiduciary or contractual obligations to other entities pursuant to which such officer or director is or will be required to present a business combination opportunity. Accordingly, if any of our officers or directors becomes aware of a business combination opportunity that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provides that we renounce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that director or officer is permitted to refer that opportunity to us without violating another legal obligation. Our officers and directors would continue to be subject to all other fiduciary duties owed to us and our stockholders and no other waivers of their respective fiduciary obligations have been provided to any such officers and directors. We do not have any plan for any waiver of the fiduciary duties of our officers and directors post-business combination.</w:t>
      </w:r>
    </w:p>
    <w:p>
      <w:pPr>
        <w:spacing w:after="0" w:line="10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officers, directors, scientific advisor and any of their respective affiliates may sponsor or form, and, in the case of individuals, serve as a director or officer of, other blank check companies similar to our sponsor during the period in which we are seeking an initial business combination. Any such companies may present additional conflicts of interest in pursuing an acquisition target. However, we do not believe that any such potential conflicts would materially affect our ability to complete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opportunity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healthcare industry and the life sciences subsector are attractive for a number of reasons:</w:t>
      </w:r>
    </w:p>
    <w:p>
      <w:pPr>
        <w:spacing w:after="0" w:line="8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i w:val="1"/>
          <w:iCs w:val="1"/>
          <w:color w:val="auto"/>
        </w:rPr>
        <w:t xml:space="preserve">Large target market with favorable trends. </w:t>
      </w:r>
      <w:r>
        <w:rPr>
          <w:rFonts w:ascii="Arial" w:cs="Arial" w:eastAsia="Arial" w:hAnsi="Arial"/>
          <w:sz w:val="16"/>
          <w:szCs w:val="16"/>
          <w:color w:val="auto"/>
        </w:rPr>
        <w:t>The healthcare industry represents an enormous target market. Total U.S. national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 exceeds $3 trillion, and the Center for Medicare and Medicaid Services (“CMS”) has estimated that total healthcare spending will approach 20% of total U.S. Gross Domestic Product over the coming years. Spending on healthcare, driven by advancements in technology and treatment alternatives, has already been growing faster than the broader economy, as evidenced by the fact that healthcare expenditures tripled from 1995 to 2015 and are still trending at a 5-6% annual growth rate, according to CMS. According to CMS, pharmaceutical spending has remained a stable part of healthcare spending in the United States at around 10% over the last two decades, and we expect that this trend will continue even as healthcare expenditures continue to grow. The momentum of research and development in the biopharmaceutical industry makes this clear, with global R&amp;D expenditures projected by Statista to be $188 billion in 2020, with more than $75 billion in estimated expenditures in the U.S. alone. These figures encompass spending on all steps from discovery through clinical development and highlight the scope and scale of opportunity. In addition, the U.S. Food and Drug Administration (FDA) approval of new drugs increased approximately 40% comparing 2010 to 2014 numbers with those of 2015 to 2019, and we expect continued breakthroughs and approvals in coming years.</w:t>
      </w:r>
    </w:p>
    <w:p>
      <w:pPr>
        <w:spacing w:after="0" w:line="266"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i w:val="1"/>
          <w:iCs w:val="1"/>
          <w:color w:val="auto"/>
        </w:rPr>
        <w:t xml:space="preserve">Increased pace of innovation. </w:t>
      </w:r>
      <w:r>
        <w:rPr>
          <w:rFonts w:ascii="Arial" w:cs="Arial" w:eastAsia="Arial" w:hAnsi="Arial"/>
          <w:sz w:val="16"/>
          <w:szCs w:val="16"/>
          <w:color w:val="auto"/>
        </w:rPr>
        <w:t>We believe the life sciences subsector has reached an inflection point in recent years, with an unprecedented</w:t>
      </w:r>
      <w:r>
        <w:rPr>
          <w:rFonts w:ascii="Arial" w:cs="Arial" w:eastAsia="Arial" w:hAnsi="Arial"/>
          <w:sz w:val="16"/>
          <w:szCs w:val="16"/>
          <w:i w:val="1"/>
          <w:iCs w:val="1"/>
          <w:color w:val="auto"/>
        </w:rPr>
        <w:t xml:space="preserve"> </w:t>
      </w:r>
      <w:r>
        <w:rPr>
          <w:rFonts w:ascii="Arial" w:cs="Arial" w:eastAsia="Arial" w:hAnsi="Arial"/>
          <w:sz w:val="16"/>
          <w:szCs w:val="16"/>
          <w:color w:val="auto"/>
        </w:rPr>
        <w:t>pace of innovation that will impact the treatment and diagnosis of patients with unmet medical needs. Such innovation is being driven by advances across the emerging healthcare value chain, life sciences tools, enabling-software, synthetic biology and novel drug discovery and development platforms that enable applications in prevention, diagnosis, treatment and advanced bio-materials. The momentum of discovery and new technologies creates compelling investment opportunities and significant advantages to knowledgeable specialists.</w:t>
      </w:r>
    </w:p>
    <w:p>
      <w:pPr>
        <w:spacing w:after="0" w:line="5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Broad universe of potential targets. </w:t>
      </w:r>
      <w:r>
        <w:rPr>
          <w:rFonts w:ascii="Arial" w:cs="Arial" w:eastAsia="Arial" w:hAnsi="Arial"/>
          <w:sz w:val="18"/>
          <w:szCs w:val="18"/>
          <w:color w:val="auto"/>
        </w:rPr>
        <w:t>The number of private companies in the healthcare industry, and even the life sciences subsector alone, is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and ever expanding, with thousands of firms in the United States exhibiting robust and innovation driven business models with attractive growth profiles. We believe that our investment and operating expertise will give us a large, addressable universe of potential targets. The diversity, size and attractiveness of the target universe maximizes the likelihood that the management team will be able to identify and execute a transaction which shareholders view favorably.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0" w:lineRule="auto"/>
        <w:rPr>
          <w:sz w:val="20"/>
          <w:szCs w:val="20"/>
          <w:color w:val="auto"/>
        </w:rPr>
      </w:pPr>
      <w:r>
        <w:rPr>
          <w:rFonts w:ascii="Arial" w:cs="Arial" w:eastAsia="Arial" w:hAnsi="Arial"/>
          <w:sz w:val="16"/>
          <w:szCs w:val="16"/>
          <w:i w:val="1"/>
          <w:iCs w:val="1"/>
          <w:color w:val="auto"/>
        </w:rPr>
        <w:t xml:space="preserve">Highly dynamic and complex healthcare system requires deep sector expertise in order to convert innovation into commercial success. </w:t>
      </w:r>
      <w:r>
        <w:rPr>
          <w:rFonts w:ascii="Arial" w:cs="Arial" w:eastAsia="Arial" w:hAnsi="Arial"/>
          <w:sz w:val="16"/>
          <w:szCs w:val="16"/>
          <w:color w:val="auto"/>
        </w:rPr>
        <w:t>Several</w:t>
      </w:r>
      <w:r>
        <w:rPr>
          <w:rFonts w:ascii="Arial" w:cs="Arial" w:eastAsia="Arial" w:hAnsi="Arial"/>
          <w:sz w:val="16"/>
          <w:szCs w:val="16"/>
          <w:i w:val="1"/>
          <w:iCs w:val="1"/>
          <w:color w:val="auto"/>
        </w:rPr>
        <w:t xml:space="preserve"> </w:t>
      </w:r>
      <w:r>
        <w:rPr>
          <w:rFonts w:ascii="Arial" w:cs="Arial" w:eastAsia="Arial" w:hAnsi="Arial"/>
          <w:sz w:val="16"/>
          <w:szCs w:val="16"/>
          <w:color w:val="auto"/>
        </w:rPr>
        <w:t>key components of the life sciences value chain are in a dynamic and rapidly changing state, including continuous innovative breakthroughs, an evolving regulatory process, consolidation of payer and drug distribution channels, and growing consumerization of healthcare. In addition, the healthcare value chain is highly complex, and the interplay and relationships across the various stakeholders, consisting of life science tools companies, biopharma companies, research labs, healthcare providers, patients and payers, among others, require significant sector expertise to understand. We believe that a comprehensive understanding of the entire healthcare ecosystem, which comes from years of experience, is required to optimize returns from innovation, and that only assessing the technical risks and probabilities of success is not sufficient for sustainable investment success. Given that deep sector expertise is required to identify and appropriately analyze investment opportunities and successfully operate thereafter, there exists high barriers of entry for competing investors without our management team’s longstanding experience as operating executives, scientists, company founders, and investment professionals in the life sciences subsector.</w:t>
      </w:r>
    </w:p>
    <w:p>
      <w:pPr>
        <w:spacing w:after="0" w:line="8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We believe these trends and themes have accentuated the need for targeted capital and value-added strategic support of companies around their critical phases of growth. Therein lies the opportunity for our team.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Initial business combination</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Nasdaq listing rules require that our initial business combination must be with one or more target businesses that together have an aggregate fair market value equal to at least 80% of the value of the trust account (excluding any deferred underwriting fees and taxes payable on the income earned on the trust account) at the time of our signing a definitive agreement in connection with our initial business combination.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the 80% of net assets test.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w:t>
      </w:r>
    </w:p>
    <w:p>
      <w:pPr>
        <w:spacing w:after="0" w:line="106"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 or issue a substantial number of new shares to third-parties in connection with financing our initial business combination. In such cases,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of such business or businesses that is owned or acquired is what will be taken into account for purposes of the 80% of net assets test. If our initial business combination involves more than one target business, the 80% of net assets test will be based on the aggregate value of all of the target businesses.</w:t>
      </w:r>
    </w:p>
    <w:p>
      <w:pPr>
        <w:spacing w:after="0" w:line="10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considerations</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not prohibited from pursuing an initial business combination or subsequent transaction with a company that is affiliated with our sponsor, officers or directors. In the event we seek to complete our initial business combination or, subject to certain exceptions, subsequent material transactions with a company that is affiliated with our sponsor, officers or directors, we, or a committee of independent directors, to the extent required by applicable law or based upon the direction of our board of directors or a committee thereof, will obtain an opinion from an independent investment banking firm or another entity that commonly renders valuation opinions that such initial business combination or transaction is fair to our company from a financial point of view.</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do not have any specific business combination under consideration. Our officers and directors have neither individually identified nor considered a specific target business nor have they had any substantive discussions with possible target businesses. We have not (nor have any of our agents or affiliates) substantively engaged with any candidates (or a representative of any candidate) with respect to a possible acquisition transaction with our company. Additionally, we have not, nor has anyone on our behalf, taken any substantive action, directly or indirectly, with any suitable acquisition candidate for us, nor have we engaged or retained any agent or other representative to identify or locate any such acquisition candidate.</w:t>
      </w:r>
    </w:p>
    <w:p>
      <w:pPr>
        <w:spacing w:after="0" w:line="10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Our executive offices are located at 2875 El Camino Real, Redwood City, CA 94061. Our corporate email address is irbd@dspc.bio. The information contained on or accessible through any website that we may maintain is not part of this prospectus or the registration statement of which this prospectus is a part.</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(as adjusted for inflation pursuant to SEC rules from time to time), or (c) in which we are deemed to be a large accelerated filer, which means the aggregate worldwide market value of our Class A common stock that is held by non-affiliates equals or exceeds $700,000,000 as of the prior June 30</w:t>
      </w:r>
      <w:r>
        <w:rPr>
          <w:rFonts w:ascii="Arial" w:cs="Arial" w:eastAsia="Arial" w:hAnsi="Arial"/>
          <w:sz w:val="11"/>
          <w:szCs w:val="11"/>
          <w:color w:val="auto"/>
        </w:rPr>
        <w:t>th</w:t>
      </w:r>
      <w:r>
        <w:rPr>
          <w:rFonts w:ascii="Arial" w:cs="Arial" w:eastAsia="Arial" w:hAnsi="Arial"/>
          <w:sz w:val="18"/>
          <w:szCs w:val="18"/>
          <w:color w:val="auto"/>
        </w:rPr>
        <w:t>, and (2) the date on which we have issued more than $1.0 billion in non-convertible debt securities during the prior three-year period. References herein to emerging growth company will have the meaning associated with it in the JOBS Act.</w:t>
      </w:r>
    </w:p>
    <w:p>
      <w:pPr>
        <w:spacing w:after="0" w:line="10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$250,000,000 as of the prior June 30</w:t>
      </w:r>
      <w:r>
        <w:rPr>
          <w:rFonts w:ascii="Arial" w:cs="Arial" w:eastAsia="Arial" w:hAnsi="Arial"/>
          <w:sz w:val="10"/>
          <w:szCs w:val="10"/>
          <w:color w:val="auto"/>
        </w:rPr>
        <w:t>th</w:t>
      </w:r>
      <w:r>
        <w:rPr>
          <w:rFonts w:ascii="Arial" w:cs="Arial" w:eastAsia="Arial" w:hAnsi="Arial"/>
          <w:sz w:val="16"/>
          <w:szCs w:val="16"/>
          <w:color w:val="auto"/>
        </w:rPr>
        <w:t xml:space="preserve"> or (2) our annual revenues equal or exceed $100,000,000 during such completed fiscal year and the market value of our common stock held by non-affiliates equals or exceeds $700,000,000 as of the prior June 30</w:t>
      </w:r>
      <w:r>
        <w:rPr>
          <w:rFonts w:ascii="Arial" w:cs="Arial" w:eastAsia="Arial" w:hAnsi="Arial"/>
          <w:sz w:val="10"/>
          <w:szCs w:val="10"/>
          <w:color w:val="auto"/>
        </w:rPr>
        <w:t>th</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position</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funds available for a business combination initially in the amount of $193,000,000, after payment of the estimated expenses of this offering and $7,000,000 of deferred underwriting fees (or $221,950,000 after payment of the estimated expenses of this offering and $8,050,000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Effecting our initial business combination</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private placement of the private placement shares,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0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combination or used for redemptions of our Class A common stock,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0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larger than we could acquire with the net proceeds of this offering and the sale of the private placement shares, and may as a result be required to seek additional financing to complete such proposed initial business combination. Subject to compliance with applicable securities laws, we would expect to complete such financing only concurrently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the incurrence of debt or otherwise.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of target businesses</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anticipate that target business candidates will be brought to our attention from various sources, including our global networks, as well as other sources such as investment bankers and investment professionals.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sponsor, officers and directors and their respective affiliates may also bring to our attention target business candidates that they become aware of through their business contacts as a result of formal or informal inquiries or discussions they may have.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advisory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will our sponsor or any of our existing officers or directors, or any entity with which our sponsor or officers are affiliated, be paid any finder’s fee, reimbursement, consulting fee, monies in respect of any payment of a loan or other compensation by the company prior to, or in connection with, any services rendered in order to effectuate the completion of our initial business combination (regardless of the type of transaction that it is). In addition, commencing on the date of this prospectus, we will pay our sponsor or an affiliate of our sponsor up to $10,000 per month for office space, utilities, secretarial and administrative support services provided to members of our management team and other expenses and obligations of our sponsor. Any such payments prior to our initial business combination will be made from funds held outside the trust account. Although none of our sponsor, officers or directors, or any of their respective affiliates, will be allowed to receive any compensation, finder’s fees or consulting fees from a prospective business combination target in connection with a contemplated initial business combination, we do not have a policy that prohibits our sponsor, officers or directors, or any of their</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respective affiliates, from negotiating for the reimbursement of out-of-pocket expenses by a target business. Some of our officers and directors may enter into employment or consulting agreements with the post-transaction company following our initial business combination. The presence or absence of any such fees or arrangements will not be used as a criterion in our selection process of an initial business combination candidate.</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are not prohibited from pursuing an initial business combination or subsequent transaction with a company that is affiliated with our sponsor, officers or directors. In the event we seek to complete our initial business combination or, subject to certain exceptions, subsequent material transactions with a company that is affiliated with \our sponsor, officers or directors, we, or a committee of independent directors, to the extent required by applicable law or based upon the direction of our board of directors or a committee thereof, will obtain an opinion from an independent investment banking firm or another entity that commonly renders valuation opinions that such initial business combination or transaction is fair to our company from a financial point of view.</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more fully discussed in the section of this prospectus entitled “Management—Conflicts of Interest,” if any of our officers or directors becomes aware of an initial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Our officers and directors currently have certain relevant fiduciary duties or contractual obligations that may take priority over their duties to us.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Selection of a target business and structuring of our initial business combination</w:t>
      </w:r>
    </w:p>
    <w:p>
      <w:pPr>
        <w:spacing w:after="0" w:line="13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Nasdaq listing rules require that our initial business combination must be with one or more target businesses that together have an aggregate fair market value of at least 80% of the value of the trust account (excluding any deferred underwriting fees and taxes payable on the income earned on the trust account) at the time of our signing a definitive agreement in connection with our initial business combination.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stockholders with our analysis of our satisfaction of the 80% of net assets test, as well as the basis for our determinations.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currently intend to purchase multiple businesses in unrelated industries in conjunction with our initial business combination.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the 80% of net assets test. There is no basis for investors in this offering to evaluate the possible merits or risks of any target business with which we may ultimately complete our initial business combination.</w:t>
      </w:r>
    </w:p>
    <w:p>
      <w:pPr>
        <w:spacing w:after="0" w:line="7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00"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In evaluating a prospective business target, we expect to conduct a thorough due diligence review, which may encompass, among other things, meetings with incumbent management and key employees, document reviews, interviews of customers and suppliers, inspection of facilities, as well as a review of financial and other information that will be made available to us.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Lack of business diversification</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acquire multiple businesses. In addition, we intend to focus our search for an initial business combination in a single industry. By completing our initial business combination with only a single entity, our lack of diversification may subject us to negative economic, competitive and regulatory developments, any or all of which may have a substantial adverse impact on the particular industry in which we operate after our initial business combination and cause us to depend on the marketing and sale of a limited number of products or services.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Post-combination management team</w:t>
      </w:r>
    </w:p>
    <w:p>
      <w:pPr>
        <w:spacing w:after="0" w:line="13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00"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Stockholders may not have the ability to approve our initial business combination</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However, we will seek stockholder approval if it is required by law or applicable stock exchange rules, or we may decide to seek stockholder approval for business or other reasons. Presented in the table below is a graphic explanation of the types of initial business combinations we may consider and whether stockholder approval is currently required under Delaware law for each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4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Whether</w:t>
            </w:r>
          </w:p>
        </w:tc>
      </w:tr>
      <w:tr>
        <w:trPr>
          <w:trHeight w:val="203"/>
        </w:trPr>
        <w:tc>
          <w:tcPr>
            <w:tcW w:w="974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stockholder</w:t>
            </w:r>
          </w:p>
        </w:tc>
      </w:tr>
      <w:tr>
        <w:trPr>
          <w:trHeight w:val="203"/>
        </w:trPr>
        <w:tc>
          <w:tcPr>
            <w:tcW w:w="974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approval is</w:t>
            </w:r>
          </w:p>
        </w:tc>
      </w:tr>
      <w:tr>
        <w:trPr>
          <w:trHeight w:val="221"/>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transaction</w:t>
            </w: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required</w:t>
            </w:r>
          </w:p>
        </w:tc>
      </w:tr>
      <w:tr>
        <w:trPr>
          <w:trHeight w:val="196"/>
        </w:trPr>
        <w:tc>
          <w:tcPr>
            <w:tcW w:w="9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 of assets</w:t>
            </w:r>
          </w:p>
        </w:tc>
        <w:tc>
          <w:tcPr>
            <w:tcW w:w="15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No</w:t>
            </w:r>
          </w:p>
        </w:tc>
      </w:tr>
      <w:tr>
        <w:trPr>
          <w:trHeight w:val="203"/>
        </w:trPr>
        <w:tc>
          <w:tcPr>
            <w:tcW w:w="9740" w:type="dxa"/>
            <w:vAlign w:val="bottom"/>
          </w:tcPr>
          <w:p>
            <w:pPr>
              <w:spacing w:after="0" w:line="202" w:lineRule="exact"/>
              <w:rPr>
                <w:sz w:val="20"/>
                <w:szCs w:val="20"/>
                <w:color w:val="auto"/>
              </w:rPr>
            </w:pPr>
            <w:r>
              <w:rPr>
                <w:rFonts w:ascii="Arial" w:cs="Arial" w:eastAsia="Arial" w:hAnsi="Arial"/>
                <w:sz w:val="18"/>
                <w:szCs w:val="18"/>
                <w:color w:val="auto"/>
              </w:rPr>
              <w:t>Purchase of stock of target not involving a merger with the company</w:t>
            </w: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No</w:t>
            </w:r>
          </w:p>
        </w:tc>
      </w:tr>
      <w:tr>
        <w:trPr>
          <w:trHeight w:val="203"/>
        </w:trPr>
        <w:tc>
          <w:tcPr>
            <w:tcW w:w="9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Merger of target into a subsidiary of the company</w:t>
            </w: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No</w:t>
            </w:r>
          </w:p>
        </w:tc>
      </w:tr>
      <w:tr>
        <w:trPr>
          <w:trHeight w:val="215"/>
        </w:trPr>
        <w:tc>
          <w:tcPr>
            <w:tcW w:w="9740" w:type="dxa"/>
            <w:vAlign w:val="bottom"/>
          </w:tcPr>
          <w:p>
            <w:pPr>
              <w:spacing w:after="0"/>
              <w:rPr>
                <w:sz w:val="20"/>
                <w:szCs w:val="20"/>
                <w:color w:val="auto"/>
              </w:rPr>
            </w:pPr>
            <w:r>
              <w:rPr>
                <w:rFonts w:ascii="Arial" w:cs="Arial" w:eastAsia="Arial" w:hAnsi="Arial"/>
                <w:sz w:val="18"/>
                <w:szCs w:val="18"/>
                <w:color w:val="auto"/>
              </w:rPr>
              <w:t>Merger of the company with a target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Yes</w:t>
            </w:r>
          </w:p>
        </w:tc>
      </w:tr>
      <w:tr>
        <w:trPr>
          <w:trHeight w:val="317"/>
        </w:trPr>
        <w:tc>
          <w:tcPr>
            <w:tcW w:w="9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tc>
        <w:tc>
          <w:tcPr>
            <w:tcW w:w="1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113" w:lineRule="exact"/>
        <w:rPr>
          <w:sz w:val="20"/>
          <w:szCs w:val="20"/>
          <w:color w:val="auto"/>
        </w:rPr>
      </w:pPr>
    </w:p>
    <w:p>
      <w:pPr>
        <w:ind w:left="220" w:right="380" w:hanging="212"/>
        <w:spacing w:after="0" w:line="239" w:lineRule="auto"/>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w:t>
      </w:r>
    </w:p>
    <w:p>
      <w:pPr>
        <w:spacing w:after="0" w:line="114" w:lineRule="exact"/>
        <w:rPr>
          <w:rFonts w:ascii="Arial" w:cs="Arial" w:eastAsia="Arial" w:hAnsi="Arial"/>
          <w:sz w:val="18"/>
          <w:szCs w:val="18"/>
          <w:color w:val="auto"/>
        </w:rPr>
      </w:pPr>
    </w:p>
    <w:p>
      <w:pPr>
        <w:ind w:left="220" w:right="160" w:hanging="212"/>
        <w:spacing w:after="0" w:line="281" w:lineRule="auto"/>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listing rules) has a 5% or greater interest (or such persons collectively have a 10% or greater interest), directly or indirectly, in the target business or assets to be acquired or otherwise and the present or potential issuance of common stock could result in an increase in outstanding shares of common stock or voting power of 5% or more; or</w:t>
      </w:r>
    </w:p>
    <w:p>
      <w:pPr>
        <w:spacing w:after="0" w:line="82" w:lineRule="exact"/>
        <w:rPr>
          <w:rFonts w:ascii="Arial" w:cs="Arial" w:eastAsia="Arial" w:hAnsi="Arial"/>
          <w:sz w:val="16"/>
          <w:szCs w:val="16"/>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0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decision as to whether we will seek stockholder approval of a proposed business combination in those instances in which stockholder approval is not required by law will be made by us, solely in our discretion, and will be based on business and legal reasons, which include a variety of factors, including, but not limited to:</w:t>
      </w:r>
    </w:p>
    <w:p>
      <w:pPr>
        <w:spacing w:after="0" w:line="113" w:lineRule="exact"/>
        <w:rPr>
          <w:sz w:val="20"/>
          <w:szCs w:val="20"/>
          <w:color w:val="auto"/>
        </w:rPr>
      </w:pPr>
    </w:p>
    <w:p>
      <w:pPr>
        <w:ind w:left="220" w:right="320" w:hanging="212"/>
        <w:spacing w:after="0" w:line="238" w:lineRule="auto"/>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stockholder approval would require additional time and there is either not enough time to seek stockholder approval or doing so would place the company at a disadvantage in the transaction or result in other additional burdens on the company;</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expected cost of holding a stockholder vote;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risk that the stockholders would fail to approve the proposed business combination;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additional legal complexities of a proposed business combination that would be time-consuming and burdensome to present to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Permitted purchases of our securities</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or their respective affiliates may purchase public shares in privately negotiated transactions or in the open market either prior to or following the completion of our initial business combination. There is no limit on the number of shares our sponsor,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public shares in such transactions prior to completion of our initial business combination.</w:t>
      </w:r>
    </w:p>
    <w:p>
      <w:pPr>
        <w:spacing w:after="0" w:line="10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shares of Class A common stock may be reduced and the number of beneficial holders of our securities may be reduced, which may make it difficult to maintain or obtain the quotation, listing or trading of our securities on a national securities exchange.</w:t>
      </w:r>
    </w:p>
    <w:p>
      <w:pPr>
        <w:spacing w:after="0" w:line="10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sponsor, officers, directors and/or their affiliates anticipate that they may identify the stockholders with whom our sponsor, officers, directors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or their affiliates will only purchase public shares if such purchases comply with Regulation M under the Exchange Act and the other federal securities laws.</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Exchange Act. Any such purchases will be reported pursuant to Section 13 and Section 16 of the Exchange Act to the extent such purchases are subject to such reporting requirements.</w:t>
      </w:r>
    </w:p>
    <w:p>
      <w:pPr>
        <w:spacing w:after="0" w:line="173" w:lineRule="exact"/>
        <w:rPr>
          <w:sz w:val="20"/>
          <w:szCs w:val="20"/>
          <w:color w:val="auto"/>
        </w:rPr>
      </w:pPr>
    </w:p>
    <w:p>
      <w:pPr>
        <w:ind w:right="360"/>
        <w:spacing w:after="0" w:line="261" w:lineRule="auto"/>
        <w:rPr>
          <w:sz w:val="20"/>
          <w:szCs w:val="20"/>
          <w:color w:val="auto"/>
        </w:rPr>
      </w:pPr>
      <w:r>
        <w:rPr>
          <w:rFonts w:ascii="Arial" w:cs="Arial" w:eastAsia="Arial" w:hAnsi="Arial"/>
          <w:sz w:val="22"/>
          <w:szCs w:val="22"/>
          <w:b w:val="1"/>
          <w:bCs w:val="1"/>
          <w:color w:val="auto"/>
        </w:rPr>
        <w:t>Redemption rights for public stockholders upon completion of our initial business combination or certain stockholder votes to amend our amended and restated certificate of incorporation</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will provide our public stockholders with the opportunity to redeem all or a portion of their shares of Class A common stock upon (i) the completion of our initial business combination or (ii) a stockholder vote to approve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w:t>
      </w:r>
    </w:p>
    <w:p>
      <w:pPr>
        <w:ind w:firstLine="8"/>
        <w:spacing w:after="0" w:line="235" w:lineRule="auto"/>
        <w:tabs>
          <w:tab w:leader="none" w:pos="2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any other provision relating to stockholders’ rights or pre-initial business combination activity. Such redemptions, if any, will be made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franchise and income taxes, divided by the number of then outstanding public shares, subject to the limitations described herein. The amount in the trust account is initially anticipated to be approximately $10.00 per public share. The per-share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public shares. Our sponsor and each of our officers and directors have entered into a letter agreement with us, pursuant to which they have agreed to waive their redemption rights with respect to any founder shares and any public shares held by them in connection with the completion of our initial business combination or a stockholder vote to approve an amendment to our amended and restated certificate of incorporation, as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conducting redemptions in conjunction with a stockholder vote on our initial business combination</w:t>
      </w:r>
    </w:p>
    <w:p>
      <w:pPr>
        <w:spacing w:after="0" w:line="12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either (i) in connection with a stockholder meeting called to approve the initial business combination or (ii)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reasons. So long as we obtain and maintain a listing for our securities on Nasdaq, we will be required to comply with such rules.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320" w:top="459" w:right="3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reasons, we will, pursuant to our amended and restated certificate of incorporation:</w:t>
      </w:r>
    </w:p>
    <w:p>
      <w:pPr>
        <w:spacing w:after="0" w:line="114" w:lineRule="exact"/>
        <w:rPr>
          <w:sz w:val="20"/>
          <w:szCs w:val="20"/>
          <w:color w:val="auto"/>
        </w:rPr>
      </w:pPr>
    </w:p>
    <w:p>
      <w:pPr>
        <w:ind w:left="220" w:hanging="212"/>
        <w:spacing w:after="0"/>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17" w:lineRule="exact"/>
        <w:rPr>
          <w:rFonts w:ascii="Arial" w:cs="Arial" w:eastAsia="Arial" w:hAnsi="Arial"/>
          <w:sz w:val="18"/>
          <w:szCs w:val="18"/>
          <w:color w:val="auto"/>
        </w:rPr>
      </w:pPr>
    </w:p>
    <w:p>
      <w:pPr>
        <w:ind w:left="220" w:right="180" w:hanging="212"/>
        <w:spacing w:after="0" w:line="238" w:lineRule="auto"/>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Upon the public announcement of our initial business combination, we and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0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are not purchased by our sponsor, which number will be based on the requirement that we may not redeem public shares in an amount that would cause our net tangible assets to be less than $5,000,001 upon consummation of our initial business combination and after payment of deferred underwriting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0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If, however, stockholder approval of the transaction is required by law or stock exchange listing requirements, or we decide to obtain stockholder approval for business or other reasons, we will, pursuant to our amended and restated certificate of incorporation:</w:t>
      </w:r>
    </w:p>
    <w:p>
      <w:pPr>
        <w:spacing w:after="0" w:line="114" w:lineRule="exact"/>
        <w:rPr>
          <w:sz w:val="20"/>
          <w:szCs w:val="20"/>
          <w:color w:val="auto"/>
        </w:rPr>
      </w:pPr>
    </w:p>
    <w:p>
      <w:pPr>
        <w:ind w:left="220" w:right="720" w:hanging="212"/>
        <w:spacing w:after="0" w:line="239" w:lineRule="auto"/>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and each of our officers and directors have agreed to vote their founder shares and any public shares purchased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assuming all outstanding shares are voted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and the underwriter’s over-allotment option is not exercised, in addition to the founder shares, we would need only 7,172,251, or 35.9%, of the 20,000,000 public shares sold in this offering to be voted in favor of an initial business combination in order to have our initial business combination approved. Assuming only the minimum number of shares representing a quorum are voted and the underwriter’s over- allotment option is not exercised, in addition to the founder shares, we would not need any of the 20,000,000 public shares sold in this offering to be voted in favor of an initial business combination in order to have our initial business combination approved.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their public shares without voting, and if they do vote, irrespective of whether they vote for or against the proposed business combination.</w:t>
      </w:r>
    </w:p>
    <w:p>
      <w:pPr>
        <w:spacing w:after="0" w:line="28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amended and restated certificate of incorporation provides that in no event will we redeem our public shares in an amount that would cause our net tangible assets to be less than $5,000,001 upon consummation of our initial business combination and after payment of deferred underwriting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sponsor or its affiliates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sponsor or its affiliates at a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will not restrict our stockholders’ ability to vote all of their shares (including Excess Shares) for or against our initial business combination.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stock certificates in connection with a tender offer or redemption rights</w:t>
      </w:r>
    </w:p>
    <w:p>
      <w:pPr>
        <w:spacing w:after="0" w:line="12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initial vote on the proposal to approve the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may include the requirement that a beneficial holder must identify itself in order to validly redeem its public shares.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 Given the relatively short exercise period, it is advisable for stockholders to use electronic delivery of their public shares.</w:t>
      </w:r>
    </w:p>
    <w:p>
      <w:pPr>
        <w:spacing w:after="0" w:line="1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0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02"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pro rata share of the trust account. In such case, we will promptly return any certificates delivered by public holders who elected to redeem their shares.</w:t>
      </w:r>
    </w:p>
    <w:p>
      <w:pPr>
        <w:spacing w:after="0" w:line="10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If a proposed initial business combination is not completed, we may continue to try to complete an initial business combination with a different target until 24 months from the closing of this offering or during any Extension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amended and restated certificate of incorporation provides that we will have only 24 months from the closing of this offering to complete our initial business combination. If we do not complete our initial business combination within such 24-month period or any Extension Period, we will:</w:t>
      </w:r>
    </w:p>
    <w:p>
      <w:pPr>
        <w:ind w:right="60" w:firstLine="8"/>
        <w:spacing w:after="0" w:line="236" w:lineRule="auto"/>
        <w:tabs>
          <w:tab w:leader="none" w:pos="2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sponsor and each of our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or during any Extension Period. However, if our sponsor or any of our officers or directors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0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our sponsor and each of our officers and directors have agreed, pursuant to the letter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However, we may not redeem our public shares in an amount that would cause our net tangible assets to be less than $5,000,001 upon consummation of our initial business combination and after payment of deferred underwriting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0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$1,100,000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proceeds held outside the trust account, although we cannot assure you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on interest income earned on the trust account balance, we may request the trustee to release to us an additional amount of up to $100,000 of such accrued interest to pay those costs and expenses.</w:t>
      </w:r>
    </w:p>
    <w:p>
      <w:pPr>
        <w:spacing w:after="0" w:line="103"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If we were to expend all of the net proceeds of this offering and the sale of the private placement shares, other than the proceeds deposited in the trust account, and without taking into account interest, if any, earned on the trust account,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Although we will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LLP, our independent registered public accounting firm, and the underwriter of this offering will not execute agreements with us waiving such claims to the monies held in the trust account.</w:t>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this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directors or members of our sponsor will indemnify us for claims by third parties including, without limitation, claims by vendors and prospective target businesses.</w:t>
      </w:r>
    </w:p>
    <w:p>
      <w:pPr>
        <w:spacing w:after="0" w:line="10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$10.00 per public share.</w:t>
      </w:r>
    </w:p>
    <w:p>
      <w:pPr>
        <w:spacing w:after="0" w:line="106"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(other than our independent registered public accounting firm), prospective target businesses or other entities with which we do business execute agreements with us waiving any right, title, interest or claim of any kind in or to monies held in the trust account.</w:t>
      </w:r>
    </w:p>
    <w:p>
      <w:pPr>
        <w:spacing w:after="0" w:line="235" w:lineRule="auto"/>
        <w:rPr>
          <w:sz w:val="20"/>
          <w:szCs w:val="20"/>
          <w:color w:val="auto"/>
        </w:rPr>
      </w:pPr>
      <w:r>
        <w:rPr>
          <w:rFonts w:ascii="Arial" w:cs="Arial" w:eastAsia="Arial" w:hAnsi="Arial"/>
          <w:sz w:val="18"/>
          <w:szCs w:val="18"/>
          <w:color w:val="auto"/>
        </w:rPr>
        <w:t>Our sponsor will also not be liable as to any claims under our indemnity of the underwriter of this offering against certain liabilities, including liabilities under the Securities Act. We will have access to up to approximately $1,100,000 from the proceeds of this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however, such liability would not be greater than the amount of funds from our trust account received by any such stockholder. In the event that our offering expenses exceed our estimate of $1,455,000, we may fund such excess with the funds not to be held in the trust account. In such case, the amount of funds we intend to be held outside the trust account would decrease by a corresponding amount. Conversely, in the event that the offering expenses are less than our estimate of $1,455,000, the amount of funds we intend to be held outside the trust account would increase by a corresponding amount.</w:t>
      </w:r>
    </w:p>
    <w:p>
      <w:pPr>
        <w:spacing w:after="0" w:line="10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or during any Extension Period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 day waiting period before any liquidating distributions are made to stockholders, any liability of stockholders with respect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320" w:top="459" w:right="3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If we do not complete our initial business combination within 24 months from the closing of this offering or during any Extension Period, we will:</w:t>
      </w:r>
    </w:p>
    <w:p>
      <w:pPr>
        <w:spacing w:after="0" w:line="19" w:lineRule="exact"/>
        <w:rPr>
          <w:sz w:val="20"/>
          <w:szCs w:val="20"/>
          <w:color w:val="auto"/>
        </w:rPr>
      </w:pPr>
    </w:p>
    <w:p>
      <w:pPr>
        <w:ind w:right="80" w:firstLine="8"/>
        <w:spacing w:after="0" w:line="264" w:lineRule="auto"/>
        <w:tabs>
          <w:tab w:leader="none" w:pos="2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w:t>
      </w:r>
    </w:p>
    <w:p>
      <w:pPr>
        <w:jc w:val="both"/>
        <w:ind w:right="60"/>
        <w:spacing w:after="0" w:line="238" w:lineRule="auto"/>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1"/>
          <w:szCs w:val="11"/>
          <w:color w:val="auto"/>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the Company’s independent registered public accounting firm),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28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If the pro rata portion of our trust account distributed to our public stockholders upon the redemption of our public shares in the event we do not complete our initial business combination within 24 months from the closing of this offering or during any Extension Period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be six years after the unlawful redemption distribution instead of three years in the case of a liquidating distribution.</w:t>
      </w:r>
    </w:p>
    <w:p>
      <w:pPr>
        <w:spacing w:after="0" w:line="102"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0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all of our public shares if we do not complete our business combination within 24 months from the closing of this offering or during any Extension Period, subject to applicable law.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w:t>
      </w:r>
    </w:p>
    <w:p>
      <w:pPr>
        <w:spacing w:after="0" w:line="194" w:lineRule="exact"/>
        <w:rPr>
          <w:sz w:val="20"/>
          <w:szCs w:val="20"/>
          <w:color w:val="auto"/>
        </w:rPr>
      </w:pPr>
    </w:p>
    <w:p>
      <w:pPr>
        <w:ind w:right="380"/>
        <w:spacing w:after="0" w:line="325" w:lineRule="auto"/>
        <w:rPr>
          <w:sz w:val="20"/>
          <w:szCs w:val="20"/>
          <w:color w:val="auto"/>
        </w:rPr>
      </w:pPr>
      <w:r>
        <w:rPr>
          <w:rFonts w:ascii="Arial" w:cs="Arial" w:eastAsia="Arial" w:hAnsi="Arial"/>
          <w:sz w:val="16"/>
          <w:szCs w:val="16"/>
          <w:b w:val="1"/>
          <w:bCs w:val="1"/>
          <w:i w:val="1"/>
          <w:iCs w:val="1"/>
          <w:color w:val="auto"/>
        </w:rPr>
        <w:t>Comparison of redemption or purchase prices in connection with our initial business combination, or certain stockholder votes to amend our amended and restated certificate of incorporation, and if we fail to complete our initial business combination.</w:t>
      </w:r>
    </w:p>
    <w:p>
      <w:pPr>
        <w:spacing w:after="0" w:line="3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do not complete our initial business combination within 24 months from the closing of this offering or during any Extension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Arial" w:cs="Arial" w:eastAsia="Arial" w:hAnsi="Arial"/>
                <w:sz w:val="18"/>
                <w:szCs w:val="18"/>
                <w:b w:val="1"/>
                <w:bCs w:val="1"/>
                <w:color w:val="auto"/>
              </w:rPr>
              <w:t>Redemptions in</w:t>
            </w:r>
          </w:p>
        </w:tc>
        <w:tc>
          <w:tcPr>
            <w:tcW w:w="27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b w:val="1"/>
                <w:bCs w:val="1"/>
                <w:color w:val="auto"/>
              </w:rPr>
              <w:t>connection with our initial</w:t>
            </w:r>
          </w:p>
        </w:tc>
        <w:tc>
          <w:tcPr>
            <w:tcW w:w="27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b w:val="1"/>
                <w:bCs w:val="1"/>
                <w:color w:val="auto"/>
              </w:rPr>
              <w:t>business combination or</w:t>
            </w:r>
          </w:p>
        </w:tc>
        <w:tc>
          <w:tcPr>
            <w:tcW w:w="27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b w:val="1"/>
                <w:bCs w:val="1"/>
                <w:color w:val="auto"/>
              </w:rPr>
              <w:t>certain stockholder votes</w:t>
            </w:r>
          </w:p>
        </w:tc>
        <w:tc>
          <w:tcPr>
            <w:tcW w:w="27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b w:val="1"/>
                <w:bCs w:val="1"/>
                <w:color w:val="auto"/>
              </w:rPr>
              <w:t>to amend our amended</w:t>
            </w:r>
          </w:p>
        </w:tc>
        <w:tc>
          <w:tcPr>
            <w:tcW w:w="27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Other permitted purchases</w:t>
            </w:r>
          </w:p>
        </w:tc>
        <w:tc>
          <w:tcPr>
            <w:tcW w:w="250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Redemptions if we fail to</w:t>
            </w: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b w:val="1"/>
                <w:bCs w:val="1"/>
                <w:color w:val="auto"/>
              </w:rPr>
              <w:t>and restated certificate of</w:t>
            </w:r>
          </w:p>
        </w:tc>
        <w:tc>
          <w:tcPr>
            <w:tcW w:w="27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of public shares by us or</w:t>
            </w:r>
          </w:p>
        </w:tc>
        <w:tc>
          <w:tcPr>
            <w:tcW w:w="250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complete an initial</w:t>
            </w:r>
          </w:p>
        </w:tc>
      </w:tr>
      <w:tr>
        <w:trPr>
          <w:trHeight w:val="221"/>
        </w:trPr>
        <w:tc>
          <w:tcPr>
            <w:tcW w:w="30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incorporation</w:t>
            </w:r>
          </w:p>
        </w:tc>
        <w:tc>
          <w:tcPr>
            <w:tcW w:w="27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our affiliates</w:t>
            </w:r>
          </w:p>
        </w:tc>
        <w:tc>
          <w:tcPr>
            <w:tcW w:w="25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business combination</w:t>
            </w:r>
          </w:p>
        </w:tc>
      </w:tr>
      <w:tr>
        <w:trPr>
          <w:trHeight w:val="199"/>
        </w:trPr>
        <w:tc>
          <w:tcPr>
            <w:tcW w:w="3000" w:type="dxa"/>
            <w:vAlign w:val="bottom"/>
          </w:tcPr>
          <w:p>
            <w:pPr>
              <w:spacing w:after="0" w:line="199" w:lineRule="exact"/>
              <w:rPr>
                <w:sz w:val="20"/>
                <w:szCs w:val="20"/>
                <w:color w:val="auto"/>
              </w:rPr>
            </w:pPr>
            <w:r>
              <w:rPr>
                <w:rFonts w:ascii="Arial" w:cs="Arial" w:eastAsia="Arial" w:hAnsi="Arial"/>
                <w:sz w:val="18"/>
                <w:szCs w:val="18"/>
                <w:b w:val="1"/>
                <w:bCs w:val="1"/>
                <w:color w:val="auto"/>
              </w:rPr>
              <w:t>Calculation of redemption price</w:t>
            </w:r>
          </w:p>
        </w:tc>
        <w:tc>
          <w:tcPr>
            <w:tcW w:w="3020" w:type="dxa"/>
            <w:vAlign w:val="bottom"/>
          </w:tcPr>
          <w:p>
            <w:pPr>
              <w:ind w:left="360"/>
              <w:spacing w:after="0" w:line="199" w:lineRule="exact"/>
              <w:rPr>
                <w:sz w:val="20"/>
                <w:szCs w:val="20"/>
                <w:color w:val="auto"/>
              </w:rPr>
            </w:pPr>
            <w:r>
              <w:rPr>
                <w:rFonts w:ascii="Arial" w:cs="Arial" w:eastAsia="Arial" w:hAnsi="Arial"/>
                <w:sz w:val="18"/>
                <w:szCs w:val="18"/>
                <w:color w:val="auto"/>
              </w:rPr>
              <w:t>Redemptions at the time of our</w:t>
            </w:r>
          </w:p>
        </w:tc>
        <w:tc>
          <w:tcPr>
            <w:tcW w:w="2720" w:type="dxa"/>
            <w:vAlign w:val="bottom"/>
          </w:tcPr>
          <w:p>
            <w:pPr>
              <w:ind w:left="140"/>
              <w:spacing w:after="0" w:line="199" w:lineRule="exact"/>
              <w:rPr>
                <w:sz w:val="20"/>
                <w:szCs w:val="20"/>
                <w:color w:val="auto"/>
              </w:rPr>
            </w:pPr>
            <w:r>
              <w:rPr>
                <w:rFonts w:ascii="Arial" w:cs="Arial" w:eastAsia="Arial" w:hAnsi="Arial"/>
                <w:sz w:val="18"/>
                <w:szCs w:val="18"/>
                <w:color w:val="auto"/>
              </w:rPr>
              <w:t>If we seek stockholder approval</w:t>
            </w:r>
          </w:p>
        </w:tc>
        <w:tc>
          <w:tcPr>
            <w:tcW w:w="2500" w:type="dxa"/>
            <w:vAlign w:val="bottom"/>
          </w:tcPr>
          <w:p>
            <w:pPr>
              <w:ind w:left="160"/>
              <w:spacing w:after="0" w:line="199" w:lineRule="exact"/>
              <w:rPr>
                <w:sz w:val="20"/>
                <w:szCs w:val="20"/>
                <w:color w:val="auto"/>
              </w:rPr>
            </w:pPr>
            <w:r>
              <w:rPr>
                <w:rFonts w:ascii="Arial" w:cs="Arial" w:eastAsia="Arial" w:hAnsi="Arial"/>
                <w:sz w:val="18"/>
                <w:szCs w:val="18"/>
                <w:color w:val="auto"/>
              </w:rPr>
              <w:t>If we do not complete our</w:t>
            </w:r>
          </w:p>
        </w:tc>
      </w:tr>
      <w:tr>
        <w:trPr>
          <w:trHeight w:val="202"/>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color w:val="auto"/>
              </w:rPr>
              <w:t>initial business combination may</w:t>
            </w:r>
          </w:p>
        </w:tc>
        <w:tc>
          <w:tcPr>
            <w:tcW w:w="2720" w:type="dxa"/>
            <w:vAlign w:val="bottom"/>
          </w:tcPr>
          <w:p>
            <w:pPr>
              <w:ind w:left="140"/>
              <w:spacing w:after="0" w:line="202" w:lineRule="exact"/>
              <w:rPr>
                <w:sz w:val="20"/>
                <w:szCs w:val="20"/>
                <w:color w:val="auto"/>
              </w:rPr>
            </w:pPr>
            <w:r>
              <w:rPr>
                <w:rFonts w:ascii="Arial" w:cs="Arial" w:eastAsia="Arial" w:hAnsi="Arial"/>
                <w:sz w:val="18"/>
                <w:szCs w:val="18"/>
                <w:color w:val="auto"/>
              </w:rPr>
              <w:t>of our initial business</w:t>
            </w:r>
          </w:p>
        </w:tc>
        <w:tc>
          <w:tcPr>
            <w:tcW w:w="2500" w:type="dxa"/>
            <w:vAlign w:val="bottom"/>
          </w:tcPr>
          <w:p>
            <w:pPr>
              <w:ind w:left="160"/>
              <w:spacing w:after="0" w:line="202" w:lineRule="exact"/>
              <w:rPr>
                <w:sz w:val="20"/>
                <w:szCs w:val="20"/>
                <w:color w:val="auto"/>
              </w:rPr>
            </w:pPr>
            <w:r>
              <w:rPr>
                <w:rFonts w:ascii="Arial" w:cs="Arial" w:eastAsia="Arial" w:hAnsi="Arial"/>
                <w:sz w:val="18"/>
                <w:szCs w:val="18"/>
                <w:color w:val="auto"/>
              </w:rPr>
              <w:t>initial business combination</w:t>
            </w: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color w:val="auto"/>
              </w:rPr>
              <w:t>be made pursuant to a tender</w:t>
            </w:r>
          </w:p>
        </w:tc>
        <w:tc>
          <w:tcPr>
            <w:tcW w:w="2720" w:type="dxa"/>
            <w:vAlign w:val="bottom"/>
          </w:tcPr>
          <w:p>
            <w:pPr>
              <w:ind w:left="140"/>
              <w:spacing w:after="0" w:line="202" w:lineRule="exact"/>
              <w:rPr>
                <w:sz w:val="20"/>
                <w:szCs w:val="20"/>
                <w:color w:val="auto"/>
              </w:rPr>
            </w:pPr>
            <w:r>
              <w:rPr>
                <w:rFonts w:ascii="Arial" w:cs="Arial" w:eastAsia="Arial" w:hAnsi="Arial"/>
                <w:sz w:val="18"/>
                <w:szCs w:val="18"/>
                <w:color w:val="auto"/>
              </w:rPr>
              <w:t>combination, our sponsor,</w:t>
            </w:r>
          </w:p>
        </w:tc>
        <w:tc>
          <w:tcPr>
            <w:tcW w:w="2500" w:type="dxa"/>
            <w:vAlign w:val="bottom"/>
          </w:tcPr>
          <w:p>
            <w:pPr>
              <w:ind w:left="160"/>
              <w:spacing w:after="0" w:line="202" w:lineRule="exact"/>
              <w:rPr>
                <w:sz w:val="20"/>
                <w:szCs w:val="20"/>
                <w:color w:val="auto"/>
              </w:rPr>
            </w:pPr>
            <w:r>
              <w:rPr>
                <w:rFonts w:ascii="Arial" w:cs="Arial" w:eastAsia="Arial" w:hAnsi="Arial"/>
                <w:sz w:val="18"/>
                <w:szCs w:val="18"/>
                <w:color w:val="auto"/>
              </w:rPr>
              <w:t>within 24 months from the</w:t>
            </w: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color w:val="auto"/>
              </w:rPr>
              <w:t>offer or in connection with a</w:t>
            </w:r>
          </w:p>
        </w:tc>
        <w:tc>
          <w:tcPr>
            <w:tcW w:w="2720" w:type="dxa"/>
            <w:vAlign w:val="bottom"/>
          </w:tcPr>
          <w:p>
            <w:pPr>
              <w:ind w:left="140"/>
              <w:spacing w:after="0" w:line="202" w:lineRule="exact"/>
              <w:rPr>
                <w:sz w:val="20"/>
                <w:szCs w:val="20"/>
                <w:color w:val="auto"/>
              </w:rPr>
            </w:pPr>
            <w:r>
              <w:rPr>
                <w:rFonts w:ascii="Arial" w:cs="Arial" w:eastAsia="Arial" w:hAnsi="Arial"/>
                <w:sz w:val="18"/>
                <w:szCs w:val="18"/>
                <w:color w:val="auto"/>
              </w:rPr>
              <w:t>directors, officers or their</w:t>
            </w:r>
          </w:p>
        </w:tc>
        <w:tc>
          <w:tcPr>
            <w:tcW w:w="2500" w:type="dxa"/>
            <w:vAlign w:val="bottom"/>
          </w:tcPr>
          <w:p>
            <w:pPr>
              <w:ind w:left="160"/>
              <w:spacing w:after="0" w:line="202" w:lineRule="exact"/>
              <w:rPr>
                <w:sz w:val="20"/>
                <w:szCs w:val="20"/>
                <w:color w:val="auto"/>
              </w:rPr>
            </w:pPr>
            <w:r>
              <w:rPr>
                <w:rFonts w:ascii="Arial" w:cs="Arial" w:eastAsia="Arial" w:hAnsi="Arial"/>
                <w:sz w:val="18"/>
                <w:szCs w:val="18"/>
                <w:color w:val="auto"/>
              </w:rPr>
              <w:t>closing of this offering or</w:t>
            </w: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color w:val="auto"/>
              </w:rPr>
              <w:t>stockholder vote. The</w:t>
            </w:r>
          </w:p>
        </w:tc>
        <w:tc>
          <w:tcPr>
            <w:tcW w:w="2720" w:type="dxa"/>
            <w:vAlign w:val="bottom"/>
          </w:tcPr>
          <w:p>
            <w:pPr>
              <w:ind w:left="140"/>
              <w:spacing w:after="0" w:line="202" w:lineRule="exact"/>
              <w:rPr>
                <w:sz w:val="20"/>
                <w:szCs w:val="20"/>
                <w:color w:val="auto"/>
              </w:rPr>
            </w:pPr>
            <w:r>
              <w:rPr>
                <w:rFonts w:ascii="Arial" w:cs="Arial" w:eastAsia="Arial" w:hAnsi="Arial"/>
                <w:sz w:val="18"/>
                <w:szCs w:val="18"/>
                <w:color w:val="auto"/>
              </w:rPr>
              <w:t>affiliates may purchase public</w:t>
            </w:r>
          </w:p>
        </w:tc>
        <w:tc>
          <w:tcPr>
            <w:tcW w:w="2500" w:type="dxa"/>
            <w:vAlign w:val="bottom"/>
          </w:tcPr>
          <w:p>
            <w:pPr>
              <w:ind w:left="160"/>
              <w:spacing w:after="0" w:line="202" w:lineRule="exact"/>
              <w:rPr>
                <w:sz w:val="20"/>
                <w:szCs w:val="20"/>
                <w:color w:val="auto"/>
              </w:rPr>
            </w:pPr>
            <w:r>
              <w:rPr>
                <w:rFonts w:ascii="Arial" w:cs="Arial" w:eastAsia="Arial" w:hAnsi="Arial"/>
                <w:sz w:val="18"/>
                <w:szCs w:val="18"/>
                <w:color w:val="auto"/>
              </w:rPr>
              <w:t>during any Extension Period,</w:t>
            </w: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color w:val="auto"/>
              </w:rPr>
              <w:t>redemption price will be the</w:t>
            </w:r>
          </w:p>
        </w:tc>
        <w:tc>
          <w:tcPr>
            <w:tcW w:w="2720" w:type="dxa"/>
            <w:vAlign w:val="bottom"/>
          </w:tcPr>
          <w:p>
            <w:pPr>
              <w:ind w:left="140"/>
              <w:spacing w:after="0" w:line="202" w:lineRule="exact"/>
              <w:rPr>
                <w:sz w:val="20"/>
                <w:szCs w:val="20"/>
                <w:color w:val="auto"/>
              </w:rPr>
            </w:pPr>
            <w:r>
              <w:rPr>
                <w:rFonts w:ascii="Arial" w:cs="Arial" w:eastAsia="Arial" w:hAnsi="Arial"/>
                <w:sz w:val="18"/>
                <w:szCs w:val="18"/>
                <w:color w:val="auto"/>
              </w:rPr>
              <w:t>shares in privately negotiated</w:t>
            </w:r>
          </w:p>
        </w:tc>
        <w:tc>
          <w:tcPr>
            <w:tcW w:w="2500" w:type="dxa"/>
            <w:vAlign w:val="bottom"/>
          </w:tcPr>
          <w:p>
            <w:pPr>
              <w:ind w:left="160"/>
              <w:spacing w:after="0" w:line="202" w:lineRule="exact"/>
              <w:rPr>
                <w:sz w:val="20"/>
                <w:szCs w:val="20"/>
                <w:color w:val="auto"/>
              </w:rPr>
            </w:pPr>
            <w:r>
              <w:rPr>
                <w:rFonts w:ascii="Arial" w:cs="Arial" w:eastAsia="Arial" w:hAnsi="Arial"/>
                <w:sz w:val="18"/>
                <w:szCs w:val="18"/>
                <w:color w:val="auto"/>
              </w:rPr>
              <w:t>we will redeem all public</w:t>
            </w:r>
          </w:p>
        </w:tc>
      </w:tr>
      <w:tr>
        <w:trPr>
          <w:trHeight w:val="203"/>
        </w:trPr>
        <w:tc>
          <w:tcPr>
            <w:tcW w:w="3000" w:type="dxa"/>
            <w:vAlign w:val="bottom"/>
          </w:tcPr>
          <w:p>
            <w:pPr>
              <w:spacing w:after="0"/>
              <w:rPr>
                <w:sz w:val="17"/>
                <w:szCs w:val="17"/>
                <w:color w:val="auto"/>
              </w:rPr>
            </w:pPr>
          </w:p>
        </w:tc>
        <w:tc>
          <w:tcPr>
            <w:tcW w:w="3020" w:type="dxa"/>
            <w:vAlign w:val="bottom"/>
          </w:tcPr>
          <w:p>
            <w:pPr>
              <w:ind w:left="360"/>
              <w:spacing w:after="0" w:line="202" w:lineRule="exact"/>
              <w:rPr>
                <w:sz w:val="20"/>
                <w:szCs w:val="20"/>
                <w:color w:val="auto"/>
              </w:rPr>
            </w:pPr>
            <w:r>
              <w:rPr>
                <w:rFonts w:ascii="Arial" w:cs="Arial" w:eastAsia="Arial" w:hAnsi="Arial"/>
                <w:sz w:val="18"/>
                <w:szCs w:val="18"/>
                <w:color w:val="auto"/>
              </w:rPr>
              <w:t>same whether we</w:t>
            </w:r>
          </w:p>
        </w:tc>
        <w:tc>
          <w:tcPr>
            <w:tcW w:w="2720" w:type="dxa"/>
            <w:vAlign w:val="bottom"/>
          </w:tcPr>
          <w:p>
            <w:pPr>
              <w:ind w:left="140"/>
              <w:spacing w:after="0" w:line="202" w:lineRule="exact"/>
              <w:rPr>
                <w:sz w:val="20"/>
                <w:szCs w:val="20"/>
                <w:color w:val="auto"/>
              </w:rPr>
            </w:pPr>
            <w:r>
              <w:rPr>
                <w:rFonts w:ascii="Arial" w:cs="Arial" w:eastAsia="Arial" w:hAnsi="Arial"/>
                <w:sz w:val="18"/>
                <w:szCs w:val="18"/>
                <w:color w:val="auto"/>
              </w:rPr>
              <w:t>transactions or in the open</w:t>
            </w:r>
          </w:p>
        </w:tc>
        <w:tc>
          <w:tcPr>
            <w:tcW w:w="2500" w:type="dxa"/>
            <w:vAlign w:val="bottom"/>
          </w:tcPr>
          <w:p>
            <w:pPr>
              <w:ind w:left="160"/>
              <w:spacing w:after="0" w:line="202" w:lineRule="exact"/>
              <w:rPr>
                <w:sz w:val="20"/>
                <w:szCs w:val="20"/>
                <w:color w:val="auto"/>
              </w:rPr>
            </w:pPr>
            <w:r>
              <w:rPr>
                <w:rFonts w:ascii="Arial" w:cs="Arial" w:eastAsia="Arial" w:hAnsi="Arial"/>
                <w:sz w:val="18"/>
                <w:szCs w:val="18"/>
                <w:color w:val="auto"/>
              </w:rPr>
              <w:t>shares at a per-share</w:t>
            </w:r>
          </w:p>
        </w:tc>
      </w:tr>
      <w:tr>
        <w:trPr>
          <w:trHeight w:val="211"/>
        </w:trPr>
        <w:tc>
          <w:tcPr>
            <w:tcW w:w="3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market</w:t>
            </w:r>
          </w:p>
        </w:tc>
        <w:tc>
          <w:tcPr>
            <w:tcW w:w="2500" w:type="dxa"/>
            <w:vAlign w:val="bottom"/>
          </w:tcPr>
          <w:p>
            <w:pPr>
              <w:spacing w:after="0"/>
              <w:rPr>
                <w:sz w:val="18"/>
                <w:szCs w:val="18"/>
                <w:color w:val="auto"/>
              </w:rPr>
            </w:pPr>
          </w:p>
        </w:tc>
      </w:tr>
      <w:tr>
        <w:trPr>
          <w:trHeight w:val="351"/>
        </w:trPr>
        <w:tc>
          <w:tcPr>
            <w:tcW w:w="3000" w:type="dxa"/>
            <w:vAlign w:val="bottom"/>
          </w:tcPr>
          <w:p>
            <w:pPr>
              <w:spacing w:after="0"/>
              <w:rPr>
                <w:sz w:val="24"/>
                <w:szCs w:val="24"/>
                <w:color w:val="auto"/>
              </w:rPr>
            </w:pPr>
          </w:p>
        </w:tc>
        <w:tc>
          <w:tcPr>
            <w:tcW w:w="3020" w:type="dxa"/>
            <w:vAlign w:val="bottom"/>
          </w:tcPr>
          <w:p>
            <w:pPr>
              <w:ind w:left="2480"/>
              <w:spacing w:after="0"/>
              <w:rPr>
                <w:sz w:val="20"/>
                <w:szCs w:val="20"/>
                <w:color w:val="auto"/>
              </w:rPr>
            </w:pPr>
            <w:r>
              <w:rPr>
                <w:rFonts w:ascii="Arial" w:cs="Arial" w:eastAsia="Arial" w:hAnsi="Arial"/>
                <w:sz w:val="18"/>
                <w:szCs w:val="18"/>
                <w:color w:val="auto"/>
              </w:rPr>
              <w:t>109</w:t>
            </w:r>
          </w:p>
        </w:tc>
        <w:tc>
          <w:tcPr>
            <w:tcW w:w="27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39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Redemptions in</w:t>
      </w:r>
    </w:p>
    <w:p>
      <w:pPr>
        <w:spacing w:after="0" w:line="18"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connection with our initial</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business combination or</w:t>
      </w:r>
    </w:p>
    <w:p>
      <w:pPr>
        <w:ind w:left="3360"/>
        <w:spacing w:after="0"/>
        <w:rPr>
          <w:sz w:val="20"/>
          <w:szCs w:val="20"/>
          <w:color w:val="auto"/>
        </w:rPr>
      </w:pPr>
      <w:r>
        <w:rPr>
          <w:rFonts w:ascii="Arial" w:cs="Arial" w:eastAsia="Arial" w:hAnsi="Arial"/>
          <w:sz w:val="16"/>
          <w:szCs w:val="16"/>
          <w:b w:val="1"/>
          <w:bCs w:val="1"/>
          <w:color w:val="auto"/>
        </w:rPr>
        <w:t>certain stockholder votes</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to amend our amended</w:t>
      </w:r>
    </w:p>
    <w:p>
      <w:pPr>
        <w:ind w:left="3360"/>
        <w:spacing w:after="0"/>
        <w:rPr>
          <w:sz w:val="20"/>
          <w:szCs w:val="20"/>
          <w:color w:val="auto"/>
        </w:rPr>
      </w:pPr>
      <w:r>
        <w:rPr>
          <w:rFonts w:ascii="Arial" w:cs="Arial" w:eastAsia="Arial" w:hAnsi="Arial"/>
          <w:sz w:val="16"/>
          <w:szCs w:val="16"/>
          <w:b w:val="1"/>
          <w:bCs w:val="1"/>
          <w:color w:val="auto"/>
        </w:rPr>
        <w:t>and restated certificate of</w:t>
      </w:r>
    </w:p>
    <w:p>
      <w:pPr>
        <w:spacing w:after="0" w:line="1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color w:val="auto"/>
        </w:rPr>
        <w:t>Other permitted purchases of public shares by us or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color w:val="auto"/>
        </w:rPr>
        <w:t>Redemptions if we fail to complete an initial business combination</w:t>
      </w:r>
    </w:p>
    <w:p>
      <w:pPr>
        <w:spacing w:after="0" w:line="1" w:lineRule="exact"/>
        <w:rPr>
          <w:sz w:val="20"/>
          <w:szCs w:val="20"/>
          <w:color w:val="auto"/>
        </w:rPr>
      </w:pPr>
    </w:p>
    <w:p>
      <w:pPr>
        <w:sectPr>
          <w:pgSz w:w="11900" w:h="16838" w:orient="portrait"/>
          <w:cols w:equalWidth="0" w:num="3">
            <w:col w:w="5540" w:space="620"/>
            <w:col w:w="2240" w:space="500"/>
            <w:col w:w="2340"/>
          </w:cols>
          <w:pgMar w:left="320" w:top="459" w:right="339" w:bottom="1440" w:gutter="0" w:footer="0" w:header="0"/>
          <w:type w:val="continuous"/>
        </w:sectPr>
      </w:pPr>
    </w:p>
    <w:p>
      <w:pPr>
        <w:ind w:left="3360"/>
        <w:spacing w:after="0"/>
        <w:rPr>
          <w:sz w:val="20"/>
          <w:szCs w:val="20"/>
          <w:color w:val="auto"/>
        </w:rPr>
      </w:pPr>
      <w:r>
        <w:rPr>
          <w:rFonts w:ascii="Arial" w:cs="Arial" w:eastAsia="Arial" w:hAnsi="Arial"/>
          <w:sz w:val="16"/>
          <w:szCs w:val="16"/>
          <w:color w:val="auto"/>
        </w:rPr>
        <w:t>conduct redemptions pursuant to</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 tender offer or in connection</w:t>
      </w:r>
    </w:p>
    <w:p>
      <w:pPr>
        <w:ind w:left="3360"/>
        <w:spacing w:after="0"/>
        <w:rPr>
          <w:sz w:val="20"/>
          <w:szCs w:val="20"/>
          <w:color w:val="auto"/>
        </w:rPr>
      </w:pPr>
      <w:r>
        <w:rPr>
          <w:rFonts w:ascii="Arial" w:cs="Arial" w:eastAsia="Arial" w:hAnsi="Arial"/>
          <w:sz w:val="16"/>
          <w:szCs w:val="16"/>
          <w:color w:val="auto"/>
        </w:rPr>
        <w:t>with a stockholder vote. In either</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case, or in the case of</w:t>
      </w:r>
    </w:p>
    <w:p>
      <w:pPr>
        <w:ind w:left="3360"/>
        <w:spacing w:after="0"/>
        <w:rPr>
          <w:sz w:val="20"/>
          <w:szCs w:val="20"/>
          <w:color w:val="auto"/>
        </w:rPr>
      </w:pPr>
      <w:r>
        <w:rPr>
          <w:rFonts w:ascii="Arial" w:cs="Arial" w:eastAsia="Arial" w:hAnsi="Arial"/>
          <w:sz w:val="16"/>
          <w:szCs w:val="16"/>
          <w:color w:val="auto"/>
        </w:rPr>
        <w:t>redemptions in connection with a</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stockholder vote to approve an</w:t>
      </w:r>
    </w:p>
    <w:p>
      <w:pPr>
        <w:ind w:left="3360"/>
        <w:spacing w:after="0"/>
        <w:rPr>
          <w:sz w:val="20"/>
          <w:szCs w:val="20"/>
          <w:color w:val="auto"/>
        </w:rPr>
      </w:pPr>
      <w:r>
        <w:rPr>
          <w:rFonts w:ascii="Arial" w:cs="Arial" w:eastAsia="Arial" w:hAnsi="Arial"/>
          <w:sz w:val="16"/>
          <w:szCs w:val="16"/>
          <w:color w:val="auto"/>
        </w:rPr>
        <w:t>amendment to our amended and</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restated certificate of</w:t>
      </w:r>
    </w:p>
    <w:p>
      <w:pPr>
        <w:ind w:left="3360"/>
        <w:spacing w:after="0" w:line="234" w:lineRule="auto"/>
        <w:rPr>
          <w:sz w:val="20"/>
          <w:szCs w:val="20"/>
          <w:color w:val="auto"/>
        </w:rPr>
      </w:pPr>
      <w:r>
        <w:rPr>
          <w:rFonts w:ascii="Arial" w:cs="Arial" w:eastAsia="Arial" w:hAnsi="Arial"/>
          <w:sz w:val="18"/>
          <w:szCs w:val="18"/>
          <w:color w:val="auto"/>
        </w:rPr>
        <w:t>incorporation (i) to modify the</w:t>
      </w:r>
    </w:p>
    <w:p>
      <w:pPr>
        <w:ind w:left="3360"/>
        <w:spacing w:after="0" w:line="235" w:lineRule="auto"/>
        <w:rPr>
          <w:sz w:val="20"/>
          <w:szCs w:val="20"/>
          <w:color w:val="auto"/>
        </w:rPr>
      </w:pPr>
      <w:r>
        <w:rPr>
          <w:rFonts w:ascii="Arial" w:cs="Arial" w:eastAsia="Arial" w:hAnsi="Arial"/>
          <w:sz w:val="18"/>
          <w:szCs w:val="18"/>
          <w:color w:val="auto"/>
        </w:rPr>
        <w:t>substance or timing of our</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obligation to allow redemption in</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connection with our initial</w:t>
      </w:r>
    </w:p>
    <w:p>
      <w:pPr>
        <w:ind w:left="3360"/>
        <w:spacing w:after="0" w:line="234" w:lineRule="auto"/>
        <w:rPr>
          <w:sz w:val="20"/>
          <w:szCs w:val="20"/>
          <w:color w:val="auto"/>
        </w:rPr>
      </w:pPr>
      <w:r>
        <w:rPr>
          <w:rFonts w:ascii="Arial" w:cs="Arial" w:eastAsia="Arial" w:hAnsi="Arial"/>
          <w:sz w:val="18"/>
          <w:szCs w:val="18"/>
          <w:color w:val="auto"/>
        </w:rPr>
        <w:t>business combination or to</w:t>
      </w:r>
    </w:p>
    <w:p>
      <w:pPr>
        <w:ind w:left="3360"/>
        <w:spacing w:after="0" w:line="235" w:lineRule="auto"/>
        <w:rPr>
          <w:sz w:val="20"/>
          <w:szCs w:val="20"/>
          <w:color w:val="auto"/>
        </w:rPr>
      </w:pPr>
      <w:r>
        <w:rPr>
          <w:rFonts w:ascii="Arial" w:cs="Arial" w:eastAsia="Arial" w:hAnsi="Arial"/>
          <w:sz w:val="18"/>
          <w:szCs w:val="18"/>
          <w:color w:val="auto"/>
        </w:rPr>
        <w:t>redeem 100% of our public</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shares if we do not complete our</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initial business combination</w:t>
      </w:r>
    </w:p>
    <w:p>
      <w:pPr>
        <w:ind w:left="3360"/>
        <w:spacing w:after="0" w:line="234" w:lineRule="auto"/>
        <w:rPr>
          <w:sz w:val="20"/>
          <w:szCs w:val="20"/>
          <w:color w:val="auto"/>
        </w:rPr>
      </w:pPr>
      <w:r>
        <w:rPr>
          <w:rFonts w:ascii="Arial" w:cs="Arial" w:eastAsia="Arial" w:hAnsi="Arial"/>
          <w:sz w:val="18"/>
          <w:szCs w:val="18"/>
          <w:color w:val="auto"/>
        </w:rPr>
        <w:t>within 24 months from the</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closing of this offering or (ii) with</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respect to any other provision</w:t>
      </w:r>
    </w:p>
    <w:p>
      <w:pPr>
        <w:ind w:left="3360"/>
        <w:spacing w:after="0"/>
        <w:rPr>
          <w:sz w:val="20"/>
          <w:szCs w:val="20"/>
          <w:color w:val="auto"/>
        </w:rPr>
      </w:pPr>
      <w:r>
        <w:rPr>
          <w:rFonts w:ascii="Arial" w:cs="Arial" w:eastAsia="Arial" w:hAnsi="Arial"/>
          <w:sz w:val="16"/>
          <w:szCs w:val="16"/>
          <w:color w:val="auto"/>
        </w:rPr>
        <w:t>relating to stockholders’ rights or</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pre-initial business combination</w:t>
      </w:r>
    </w:p>
    <w:p>
      <w:pPr>
        <w:ind w:left="3360"/>
        <w:spacing w:after="0" w:line="234" w:lineRule="auto"/>
        <w:rPr>
          <w:sz w:val="20"/>
          <w:szCs w:val="20"/>
          <w:color w:val="auto"/>
        </w:rPr>
      </w:pPr>
      <w:r>
        <w:rPr>
          <w:rFonts w:ascii="Arial" w:cs="Arial" w:eastAsia="Arial" w:hAnsi="Arial"/>
          <w:sz w:val="18"/>
          <w:szCs w:val="18"/>
          <w:color w:val="auto"/>
        </w:rPr>
        <w:t>activity, our public stockholders</w:t>
      </w:r>
    </w:p>
    <w:p>
      <w:pPr>
        <w:ind w:left="3360"/>
        <w:spacing w:after="0" w:line="235" w:lineRule="auto"/>
        <w:rPr>
          <w:sz w:val="20"/>
          <w:szCs w:val="20"/>
          <w:color w:val="auto"/>
        </w:rPr>
      </w:pPr>
      <w:r>
        <w:rPr>
          <w:rFonts w:ascii="Arial" w:cs="Arial" w:eastAsia="Arial" w:hAnsi="Arial"/>
          <w:sz w:val="18"/>
          <w:szCs w:val="18"/>
          <w:color w:val="auto"/>
        </w:rPr>
        <w:t>may redeem their public shares</w:t>
      </w:r>
    </w:p>
    <w:p>
      <w:pPr>
        <w:ind w:left="3360"/>
        <w:spacing w:after="0" w:line="235" w:lineRule="auto"/>
        <w:rPr>
          <w:sz w:val="20"/>
          <w:szCs w:val="20"/>
          <w:color w:val="auto"/>
        </w:rPr>
      </w:pPr>
      <w:r>
        <w:rPr>
          <w:rFonts w:ascii="Arial" w:cs="Arial" w:eastAsia="Arial" w:hAnsi="Arial"/>
          <w:sz w:val="18"/>
          <w:szCs w:val="18"/>
          <w:color w:val="auto"/>
        </w:rPr>
        <w:t>for cash equal to the aggregate</w:t>
      </w:r>
    </w:p>
    <w:p>
      <w:pPr>
        <w:ind w:left="3360"/>
        <w:spacing w:after="0" w:line="235" w:lineRule="auto"/>
        <w:rPr>
          <w:sz w:val="20"/>
          <w:szCs w:val="20"/>
          <w:color w:val="auto"/>
        </w:rPr>
      </w:pPr>
      <w:r>
        <w:rPr>
          <w:rFonts w:ascii="Arial" w:cs="Arial" w:eastAsia="Arial" w:hAnsi="Arial"/>
          <w:sz w:val="18"/>
          <w:szCs w:val="18"/>
          <w:color w:val="auto"/>
        </w:rPr>
        <w:t>amount then on deposit in the</w:t>
      </w:r>
    </w:p>
    <w:p>
      <w:pPr>
        <w:ind w:left="3360"/>
        <w:spacing w:after="0"/>
        <w:rPr>
          <w:sz w:val="20"/>
          <w:szCs w:val="20"/>
          <w:color w:val="auto"/>
        </w:rPr>
      </w:pPr>
      <w:r>
        <w:rPr>
          <w:rFonts w:ascii="Arial" w:cs="Arial" w:eastAsia="Arial" w:hAnsi="Arial"/>
          <w:sz w:val="16"/>
          <w:szCs w:val="16"/>
          <w:color w:val="auto"/>
        </w:rPr>
        <w:t>trust account as of two business</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days prior to the consummation</w:t>
      </w:r>
    </w:p>
    <w:p>
      <w:pPr>
        <w:ind w:left="3360"/>
        <w:spacing w:after="0" w:line="234" w:lineRule="auto"/>
        <w:rPr>
          <w:sz w:val="20"/>
          <w:szCs w:val="20"/>
          <w:color w:val="auto"/>
        </w:rPr>
      </w:pPr>
      <w:r>
        <w:rPr>
          <w:rFonts w:ascii="Arial" w:cs="Arial" w:eastAsia="Arial" w:hAnsi="Arial"/>
          <w:sz w:val="18"/>
          <w:szCs w:val="18"/>
          <w:color w:val="auto"/>
        </w:rPr>
        <w:t>of the initial business</w:t>
      </w:r>
    </w:p>
    <w:p>
      <w:pPr>
        <w:ind w:left="3360"/>
        <w:spacing w:after="0" w:line="235" w:lineRule="auto"/>
        <w:rPr>
          <w:sz w:val="20"/>
          <w:szCs w:val="20"/>
          <w:color w:val="auto"/>
        </w:rPr>
      </w:pPr>
      <w:r>
        <w:rPr>
          <w:rFonts w:ascii="Arial" w:cs="Arial" w:eastAsia="Arial" w:hAnsi="Arial"/>
          <w:sz w:val="18"/>
          <w:szCs w:val="18"/>
          <w:color w:val="auto"/>
        </w:rPr>
        <w:t>combination (which is initially</w:t>
      </w:r>
    </w:p>
    <w:p>
      <w:pPr>
        <w:ind w:left="3360"/>
        <w:spacing w:after="0" w:line="235" w:lineRule="auto"/>
        <w:rPr>
          <w:sz w:val="20"/>
          <w:szCs w:val="20"/>
          <w:color w:val="auto"/>
        </w:rPr>
      </w:pPr>
      <w:r>
        <w:rPr>
          <w:rFonts w:ascii="Arial" w:cs="Arial" w:eastAsia="Arial" w:hAnsi="Arial"/>
          <w:sz w:val="18"/>
          <w:szCs w:val="18"/>
          <w:color w:val="auto"/>
        </w:rPr>
        <w:t>anticipated to be $10.00 per</w:t>
      </w:r>
    </w:p>
    <w:p>
      <w:pPr>
        <w:ind w:left="3360"/>
        <w:spacing w:after="0" w:line="235" w:lineRule="auto"/>
        <w:rPr>
          <w:sz w:val="20"/>
          <w:szCs w:val="20"/>
          <w:color w:val="auto"/>
        </w:rPr>
      </w:pPr>
      <w:r>
        <w:rPr>
          <w:rFonts w:ascii="Arial" w:cs="Arial" w:eastAsia="Arial" w:hAnsi="Arial"/>
          <w:sz w:val="18"/>
          <w:szCs w:val="18"/>
          <w:color w:val="auto"/>
        </w:rPr>
        <w:t>public share), including interest</w:t>
      </w:r>
    </w:p>
    <w:p>
      <w:pPr>
        <w:ind w:left="3360"/>
        <w:spacing w:after="0" w:line="235" w:lineRule="auto"/>
        <w:rPr>
          <w:sz w:val="20"/>
          <w:szCs w:val="20"/>
          <w:color w:val="auto"/>
        </w:rPr>
      </w:pPr>
      <w:r>
        <w:rPr>
          <w:rFonts w:ascii="Arial" w:cs="Arial" w:eastAsia="Arial" w:hAnsi="Arial"/>
          <w:sz w:val="18"/>
          <w:szCs w:val="18"/>
          <w:color w:val="auto"/>
        </w:rPr>
        <w:t>earned on the funds held in the</w:t>
      </w:r>
    </w:p>
    <w:p>
      <w:pPr>
        <w:ind w:left="3360"/>
        <w:spacing w:after="0" w:line="234" w:lineRule="auto"/>
        <w:rPr>
          <w:sz w:val="20"/>
          <w:szCs w:val="20"/>
          <w:color w:val="auto"/>
        </w:rPr>
      </w:pPr>
      <w:r>
        <w:rPr>
          <w:rFonts w:ascii="Arial" w:cs="Arial" w:eastAsia="Arial" w:hAnsi="Arial"/>
          <w:sz w:val="18"/>
          <w:szCs w:val="18"/>
          <w:color w:val="auto"/>
        </w:rPr>
        <w:t>trust account and not previously</w:t>
      </w:r>
    </w:p>
    <w:p>
      <w:pPr>
        <w:spacing w:after="0" w:line="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released</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6"/>
          <w:szCs w:val="16"/>
          <w:color w:val="auto"/>
        </w:rPr>
        <w:t>prior to or following completion of our initial business combination. There is no limit to the prices that our sponsor, directors, officers or their affiliates may pay in these transactions.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6"/>
          <w:szCs w:val="16"/>
          <w:color w:val="auto"/>
        </w:rPr>
        <w:t>price, payable in cash, equal to the aggregate amount, then on deposit in the trust account (which is initially anticipated to be $10.00 per public share), including interest earned on the funds held in the trust account and not previously released to us to pay our franchise and income taxes (less up to $100,000 of interest to pay dissolution expenses), divided by the number of then outstanding public shares.</w:t>
      </w:r>
    </w:p>
    <w:p>
      <w:pPr>
        <w:spacing w:after="0" w:line="4178" w:lineRule="exact"/>
        <w:rPr>
          <w:sz w:val="20"/>
          <w:szCs w:val="20"/>
          <w:color w:val="auto"/>
        </w:rPr>
      </w:pPr>
    </w:p>
    <w:p>
      <w:pPr>
        <w:sectPr>
          <w:pgSz w:w="11900" w:h="16838" w:orient="portrait"/>
          <w:cols w:equalWidth="0" w:num="3">
            <w:col w:w="5920" w:space="240"/>
            <w:col w:w="2560" w:space="180"/>
            <w:col w:w="2340"/>
          </w:cols>
          <w:pgMar w:left="320" w:top="459"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40"/>
          </w:cols>
          <w:pgMar w:left="320" w:top="459" w:right="339" w:bottom="1440" w:gutter="0" w:footer="0" w:header="0"/>
          <w:type w:val="continuous"/>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39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Redemptions in</w:t>
      </w:r>
    </w:p>
    <w:p>
      <w:pPr>
        <w:spacing w:after="0" w:line="18"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connection with our initial</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business combination or</w:t>
      </w:r>
    </w:p>
    <w:p>
      <w:pPr>
        <w:ind w:left="3360"/>
        <w:spacing w:after="0"/>
        <w:rPr>
          <w:sz w:val="20"/>
          <w:szCs w:val="20"/>
          <w:color w:val="auto"/>
        </w:rPr>
      </w:pPr>
      <w:r>
        <w:rPr>
          <w:rFonts w:ascii="Arial" w:cs="Arial" w:eastAsia="Arial" w:hAnsi="Arial"/>
          <w:sz w:val="16"/>
          <w:szCs w:val="16"/>
          <w:b w:val="1"/>
          <w:bCs w:val="1"/>
          <w:color w:val="auto"/>
        </w:rPr>
        <w:t>certain stockholder votes</w:t>
      </w:r>
    </w:p>
    <w:p>
      <w:pPr>
        <w:spacing w:after="0" w:line="1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to amend our amended</w:t>
      </w:r>
    </w:p>
    <w:p>
      <w:pPr>
        <w:ind w:left="3360"/>
        <w:spacing w:after="0"/>
        <w:rPr>
          <w:sz w:val="20"/>
          <w:szCs w:val="20"/>
          <w:color w:val="auto"/>
        </w:rPr>
      </w:pPr>
      <w:r>
        <w:rPr>
          <w:rFonts w:ascii="Arial" w:cs="Arial" w:eastAsia="Arial" w:hAnsi="Arial"/>
          <w:sz w:val="16"/>
          <w:szCs w:val="16"/>
          <w:b w:val="1"/>
          <w:bCs w:val="1"/>
          <w:color w:val="auto"/>
        </w:rPr>
        <w:t>and restated certificate of</w:t>
      </w:r>
    </w:p>
    <w:p>
      <w:pPr>
        <w:spacing w:after="0" w:line="1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color w:val="auto"/>
        </w:rPr>
        <w:t>Other permitted purchases of public shares by us or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color w:val="auto"/>
        </w:rPr>
        <w:t>Redemptions if we fail to complete an initial business combination</w:t>
      </w:r>
    </w:p>
    <w:p>
      <w:pPr>
        <w:spacing w:after="0" w:line="1" w:lineRule="exact"/>
        <w:rPr>
          <w:sz w:val="20"/>
          <w:szCs w:val="20"/>
          <w:color w:val="auto"/>
        </w:rPr>
      </w:pPr>
    </w:p>
    <w:p>
      <w:pPr>
        <w:sectPr>
          <w:pgSz w:w="11900" w:h="16838" w:orient="portrait"/>
          <w:cols w:equalWidth="0" w:num="3">
            <w:col w:w="5540" w:space="620"/>
            <w:col w:w="2240" w:space="500"/>
            <w:col w:w="2340"/>
          </w:cols>
          <w:pgMar w:left="320" w:top="459" w:right="339" w:bottom="1440" w:gutter="0" w:footer="0" w:header="0"/>
          <w:type w:val="continuous"/>
        </w:sectPr>
      </w:pPr>
    </w:p>
    <w:p>
      <w:pPr>
        <w:ind w:left="3360"/>
        <w:spacing w:after="0" w:line="236" w:lineRule="auto"/>
        <w:rPr>
          <w:sz w:val="20"/>
          <w:szCs w:val="20"/>
          <w:color w:val="auto"/>
        </w:rPr>
      </w:pPr>
      <w:r>
        <w:rPr>
          <w:rFonts w:ascii="Arial" w:cs="Arial" w:eastAsia="Arial" w:hAnsi="Arial"/>
          <w:sz w:val="18"/>
          <w:szCs w:val="18"/>
          <w:color w:val="auto"/>
        </w:rPr>
        <w:t>to us to pay our franchise and</w:t>
      </w:r>
    </w:p>
    <w:p>
      <w:pPr>
        <w:ind w:left="3360"/>
        <w:spacing w:after="0" w:line="235" w:lineRule="auto"/>
        <w:rPr>
          <w:sz w:val="20"/>
          <w:szCs w:val="20"/>
          <w:color w:val="auto"/>
        </w:rPr>
      </w:pPr>
      <w:r>
        <w:rPr>
          <w:rFonts w:ascii="Arial" w:cs="Arial" w:eastAsia="Arial" w:hAnsi="Arial"/>
          <w:sz w:val="18"/>
          <w:szCs w:val="18"/>
          <w:color w:val="auto"/>
        </w:rPr>
        <w:t>income taxes divided by the</w:t>
      </w:r>
    </w:p>
    <w:p>
      <w:pPr>
        <w:ind w:left="3360"/>
        <w:spacing w:after="0" w:line="234" w:lineRule="auto"/>
        <w:rPr>
          <w:sz w:val="20"/>
          <w:szCs w:val="20"/>
          <w:color w:val="auto"/>
        </w:rPr>
      </w:pPr>
      <w:r>
        <w:rPr>
          <w:rFonts w:ascii="Arial" w:cs="Arial" w:eastAsia="Arial" w:hAnsi="Arial"/>
          <w:sz w:val="18"/>
          <w:szCs w:val="18"/>
          <w:color w:val="auto"/>
        </w:rPr>
        <w:t>number of then outstanding</w:t>
      </w:r>
    </w:p>
    <w:p>
      <w:pPr>
        <w:ind w:left="3360"/>
        <w:spacing w:after="0" w:line="235" w:lineRule="auto"/>
        <w:rPr>
          <w:sz w:val="20"/>
          <w:szCs w:val="20"/>
          <w:color w:val="auto"/>
        </w:rPr>
      </w:pPr>
      <w:r>
        <w:rPr>
          <w:rFonts w:ascii="Arial" w:cs="Arial" w:eastAsia="Arial" w:hAnsi="Arial"/>
          <w:sz w:val="18"/>
          <w:szCs w:val="18"/>
          <w:color w:val="auto"/>
        </w:rPr>
        <w:t>public shares, subject to the</w:t>
      </w:r>
    </w:p>
    <w:p>
      <w:pPr>
        <w:ind w:left="3360"/>
        <w:spacing w:after="0" w:line="235" w:lineRule="auto"/>
        <w:rPr>
          <w:sz w:val="20"/>
          <w:szCs w:val="20"/>
          <w:color w:val="auto"/>
        </w:rPr>
      </w:pPr>
      <w:r>
        <w:rPr>
          <w:rFonts w:ascii="Arial" w:cs="Arial" w:eastAsia="Arial" w:hAnsi="Arial"/>
          <w:sz w:val="18"/>
          <w:szCs w:val="18"/>
          <w:color w:val="auto"/>
        </w:rPr>
        <w:t>limitation that no redemptions</w:t>
      </w:r>
    </w:p>
    <w:p>
      <w:pPr>
        <w:ind w:left="3360"/>
        <w:spacing w:after="0" w:line="235" w:lineRule="auto"/>
        <w:rPr>
          <w:sz w:val="20"/>
          <w:szCs w:val="20"/>
          <w:color w:val="auto"/>
        </w:rPr>
      </w:pPr>
      <w:r>
        <w:rPr>
          <w:rFonts w:ascii="Arial" w:cs="Arial" w:eastAsia="Arial" w:hAnsi="Arial"/>
          <w:sz w:val="18"/>
          <w:szCs w:val="18"/>
          <w:color w:val="auto"/>
        </w:rPr>
        <w:t>will take place, if all of the</w:t>
      </w:r>
    </w:p>
    <w:p>
      <w:pPr>
        <w:ind w:left="3360"/>
        <w:spacing w:after="0" w:line="235" w:lineRule="auto"/>
        <w:rPr>
          <w:sz w:val="20"/>
          <w:szCs w:val="20"/>
          <w:color w:val="auto"/>
        </w:rPr>
      </w:pPr>
      <w:r>
        <w:rPr>
          <w:rFonts w:ascii="Arial" w:cs="Arial" w:eastAsia="Arial" w:hAnsi="Arial"/>
          <w:sz w:val="18"/>
          <w:szCs w:val="18"/>
          <w:color w:val="auto"/>
        </w:rPr>
        <w:t>redemptions would cause our</w:t>
      </w:r>
    </w:p>
    <w:p>
      <w:pPr>
        <w:ind w:left="3360"/>
        <w:spacing w:after="0" w:line="234" w:lineRule="auto"/>
        <w:rPr>
          <w:sz w:val="20"/>
          <w:szCs w:val="20"/>
          <w:color w:val="auto"/>
        </w:rPr>
      </w:pPr>
      <w:r>
        <w:rPr>
          <w:rFonts w:ascii="Arial" w:cs="Arial" w:eastAsia="Arial" w:hAnsi="Arial"/>
          <w:sz w:val="18"/>
          <w:szCs w:val="18"/>
          <w:color w:val="auto"/>
        </w:rPr>
        <w:t>net tangible assets to be less</w:t>
      </w:r>
    </w:p>
    <w:p>
      <w:pPr>
        <w:ind w:left="3360"/>
        <w:spacing w:after="0" w:line="235" w:lineRule="auto"/>
        <w:rPr>
          <w:sz w:val="20"/>
          <w:szCs w:val="20"/>
          <w:color w:val="auto"/>
        </w:rPr>
      </w:pPr>
      <w:r>
        <w:rPr>
          <w:rFonts w:ascii="Arial" w:cs="Arial" w:eastAsia="Arial" w:hAnsi="Arial"/>
          <w:sz w:val="18"/>
          <w:szCs w:val="18"/>
          <w:color w:val="auto"/>
        </w:rPr>
        <w:t>than $5,000,001 upon</w:t>
      </w:r>
    </w:p>
    <w:p>
      <w:pPr>
        <w:ind w:left="3360"/>
        <w:spacing w:after="0" w:line="235" w:lineRule="auto"/>
        <w:rPr>
          <w:sz w:val="20"/>
          <w:szCs w:val="20"/>
          <w:color w:val="auto"/>
        </w:rPr>
      </w:pPr>
      <w:r>
        <w:rPr>
          <w:rFonts w:ascii="Arial" w:cs="Arial" w:eastAsia="Arial" w:hAnsi="Arial"/>
          <w:sz w:val="18"/>
          <w:szCs w:val="18"/>
          <w:color w:val="auto"/>
        </w:rPr>
        <w:t>consummation of our initial</w:t>
      </w:r>
    </w:p>
    <w:p>
      <w:pPr>
        <w:ind w:left="3360"/>
        <w:spacing w:after="0" w:line="235" w:lineRule="auto"/>
        <w:rPr>
          <w:sz w:val="20"/>
          <w:szCs w:val="20"/>
          <w:color w:val="auto"/>
        </w:rPr>
      </w:pPr>
      <w:r>
        <w:rPr>
          <w:rFonts w:ascii="Arial" w:cs="Arial" w:eastAsia="Arial" w:hAnsi="Arial"/>
          <w:sz w:val="18"/>
          <w:szCs w:val="18"/>
          <w:color w:val="auto"/>
        </w:rPr>
        <w:t>business combination and any</w:t>
      </w:r>
    </w:p>
    <w:p>
      <w:pPr>
        <w:ind w:left="3360"/>
        <w:spacing w:after="0" w:line="235" w:lineRule="auto"/>
        <w:rPr>
          <w:sz w:val="20"/>
          <w:szCs w:val="20"/>
          <w:color w:val="auto"/>
        </w:rPr>
      </w:pPr>
      <w:r>
        <w:rPr>
          <w:rFonts w:ascii="Arial" w:cs="Arial" w:eastAsia="Arial" w:hAnsi="Arial"/>
          <w:sz w:val="18"/>
          <w:szCs w:val="18"/>
          <w:color w:val="auto"/>
        </w:rPr>
        <w:t>limitations (including but not</w:t>
      </w:r>
    </w:p>
    <w:p>
      <w:pPr>
        <w:ind w:left="3360"/>
        <w:spacing w:after="0" w:line="234" w:lineRule="auto"/>
        <w:rPr>
          <w:sz w:val="20"/>
          <w:szCs w:val="20"/>
          <w:color w:val="auto"/>
        </w:rPr>
      </w:pPr>
      <w:r>
        <w:rPr>
          <w:rFonts w:ascii="Arial" w:cs="Arial" w:eastAsia="Arial" w:hAnsi="Arial"/>
          <w:sz w:val="18"/>
          <w:szCs w:val="18"/>
          <w:color w:val="auto"/>
        </w:rPr>
        <w:t>limited to cash requirements)</w:t>
      </w:r>
    </w:p>
    <w:p>
      <w:pPr>
        <w:ind w:left="3360"/>
        <w:spacing w:after="0" w:line="235" w:lineRule="auto"/>
        <w:rPr>
          <w:sz w:val="20"/>
          <w:szCs w:val="20"/>
          <w:color w:val="auto"/>
        </w:rPr>
      </w:pPr>
      <w:r>
        <w:rPr>
          <w:rFonts w:ascii="Arial" w:cs="Arial" w:eastAsia="Arial" w:hAnsi="Arial"/>
          <w:sz w:val="18"/>
          <w:szCs w:val="18"/>
          <w:color w:val="auto"/>
        </w:rPr>
        <w:t>agreed to in connection with the</w:t>
      </w:r>
    </w:p>
    <w:p>
      <w:pPr>
        <w:ind w:left="3360"/>
        <w:spacing w:after="0" w:line="235" w:lineRule="auto"/>
        <w:rPr>
          <w:sz w:val="20"/>
          <w:szCs w:val="20"/>
          <w:color w:val="auto"/>
        </w:rPr>
      </w:pPr>
      <w:r>
        <w:rPr>
          <w:rFonts w:ascii="Arial" w:cs="Arial" w:eastAsia="Arial" w:hAnsi="Arial"/>
          <w:sz w:val="18"/>
          <w:szCs w:val="18"/>
          <w:color w:val="auto"/>
        </w:rPr>
        <w:t>negotiation of terms of a</w:t>
      </w:r>
    </w:p>
    <w:p>
      <w:pPr>
        <w:ind w:left="3360"/>
        <w:spacing w:after="0" w:line="235" w:lineRule="auto"/>
        <w:rPr>
          <w:sz w:val="20"/>
          <w:szCs w:val="20"/>
          <w:color w:val="auto"/>
        </w:rPr>
      </w:pPr>
      <w:r>
        <w:rPr>
          <w:rFonts w:ascii="Arial" w:cs="Arial" w:eastAsia="Arial" w:hAnsi="Arial"/>
          <w:sz w:val="18"/>
          <w:szCs w:val="18"/>
          <w:color w:val="auto"/>
        </w:rPr>
        <w:t>proposed initial business</w:t>
      </w:r>
    </w:p>
    <w:p>
      <w:pPr>
        <w:ind w:left="3360"/>
        <w:spacing w:after="0"/>
        <w:rPr>
          <w:sz w:val="20"/>
          <w:szCs w:val="20"/>
          <w:color w:val="auto"/>
        </w:rPr>
      </w:pPr>
      <w:r>
        <w:rPr>
          <w:rFonts w:ascii="Arial" w:cs="Arial" w:eastAsia="Arial" w:hAnsi="Arial"/>
          <w:sz w:val="18"/>
          <w:szCs w:val="18"/>
          <w:color w:val="auto"/>
        </w:rPr>
        <w:t>combination.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80" w:type="dxa"/>
            <w:vAlign w:val="bottom"/>
          </w:tcPr>
          <w:p>
            <w:pPr>
              <w:spacing w:after="0"/>
              <w:rPr>
                <w:sz w:val="20"/>
                <w:szCs w:val="20"/>
                <w:color w:val="auto"/>
              </w:rPr>
            </w:pPr>
            <w:r>
              <w:rPr>
                <w:rFonts w:ascii="Arial" w:cs="Arial" w:eastAsia="Arial" w:hAnsi="Arial"/>
                <w:sz w:val="18"/>
                <w:szCs w:val="18"/>
                <w:b w:val="1"/>
                <w:bCs w:val="1"/>
                <w:color w:val="auto"/>
              </w:rPr>
              <w:t>Impact to remaining stockholders</w:t>
            </w:r>
          </w:p>
        </w:tc>
        <w:tc>
          <w:tcPr>
            <w:tcW w:w="2960" w:type="dxa"/>
            <w:vAlign w:val="bottom"/>
          </w:tcPr>
          <w:p>
            <w:pPr>
              <w:ind w:left="280"/>
              <w:spacing w:after="0"/>
              <w:rPr>
                <w:sz w:val="20"/>
                <w:szCs w:val="20"/>
                <w:color w:val="auto"/>
              </w:rPr>
            </w:pPr>
            <w:r>
              <w:rPr>
                <w:rFonts w:ascii="Arial" w:cs="Arial" w:eastAsia="Arial" w:hAnsi="Arial"/>
                <w:sz w:val="18"/>
                <w:szCs w:val="18"/>
                <w:color w:val="auto"/>
              </w:rPr>
              <w:t>The redemptions in connection</w:t>
            </w:r>
          </w:p>
        </w:tc>
        <w:tc>
          <w:tcPr>
            <w:tcW w:w="2760" w:type="dxa"/>
            <w:vAlign w:val="bottom"/>
          </w:tcPr>
          <w:p>
            <w:pPr>
              <w:ind w:left="120"/>
              <w:spacing w:after="0"/>
              <w:rPr>
                <w:sz w:val="20"/>
                <w:szCs w:val="20"/>
                <w:color w:val="auto"/>
              </w:rPr>
            </w:pPr>
            <w:r>
              <w:rPr>
                <w:rFonts w:ascii="Arial" w:cs="Arial" w:eastAsia="Arial" w:hAnsi="Arial"/>
                <w:sz w:val="18"/>
                <w:szCs w:val="18"/>
                <w:color w:val="auto"/>
              </w:rPr>
              <w:t>If the permitted purchases</w:t>
            </w:r>
          </w:p>
        </w:tc>
        <w:tc>
          <w:tcPr>
            <w:tcW w:w="2440" w:type="dxa"/>
            <w:vAlign w:val="bottom"/>
          </w:tcPr>
          <w:p>
            <w:pPr>
              <w:ind w:left="100"/>
              <w:spacing w:after="0"/>
              <w:rPr>
                <w:sz w:val="20"/>
                <w:szCs w:val="20"/>
                <w:color w:val="auto"/>
              </w:rPr>
            </w:pPr>
            <w:r>
              <w:rPr>
                <w:rFonts w:ascii="Arial" w:cs="Arial" w:eastAsia="Arial" w:hAnsi="Arial"/>
                <w:sz w:val="18"/>
                <w:szCs w:val="18"/>
                <w:color w:val="auto"/>
              </w:rPr>
              <w:t>The redemption of our public</w:t>
            </w:r>
          </w:p>
        </w:tc>
      </w:tr>
      <w:tr>
        <w:trPr>
          <w:trHeight w:val="203"/>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with our initial business</w:t>
            </w:r>
          </w:p>
        </w:tc>
        <w:tc>
          <w:tcPr>
            <w:tcW w:w="2760" w:type="dxa"/>
            <w:vAlign w:val="bottom"/>
          </w:tcPr>
          <w:p>
            <w:pPr>
              <w:ind w:left="120"/>
              <w:spacing w:after="0" w:line="202" w:lineRule="exact"/>
              <w:rPr>
                <w:sz w:val="20"/>
                <w:szCs w:val="20"/>
                <w:color w:val="auto"/>
              </w:rPr>
            </w:pPr>
            <w:r>
              <w:rPr>
                <w:rFonts w:ascii="Arial" w:cs="Arial" w:eastAsia="Arial" w:hAnsi="Arial"/>
                <w:sz w:val="18"/>
                <w:szCs w:val="18"/>
                <w:color w:val="auto"/>
                <w:w w:val="99"/>
              </w:rPr>
              <w:t>described above are made, there</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shares if we fail to complete</w:t>
            </w:r>
          </w:p>
        </w:tc>
      </w:tr>
      <w:tr>
        <w:trPr>
          <w:trHeight w:val="203"/>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combination or certain</w:t>
            </w:r>
          </w:p>
        </w:tc>
        <w:tc>
          <w:tcPr>
            <w:tcW w:w="2760" w:type="dxa"/>
            <w:vAlign w:val="bottom"/>
          </w:tcPr>
          <w:p>
            <w:pPr>
              <w:ind w:left="120"/>
              <w:spacing w:after="0" w:line="202" w:lineRule="exact"/>
              <w:rPr>
                <w:sz w:val="20"/>
                <w:szCs w:val="20"/>
                <w:color w:val="auto"/>
              </w:rPr>
            </w:pPr>
            <w:r>
              <w:rPr>
                <w:rFonts w:ascii="Arial" w:cs="Arial" w:eastAsia="Arial" w:hAnsi="Arial"/>
                <w:sz w:val="18"/>
                <w:szCs w:val="18"/>
                <w:color w:val="auto"/>
              </w:rPr>
              <w:t>would be no impact to our</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our initial business</w:t>
            </w:r>
          </w:p>
        </w:tc>
      </w:tr>
      <w:tr>
        <w:trPr>
          <w:trHeight w:val="203"/>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stockholder votes to amend our</w:t>
            </w:r>
          </w:p>
        </w:tc>
        <w:tc>
          <w:tcPr>
            <w:tcW w:w="2760" w:type="dxa"/>
            <w:vAlign w:val="bottom"/>
          </w:tcPr>
          <w:p>
            <w:pPr>
              <w:ind w:left="120"/>
              <w:spacing w:after="0" w:line="202" w:lineRule="exact"/>
              <w:rPr>
                <w:sz w:val="20"/>
                <w:szCs w:val="20"/>
                <w:color w:val="auto"/>
              </w:rPr>
            </w:pPr>
            <w:r>
              <w:rPr>
                <w:rFonts w:ascii="Arial" w:cs="Arial" w:eastAsia="Arial" w:hAnsi="Arial"/>
                <w:sz w:val="18"/>
                <w:szCs w:val="18"/>
                <w:color w:val="auto"/>
              </w:rPr>
              <w:t>remaining stockholders because</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combination will reduce the</w:t>
            </w:r>
          </w:p>
        </w:tc>
      </w:tr>
      <w:tr>
        <w:trPr>
          <w:trHeight w:val="203"/>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amended and restated certificate</w:t>
            </w:r>
          </w:p>
        </w:tc>
        <w:tc>
          <w:tcPr>
            <w:tcW w:w="2760" w:type="dxa"/>
            <w:vAlign w:val="bottom"/>
          </w:tcPr>
          <w:p>
            <w:pPr>
              <w:ind w:left="120"/>
              <w:spacing w:after="0" w:line="202" w:lineRule="exact"/>
              <w:rPr>
                <w:sz w:val="20"/>
                <w:szCs w:val="20"/>
                <w:color w:val="auto"/>
              </w:rPr>
            </w:pPr>
            <w:r>
              <w:rPr>
                <w:rFonts w:ascii="Arial" w:cs="Arial" w:eastAsia="Arial" w:hAnsi="Arial"/>
                <w:sz w:val="18"/>
                <w:szCs w:val="18"/>
                <w:color w:val="auto"/>
              </w:rPr>
              <w:t>the purchase price would not be</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book value per share for the</w:t>
            </w:r>
          </w:p>
        </w:tc>
      </w:tr>
      <w:tr>
        <w:trPr>
          <w:trHeight w:val="203"/>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of incorporation will reduce the</w:t>
            </w:r>
          </w:p>
        </w:tc>
        <w:tc>
          <w:tcPr>
            <w:tcW w:w="2760" w:type="dxa"/>
            <w:vAlign w:val="bottom"/>
          </w:tcPr>
          <w:p>
            <w:pPr>
              <w:ind w:left="120"/>
              <w:spacing w:after="0" w:line="202" w:lineRule="exact"/>
              <w:rPr>
                <w:sz w:val="20"/>
                <w:szCs w:val="20"/>
                <w:color w:val="auto"/>
              </w:rPr>
            </w:pPr>
            <w:r>
              <w:rPr>
                <w:rFonts w:ascii="Arial" w:cs="Arial" w:eastAsia="Arial" w:hAnsi="Arial"/>
                <w:sz w:val="18"/>
                <w:szCs w:val="18"/>
                <w:color w:val="auto"/>
              </w:rPr>
              <w:t>paid by us.</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shares held by our initial</w:t>
            </w:r>
          </w:p>
        </w:tc>
      </w:tr>
      <w:tr>
        <w:trPr>
          <w:trHeight w:val="203"/>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book value per share for our</w:t>
            </w:r>
          </w:p>
        </w:tc>
        <w:tc>
          <w:tcPr>
            <w:tcW w:w="2760" w:type="dxa"/>
            <w:vAlign w:val="bottom"/>
          </w:tcPr>
          <w:p>
            <w:pPr>
              <w:spacing w:after="0"/>
              <w:rPr>
                <w:sz w:val="17"/>
                <w:szCs w:val="17"/>
                <w:color w:val="auto"/>
              </w:rPr>
            </w:pP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stockholders, who will be our</w:t>
            </w:r>
          </w:p>
        </w:tc>
      </w:tr>
      <w:tr>
        <w:trPr>
          <w:trHeight w:val="203"/>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remaining stockholders, who will</w:t>
            </w:r>
          </w:p>
        </w:tc>
        <w:tc>
          <w:tcPr>
            <w:tcW w:w="2760" w:type="dxa"/>
            <w:vAlign w:val="bottom"/>
          </w:tcPr>
          <w:p>
            <w:pPr>
              <w:spacing w:after="0"/>
              <w:rPr>
                <w:sz w:val="17"/>
                <w:szCs w:val="17"/>
                <w:color w:val="auto"/>
              </w:rPr>
            </w:pP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only remaining stockholders</w:t>
            </w:r>
          </w:p>
        </w:tc>
      </w:tr>
      <w:tr>
        <w:trPr>
          <w:trHeight w:val="203"/>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bear the burden of the deferred</w:t>
            </w:r>
          </w:p>
        </w:tc>
        <w:tc>
          <w:tcPr>
            <w:tcW w:w="2760" w:type="dxa"/>
            <w:vAlign w:val="bottom"/>
          </w:tcPr>
          <w:p>
            <w:pPr>
              <w:spacing w:after="0"/>
              <w:rPr>
                <w:sz w:val="17"/>
                <w:szCs w:val="17"/>
                <w:color w:val="auto"/>
              </w:rPr>
            </w:pP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after such redemptions.</w:t>
            </w:r>
          </w:p>
        </w:tc>
      </w:tr>
      <w:tr>
        <w:trPr>
          <w:trHeight w:val="202"/>
        </w:trPr>
        <w:tc>
          <w:tcPr>
            <w:tcW w:w="3080" w:type="dxa"/>
            <w:vAlign w:val="bottom"/>
          </w:tcPr>
          <w:p>
            <w:pPr>
              <w:spacing w:after="0"/>
              <w:rPr>
                <w:sz w:val="17"/>
                <w:szCs w:val="17"/>
                <w:color w:val="auto"/>
              </w:rPr>
            </w:pPr>
          </w:p>
        </w:tc>
        <w:tc>
          <w:tcPr>
            <w:tcW w:w="2960" w:type="dxa"/>
            <w:vAlign w:val="bottom"/>
          </w:tcPr>
          <w:p>
            <w:pPr>
              <w:ind w:left="280"/>
              <w:spacing w:after="0" w:line="202" w:lineRule="exact"/>
              <w:rPr>
                <w:sz w:val="20"/>
                <w:szCs w:val="20"/>
                <w:color w:val="auto"/>
              </w:rPr>
            </w:pPr>
            <w:r>
              <w:rPr>
                <w:rFonts w:ascii="Arial" w:cs="Arial" w:eastAsia="Arial" w:hAnsi="Arial"/>
                <w:sz w:val="18"/>
                <w:szCs w:val="18"/>
                <w:color w:val="auto"/>
              </w:rPr>
              <w:t>underwriting commissions and</w:t>
            </w:r>
          </w:p>
        </w:tc>
        <w:tc>
          <w:tcPr>
            <w:tcW w:w="27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2"/>
        </w:trPr>
        <w:tc>
          <w:tcPr>
            <w:tcW w:w="30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taxes payable.</w:t>
            </w:r>
          </w:p>
        </w:tc>
        <w:tc>
          <w:tcPr>
            <w:tcW w:w="27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r>
      <w:tr>
        <w:trPr>
          <w:trHeight w:val="357"/>
        </w:trPr>
        <w:tc>
          <w:tcPr>
            <w:tcW w:w="3080" w:type="dxa"/>
            <w:vAlign w:val="bottom"/>
          </w:tcPr>
          <w:p>
            <w:pPr>
              <w:spacing w:after="0"/>
              <w:rPr>
                <w:sz w:val="24"/>
                <w:szCs w:val="24"/>
                <w:color w:val="auto"/>
              </w:rPr>
            </w:pPr>
          </w:p>
        </w:tc>
        <w:tc>
          <w:tcPr>
            <w:tcW w:w="2960" w:type="dxa"/>
            <w:vAlign w:val="bottom"/>
          </w:tcPr>
          <w:p>
            <w:pPr>
              <w:ind w:left="2400"/>
              <w:spacing w:after="0"/>
              <w:rPr>
                <w:sz w:val="20"/>
                <w:szCs w:val="20"/>
                <w:color w:val="auto"/>
              </w:rPr>
            </w:pPr>
            <w:r>
              <w:rPr>
                <w:rFonts w:ascii="Arial" w:cs="Arial" w:eastAsia="Arial" w:hAnsi="Arial"/>
                <w:sz w:val="18"/>
                <w:szCs w:val="18"/>
                <w:color w:val="auto"/>
              </w:rPr>
              <w:t>111</w:t>
            </w:r>
          </w:p>
        </w:tc>
        <w:tc>
          <w:tcPr>
            <w:tcW w:w="276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this offering to those of blank check companies subject to Rule 419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w:t>
      </w:r>
    </w:p>
    <w:p>
      <w:pPr>
        <w:jc w:val="both"/>
        <w:ind w:right="60" w:firstLine="8"/>
        <w:spacing w:after="0" w:line="238" w:lineRule="auto"/>
        <w:tabs>
          <w:tab w:leader="none" w:pos="3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comparison assumes that the gross proceeds, underwriting commissions and underwriting expenses of our offering would be identical to those of an offering undertaken by a company subject to Rule 419, and that the underwriter will not exercise its over-allotment option. None of the provisions of Rule 419 apply to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Terms of our offering</w:t>
            </w:r>
          </w:p>
        </w:tc>
        <w:tc>
          <w:tcPr>
            <w:tcW w:w="3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Terms under a Rule 419 offering</w:t>
            </w:r>
          </w:p>
        </w:tc>
      </w:tr>
      <w:tr>
        <w:trPr>
          <w:trHeight w:val="199"/>
        </w:trPr>
        <w:tc>
          <w:tcPr>
            <w:tcW w:w="3280" w:type="dxa"/>
            <w:vAlign w:val="bottom"/>
          </w:tcPr>
          <w:p>
            <w:pPr>
              <w:spacing w:after="0" w:line="199" w:lineRule="exact"/>
              <w:rPr>
                <w:sz w:val="20"/>
                <w:szCs w:val="20"/>
                <w:color w:val="auto"/>
              </w:rPr>
            </w:pPr>
            <w:r>
              <w:rPr>
                <w:rFonts w:ascii="Arial" w:cs="Arial" w:eastAsia="Arial" w:hAnsi="Arial"/>
                <w:sz w:val="18"/>
                <w:szCs w:val="18"/>
                <w:b w:val="1"/>
                <w:bCs w:val="1"/>
                <w:color w:val="auto"/>
              </w:rPr>
              <w:t>Escrow of offering proceeds</w:t>
            </w:r>
          </w:p>
        </w:tc>
        <w:tc>
          <w:tcPr>
            <w:tcW w:w="4580" w:type="dxa"/>
            <w:vAlign w:val="bottom"/>
          </w:tcPr>
          <w:p>
            <w:pPr>
              <w:ind w:left="900"/>
              <w:spacing w:after="0" w:line="199" w:lineRule="exact"/>
              <w:rPr>
                <w:sz w:val="20"/>
                <w:szCs w:val="20"/>
                <w:color w:val="auto"/>
              </w:rPr>
            </w:pPr>
            <w:r>
              <w:rPr>
                <w:rFonts w:ascii="Arial" w:cs="Arial" w:eastAsia="Arial" w:hAnsi="Arial"/>
                <w:sz w:val="18"/>
                <w:szCs w:val="18"/>
                <w:color w:val="auto"/>
              </w:rPr>
              <w:t>Nasdaq rules provide that at least 90% of the</w:t>
            </w:r>
          </w:p>
        </w:tc>
        <w:tc>
          <w:tcPr>
            <w:tcW w:w="3380" w:type="dxa"/>
            <w:vAlign w:val="bottom"/>
          </w:tcPr>
          <w:p>
            <w:pPr>
              <w:ind w:left="120"/>
              <w:spacing w:after="0" w:line="199" w:lineRule="exact"/>
              <w:rPr>
                <w:sz w:val="20"/>
                <w:szCs w:val="20"/>
                <w:color w:val="auto"/>
              </w:rPr>
            </w:pPr>
            <w:r>
              <w:rPr>
                <w:rFonts w:ascii="Arial" w:cs="Arial" w:eastAsia="Arial" w:hAnsi="Arial"/>
                <w:sz w:val="18"/>
                <w:szCs w:val="18"/>
                <w:color w:val="auto"/>
              </w:rPr>
              <w:t>Approximately $170,100,000 of the</w:t>
            </w:r>
          </w:p>
        </w:tc>
      </w:tr>
      <w:tr>
        <w:trPr>
          <w:trHeight w:val="203"/>
        </w:trPr>
        <w:tc>
          <w:tcPr>
            <w:tcW w:w="3280" w:type="dxa"/>
            <w:vAlign w:val="bottom"/>
          </w:tcPr>
          <w:p>
            <w:pPr>
              <w:spacing w:after="0"/>
              <w:rPr>
                <w:sz w:val="17"/>
                <w:szCs w:val="17"/>
                <w:color w:val="auto"/>
              </w:rPr>
            </w:pPr>
          </w:p>
        </w:tc>
        <w:tc>
          <w:tcPr>
            <w:tcW w:w="4580" w:type="dxa"/>
            <w:vAlign w:val="bottom"/>
          </w:tcPr>
          <w:p>
            <w:pPr>
              <w:ind w:left="900"/>
              <w:spacing w:after="0" w:line="202" w:lineRule="exact"/>
              <w:rPr>
                <w:sz w:val="20"/>
                <w:szCs w:val="20"/>
                <w:color w:val="auto"/>
              </w:rPr>
            </w:pPr>
            <w:r>
              <w:rPr>
                <w:rFonts w:ascii="Arial" w:cs="Arial" w:eastAsia="Arial" w:hAnsi="Arial"/>
                <w:sz w:val="18"/>
                <w:szCs w:val="18"/>
                <w:color w:val="auto"/>
              </w:rPr>
              <w:t>gross proceeds from this offering and the sale</w:t>
            </w:r>
          </w:p>
        </w:tc>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w w:val="97"/>
              </w:rPr>
              <w:t>offering proceeds would be deposited into</w:t>
            </w:r>
          </w:p>
        </w:tc>
      </w:tr>
      <w:tr>
        <w:trPr>
          <w:trHeight w:val="203"/>
        </w:trPr>
        <w:tc>
          <w:tcPr>
            <w:tcW w:w="3280" w:type="dxa"/>
            <w:vAlign w:val="bottom"/>
          </w:tcPr>
          <w:p>
            <w:pPr>
              <w:spacing w:after="0"/>
              <w:rPr>
                <w:sz w:val="17"/>
                <w:szCs w:val="17"/>
                <w:color w:val="auto"/>
              </w:rPr>
            </w:pPr>
          </w:p>
        </w:tc>
        <w:tc>
          <w:tcPr>
            <w:tcW w:w="4580" w:type="dxa"/>
            <w:vAlign w:val="bottom"/>
          </w:tcPr>
          <w:p>
            <w:pPr>
              <w:ind w:left="900"/>
              <w:spacing w:after="0" w:line="202" w:lineRule="exact"/>
              <w:rPr>
                <w:sz w:val="20"/>
                <w:szCs w:val="20"/>
                <w:color w:val="auto"/>
              </w:rPr>
            </w:pPr>
            <w:r>
              <w:rPr>
                <w:rFonts w:ascii="Arial" w:cs="Arial" w:eastAsia="Arial" w:hAnsi="Arial"/>
                <w:sz w:val="18"/>
                <w:szCs w:val="18"/>
                <w:color w:val="auto"/>
              </w:rPr>
              <w:t>of the private placement shares be deposited</w:t>
            </w:r>
          </w:p>
        </w:tc>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w w:val="99"/>
              </w:rPr>
              <w:t>either an escrow account with an insured</w:t>
            </w:r>
          </w:p>
        </w:tc>
      </w:tr>
      <w:tr>
        <w:trPr>
          <w:trHeight w:val="203"/>
        </w:trPr>
        <w:tc>
          <w:tcPr>
            <w:tcW w:w="3280" w:type="dxa"/>
            <w:vAlign w:val="bottom"/>
          </w:tcPr>
          <w:p>
            <w:pPr>
              <w:spacing w:after="0"/>
              <w:rPr>
                <w:sz w:val="17"/>
                <w:szCs w:val="17"/>
                <w:color w:val="auto"/>
              </w:rPr>
            </w:pPr>
          </w:p>
        </w:tc>
        <w:tc>
          <w:tcPr>
            <w:tcW w:w="4580" w:type="dxa"/>
            <w:vAlign w:val="bottom"/>
          </w:tcPr>
          <w:p>
            <w:pPr>
              <w:ind w:left="900"/>
              <w:spacing w:after="0" w:line="202" w:lineRule="exact"/>
              <w:rPr>
                <w:sz w:val="20"/>
                <w:szCs w:val="20"/>
                <w:color w:val="auto"/>
              </w:rPr>
            </w:pPr>
            <w:r>
              <w:rPr>
                <w:rFonts w:ascii="Arial" w:cs="Arial" w:eastAsia="Arial" w:hAnsi="Arial"/>
                <w:sz w:val="18"/>
                <w:szCs w:val="18"/>
                <w:color w:val="auto"/>
              </w:rPr>
              <w:t>in a trust account. $200,000,000 of the net</w:t>
            </w:r>
          </w:p>
        </w:tc>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rPr>
              <w:t>depositary institution or in a separate</w:t>
            </w:r>
          </w:p>
        </w:tc>
      </w:tr>
      <w:tr>
        <w:trPr>
          <w:trHeight w:val="203"/>
        </w:trPr>
        <w:tc>
          <w:tcPr>
            <w:tcW w:w="3280" w:type="dxa"/>
            <w:vAlign w:val="bottom"/>
          </w:tcPr>
          <w:p>
            <w:pPr>
              <w:spacing w:after="0"/>
              <w:rPr>
                <w:sz w:val="17"/>
                <w:szCs w:val="17"/>
                <w:color w:val="auto"/>
              </w:rPr>
            </w:pPr>
          </w:p>
        </w:tc>
        <w:tc>
          <w:tcPr>
            <w:tcW w:w="4580" w:type="dxa"/>
            <w:vAlign w:val="bottom"/>
          </w:tcPr>
          <w:p>
            <w:pPr>
              <w:ind w:left="900"/>
              <w:spacing w:after="0" w:line="202" w:lineRule="exact"/>
              <w:rPr>
                <w:sz w:val="20"/>
                <w:szCs w:val="20"/>
                <w:color w:val="auto"/>
              </w:rPr>
            </w:pPr>
            <w:r>
              <w:rPr>
                <w:rFonts w:ascii="Arial" w:cs="Arial" w:eastAsia="Arial" w:hAnsi="Arial"/>
                <w:sz w:val="18"/>
                <w:szCs w:val="18"/>
                <w:color w:val="auto"/>
              </w:rPr>
              <w:t>proceeds of this offering and the sale of the</w:t>
            </w:r>
          </w:p>
        </w:tc>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rPr>
              <w:t>bank account established by a broker-</w:t>
            </w:r>
          </w:p>
        </w:tc>
      </w:tr>
      <w:tr>
        <w:trPr>
          <w:trHeight w:val="203"/>
        </w:trPr>
        <w:tc>
          <w:tcPr>
            <w:tcW w:w="3280" w:type="dxa"/>
            <w:vAlign w:val="bottom"/>
          </w:tcPr>
          <w:p>
            <w:pPr>
              <w:spacing w:after="0"/>
              <w:rPr>
                <w:sz w:val="17"/>
                <w:szCs w:val="17"/>
                <w:color w:val="auto"/>
              </w:rPr>
            </w:pPr>
          </w:p>
        </w:tc>
        <w:tc>
          <w:tcPr>
            <w:tcW w:w="4580" w:type="dxa"/>
            <w:vAlign w:val="bottom"/>
          </w:tcPr>
          <w:p>
            <w:pPr>
              <w:ind w:left="900"/>
              <w:spacing w:after="0" w:line="202" w:lineRule="exact"/>
              <w:rPr>
                <w:sz w:val="20"/>
                <w:szCs w:val="20"/>
                <w:color w:val="auto"/>
              </w:rPr>
            </w:pPr>
            <w:r>
              <w:rPr>
                <w:rFonts w:ascii="Arial" w:cs="Arial" w:eastAsia="Arial" w:hAnsi="Arial"/>
                <w:sz w:val="18"/>
                <w:szCs w:val="18"/>
                <w:color w:val="auto"/>
              </w:rPr>
              <w:t>private placement shares will be deposited</w:t>
            </w:r>
          </w:p>
        </w:tc>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w w:val="99"/>
              </w:rPr>
              <w:t>dealer in which the broker-dealer acts as</w:t>
            </w:r>
          </w:p>
        </w:tc>
      </w:tr>
      <w:tr>
        <w:trPr>
          <w:trHeight w:val="203"/>
        </w:trPr>
        <w:tc>
          <w:tcPr>
            <w:tcW w:w="3280" w:type="dxa"/>
            <w:vAlign w:val="bottom"/>
          </w:tcPr>
          <w:p>
            <w:pPr>
              <w:spacing w:after="0"/>
              <w:rPr>
                <w:sz w:val="17"/>
                <w:szCs w:val="17"/>
                <w:color w:val="auto"/>
              </w:rPr>
            </w:pPr>
          </w:p>
        </w:tc>
        <w:tc>
          <w:tcPr>
            <w:tcW w:w="4580" w:type="dxa"/>
            <w:vAlign w:val="bottom"/>
          </w:tcPr>
          <w:p>
            <w:pPr>
              <w:ind w:left="900"/>
              <w:spacing w:after="0" w:line="202" w:lineRule="exact"/>
              <w:rPr>
                <w:sz w:val="20"/>
                <w:szCs w:val="20"/>
                <w:color w:val="auto"/>
              </w:rPr>
            </w:pPr>
            <w:r>
              <w:rPr>
                <w:rFonts w:ascii="Arial" w:cs="Arial" w:eastAsia="Arial" w:hAnsi="Arial"/>
                <w:sz w:val="18"/>
                <w:szCs w:val="18"/>
                <w:color w:val="auto"/>
              </w:rPr>
              <w:t>into a trust account in the United States with</w:t>
            </w:r>
          </w:p>
        </w:tc>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rPr>
              <w:t>trustee for persons having the beneficial</w:t>
            </w:r>
          </w:p>
        </w:tc>
      </w:tr>
      <w:tr>
        <w:trPr>
          <w:trHeight w:val="203"/>
        </w:trPr>
        <w:tc>
          <w:tcPr>
            <w:tcW w:w="3280" w:type="dxa"/>
            <w:vAlign w:val="bottom"/>
          </w:tcPr>
          <w:p>
            <w:pPr>
              <w:spacing w:after="0"/>
              <w:rPr>
                <w:sz w:val="17"/>
                <w:szCs w:val="17"/>
                <w:color w:val="auto"/>
              </w:rPr>
            </w:pPr>
          </w:p>
        </w:tc>
        <w:tc>
          <w:tcPr>
            <w:tcW w:w="4580" w:type="dxa"/>
            <w:vAlign w:val="bottom"/>
          </w:tcPr>
          <w:p>
            <w:pPr>
              <w:ind w:left="900"/>
              <w:spacing w:after="0" w:line="202" w:lineRule="exact"/>
              <w:rPr>
                <w:sz w:val="20"/>
                <w:szCs w:val="20"/>
                <w:color w:val="auto"/>
              </w:rPr>
            </w:pPr>
            <w:r>
              <w:rPr>
                <w:rFonts w:ascii="Arial" w:cs="Arial" w:eastAsia="Arial" w:hAnsi="Arial"/>
                <w:sz w:val="18"/>
                <w:szCs w:val="18"/>
                <w:color w:val="auto"/>
              </w:rPr>
              <w:t>Continental Stock Transfer &amp; Trust Company</w:t>
            </w:r>
          </w:p>
        </w:tc>
        <w:tc>
          <w:tcPr>
            <w:tcW w:w="3380" w:type="dxa"/>
            <w:vAlign w:val="bottom"/>
          </w:tcPr>
          <w:p>
            <w:pPr>
              <w:ind w:left="120"/>
              <w:spacing w:after="0" w:line="202" w:lineRule="exact"/>
              <w:rPr>
                <w:sz w:val="20"/>
                <w:szCs w:val="20"/>
                <w:color w:val="auto"/>
              </w:rPr>
            </w:pPr>
            <w:r>
              <w:rPr>
                <w:rFonts w:ascii="Arial" w:cs="Arial" w:eastAsia="Arial" w:hAnsi="Arial"/>
                <w:sz w:val="18"/>
                <w:szCs w:val="18"/>
                <w:color w:val="auto"/>
              </w:rPr>
              <w:t>interests in the account.</w:t>
            </w:r>
          </w:p>
        </w:tc>
      </w:tr>
      <w:tr>
        <w:trPr>
          <w:trHeight w:val="211"/>
        </w:trPr>
        <w:tc>
          <w:tcPr>
            <w:tcW w:w="3280" w:type="dxa"/>
            <w:vAlign w:val="bottom"/>
          </w:tcPr>
          <w:p>
            <w:pPr>
              <w:spacing w:after="0"/>
              <w:rPr>
                <w:sz w:val="18"/>
                <w:szCs w:val="18"/>
                <w:color w:val="auto"/>
              </w:rPr>
            </w:pPr>
          </w:p>
        </w:tc>
        <w:tc>
          <w:tcPr>
            <w:tcW w:w="4580" w:type="dxa"/>
            <w:vAlign w:val="bottom"/>
          </w:tcPr>
          <w:p>
            <w:pPr>
              <w:ind w:left="900"/>
              <w:spacing w:after="0"/>
              <w:rPr>
                <w:sz w:val="20"/>
                <w:szCs w:val="20"/>
                <w:color w:val="auto"/>
              </w:rPr>
            </w:pPr>
            <w:r>
              <w:rPr>
                <w:rFonts w:ascii="Arial" w:cs="Arial" w:eastAsia="Arial" w:hAnsi="Arial"/>
                <w:sz w:val="18"/>
                <w:szCs w:val="18"/>
                <w:color w:val="auto"/>
              </w:rPr>
              <w:t>acting as trustee.</w:t>
            </w:r>
          </w:p>
        </w:tc>
        <w:tc>
          <w:tcPr>
            <w:tcW w:w="3380" w:type="dxa"/>
            <w:vAlign w:val="bottom"/>
          </w:tcPr>
          <w:p>
            <w:pPr>
              <w:spacing w:after="0"/>
              <w:rPr>
                <w:sz w:val="18"/>
                <w:szCs w:val="18"/>
                <w:color w:val="auto"/>
              </w:rPr>
            </w:pPr>
          </w:p>
        </w:tc>
      </w:tr>
    </w:tbl>
    <w:p>
      <w:pPr>
        <w:spacing w:after="0" w:line="78" w:lineRule="exact"/>
        <w:rPr>
          <w:sz w:val="20"/>
          <w:szCs w:val="20"/>
          <w:color w:val="auto"/>
        </w:rPr>
      </w:pPr>
    </w:p>
    <w:p>
      <w:pPr>
        <w:sectPr>
          <w:pgSz w:w="11900" w:h="16838" w:orient="portrait"/>
          <w:cols w:equalWidth="0" w:num="1">
            <w:col w:w="11240"/>
          </w:cols>
          <w:pgMar w:left="320" w:top="459" w:right="339" w:bottom="1440" w:gutter="0" w:footer="0" w:header="0"/>
        </w:sectPr>
      </w:pPr>
    </w:p>
    <w:p>
      <w:pPr>
        <w:spacing w:after="0"/>
        <w:tabs>
          <w:tab w:leader="none" w:pos="416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$200,000,000 of the net offering proceeds,</w:t>
      </w:r>
    </w:p>
    <w:p>
      <w:pPr>
        <w:spacing w:after="0" w:line="18"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the sale of the private placement shares held</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 trust will be invested only in U.S.</w:t>
      </w:r>
    </w:p>
    <w:p>
      <w:pPr>
        <w:ind w:left="4180"/>
        <w:spacing w:after="0" w:line="234" w:lineRule="auto"/>
        <w:rPr>
          <w:sz w:val="20"/>
          <w:szCs w:val="20"/>
          <w:color w:val="auto"/>
        </w:rPr>
      </w:pPr>
      <w:r>
        <w:rPr>
          <w:rFonts w:ascii="Arial" w:cs="Arial" w:eastAsia="Arial" w:hAnsi="Arial"/>
          <w:sz w:val="18"/>
          <w:szCs w:val="18"/>
          <w:color w:val="auto"/>
        </w:rPr>
        <w:t>government treasury bills with a maturity of</w:t>
      </w:r>
    </w:p>
    <w:p>
      <w:pPr>
        <w:ind w:left="4180"/>
        <w:spacing w:after="0" w:line="235" w:lineRule="auto"/>
        <w:rPr>
          <w:sz w:val="20"/>
          <w:szCs w:val="20"/>
          <w:color w:val="auto"/>
        </w:rPr>
      </w:pPr>
      <w:r>
        <w:rPr>
          <w:rFonts w:ascii="Arial" w:cs="Arial" w:eastAsia="Arial" w:hAnsi="Arial"/>
          <w:sz w:val="18"/>
          <w:szCs w:val="18"/>
          <w:color w:val="auto"/>
        </w:rPr>
        <w:t>185 days or less or in money market funds</w:t>
      </w:r>
    </w:p>
    <w:p>
      <w:pPr>
        <w:ind w:left="4180"/>
        <w:spacing w:after="0" w:line="235" w:lineRule="auto"/>
        <w:rPr>
          <w:sz w:val="20"/>
          <w:szCs w:val="20"/>
          <w:color w:val="auto"/>
        </w:rPr>
      </w:pPr>
      <w:r>
        <w:rPr>
          <w:rFonts w:ascii="Arial" w:cs="Arial" w:eastAsia="Arial" w:hAnsi="Arial"/>
          <w:sz w:val="18"/>
          <w:szCs w:val="18"/>
          <w:color w:val="auto"/>
        </w:rPr>
        <w:t>meeting certain conditions under Rule 2a-7</w:t>
      </w:r>
    </w:p>
    <w:p>
      <w:pPr>
        <w:ind w:left="4180"/>
        <w:spacing w:after="0" w:line="235" w:lineRule="auto"/>
        <w:rPr>
          <w:sz w:val="20"/>
          <w:szCs w:val="20"/>
          <w:color w:val="auto"/>
        </w:rPr>
      </w:pPr>
      <w:r>
        <w:rPr>
          <w:rFonts w:ascii="Arial" w:cs="Arial" w:eastAsia="Arial" w:hAnsi="Arial"/>
          <w:sz w:val="18"/>
          <w:szCs w:val="18"/>
          <w:color w:val="auto"/>
        </w:rPr>
        <w:t>under the Investment Company Act which</w:t>
      </w:r>
    </w:p>
    <w:p>
      <w:pPr>
        <w:ind w:left="4180"/>
        <w:spacing w:after="0"/>
        <w:rPr>
          <w:sz w:val="20"/>
          <w:szCs w:val="20"/>
          <w:color w:val="auto"/>
        </w:rPr>
      </w:pPr>
      <w:r>
        <w:rPr>
          <w:rFonts w:ascii="Arial" w:cs="Arial" w:eastAsia="Arial" w:hAnsi="Arial"/>
          <w:sz w:val="16"/>
          <w:szCs w:val="16"/>
          <w:color w:val="auto"/>
        </w:rPr>
        <w:t>invest only in direct U.S. government treasury</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obligations.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667" w:lineRule="exact"/>
        <w:rPr>
          <w:sz w:val="20"/>
          <w:szCs w:val="20"/>
          <w:color w:val="auto"/>
        </w:rPr>
      </w:pPr>
    </w:p>
    <w:p>
      <w:pPr>
        <w:sectPr>
          <w:pgSz w:w="11900" w:h="16838" w:orient="portrait"/>
          <w:cols w:equalWidth="0" w:num="2">
            <w:col w:w="7720" w:space="260"/>
            <w:col w:w="3260"/>
          </w:cols>
          <w:pgMar w:left="320" w:top="459" w:right="339" w:bottom="1440" w:gutter="0" w:footer="0" w:header="0"/>
          <w:type w:val="continuous"/>
        </w:sectPr>
      </w:pPr>
    </w:p>
    <w:p>
      <w:pPr>
        <w:spacing w:after="0"/>
        <w:tabs>
          <w:tab w:leader="none" w:pos="4160" w:val="left"/>
        </w:tabs>
        <w:rPr>
          <w:sz w:val="20"/>
          <w:szCs w:val="20"/>
          <w:color w:val="auto"/>
        </w:rPr>
      </w:pPr>
      <w:r>
        <w:rPr>
          <w:rFonts w:ascii="Arial" w:cs="Arial" w:eastAsia="Arial" w:hAnsi="Arial"/>
          <w:sz w:val="18"/>
          <w:szCs w:val="18"/>
          <w:b w:val="1"/>
          <w:bCs w:val="1"/>
          <w:color w:val="auto"/>
        </w:rPr>
        <w:t>Receipt of interest on escrowed funds</w:t>
      </w:r>
      <w:r>
        <w:rPr>
          <w:sz w:val="20"/>
          <w:szCs w:val="20"/>
          <w:color w:val="auto"/>
        </w:rPr>
        <w:tab/>
      </w:r>
      <w:r>
        <w:rPr>
          <w:rFonts w:ascii="Arial" w:cs="Arial" w:eastAsia="Arial" w:hAnsi="Arial"/>
          <w:sz w:val="16"/>
          <w:szCs w:val="16"/>
          <w:color w:val="auto"/>
        </w:rPr>
        <w:t>Interest on proceeds from the trust account to</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be paid to stockholders is reduced by (i) any</w:t>
      </w:r>
    </w:p>
    <w:p>
      <w:pPr>
        <w:ind w:left="4180"/>
        <w:spacing w:after="0" w:line="234" w:lineRule="auto"/>
        <w:rPr>
          <w:sz w:val="20"/>
          <w:szCs w:val="20"/>
          <w:color w:val="auto"/>
        </w:rPr>
      </w:pPr>
      <w:r>
        <w:rPr>
          <w:rFonts w:ascii="Arial" w:cs="Arial" w:eastAsia="Arial" w:hAnsi="Arial"/>
          <w:sz w:val="18"/>
          <w:szCs w:val="18"/>
          <w:color w:val="auto"/>
        </w:rPr>
        <w:t>taxes paid or payable, and (ii) in the event of</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our liquidation for failure to complete our initial</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business combination within the allotted time,</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up to $100,000 of net interest that may be</w:t>
      </w:r>
    </w:p>
    <w:p>
      <w:pPr>
        <w:ind w:left="4180"/>
        <w:spacing w:after="0" w:line="234" w:lineRule="auto"/>
        <w:rPr>
          <w:sz w:val="20"/>
          <w:szCs w:val="20"/>
          <w:color w:val="auto"/>
        </w:rPr>
      </w:pPr>
      <w:r>
        <w:rPr>
          <w:rFonts w:ascii="Arial" w:cs="Arial" w:eastAsia="Arial" w:hAnsi="Arial"/>
          <w:sz w:val="18"/>
          <w:szCs w:val="18"/>
          <w:color w:val="auto"/>
        </w:rPr>
        <w:t>released to us should we have no or</w:t>
      </w:r>
    </w:p>
    <w:p>
      <w:pPr>
        <w:ind w:left="4180"/>
        <w:spacing w:after="0" w:line="235" w:lineRule="auto"/>
        <w:rPr>
          <w:sz w:val="20"/>
          <w:szCs w:val="20"/>
          <w:color w:val="auto"/>
        </w:rPr>
      </w:pPr>
      <w:r>
        <w:rPr>
          <w:rFonts w:ascii="Arial" w:cs="Arial" w:eastAsia="Arial" w:hAnsi="Arial"/>
          <w:sz w:val="18"/>
          <w:szCs w:val="18"/>
          <w:color w:val="auto"/>
        </w:rPr>
        <w:t>insufficient working capital to fund the costs</w:t>
      </w:r>
    </w:p>
    <w:p>
      <w:pPr>
        <w:ind w:left="4180"/>
        <w:spacing w:after="0" w:line="235" w:lineRule="auto"/>
        <w:rPr>
          <w:sz w:val="20"/>
          <w:szCs w:val="20"/>
          <w:color w:val="auto"/>
        </w:rPr>
      </w:pPr>
      <w:r>
        <w:rPr>
          <w:rFonts w:ascii="Arial" w:cs="Arial" w:eastAsia="Arial" w:hAnsi="Arial"/>
          <w:sz w:val="18"/>
          <w:szCs w:val="18"/>
          <w:color w:val="auto"/>
        </w:rPr>
        <w:t>and expenses of our dissolution and</w:t>
      </w:r>
    </w:p>
    <w:p>
      <w:pPr>
        <w:ind w:left="4180"/>
        <w:spacing w:after="0"/>
        <w:rPr>
          <w:sz w:val="20"/>
          <w:szCs w:val="20"/>
          <w:color w:val="auto"/>
        </w:rPr>
      </w:pPr>
      <w:r>
        <w:rPr>
          <w:rFonts w:ascii="Arial" w:cs="Arial" w:eastAsia="Arial" w:hAnsi="Arial"/>
          <w:sz w:val="18"/>
          <w:szCs w:val="18"/>
          <w:color w:val="auto"/>
        </w:rPr>
        <w:t>liquidation.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890" w:lineRule="exact"/>
        <w:rPr>
          <w:sz w:val="20"/>
          <w:szCs w:val="20"/>
          <w:color w:val="auto"/>
        </w:rPr>
      </w:pPr>
    </w:p>
    <w:p>
      <w:pPr>
        <w:sectPr>
          <w:pgSz w:w="11900" w:h="16838" w:orient="portrait"/>
          <w:cols w:equalWidth="0" w:num="2">
            <w:col w:w="7760" w:space="220"/>
            <w:col w:w="3260"/>
          </w:cols>
          <w:pgMar w:left="320" w:top="459" w:right="339" w:bottom="1440" w:gutter="0" w:footer="0" w:header="0"/>
          <w:type w:val="continuous"/>
        </w:sectPr>
      </w:pPr>
    </w:p>
    <w:p>
      <w:pPr>
        <w:spacing w:after="0" w:line="264"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Nasdaq listing rules require that our initial business combination must be with one or more target businesses that together have an aggregate fair market value equal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342" w:lineRule="exact"/>
        <w:rPr>
          <w:sz w:val="20"/>
          <w:szCs w:val="20"/>
          <w:color w:val="auto"/>
        </w:rPr>
      </w:pPr>
    </w:p>
    <w:p>
      <w:pPr>
        <w:sectPr>
          <w:pgSz w:w="11900" w:h="16838" w:orient="portrait"/>
          <w:cols w:equalWidth="0" w:num="3">
            <w:col w:w="3820" w:space="360"/>
            <w:col w:w="3540" w:space="260"/>
            <w:col w:w="3260"/>
          </w:cols>
          <w:pgMar w:left="320" w:top="459"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40"/>
          </w:cols>
          <w:pgMar w:left="320" w:top="459" w:right="3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jc w:val="right"/>
        <w:ind w:right="560"/>
        <w:spacing w:after="0"/>
        <w:tabs>
          <w:tab w:leader="none" w:pos="26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to at least 80% of the value of the trust</w:t>
      </w:r>
    </w:p>
    <w:p>
      <w:pPr>
        <w:ind w:left="4180"/>
        <w:spacing w:after="0"/>
        <w:rPr>
          <w:sz w:val="20"/>
          <w:szCs w:val="20"/>
          <w:color w:val="auto"/>
        </w:rPr>
      </w:pPr>
      <w:r>
        <w:rPr>
          <w:rFonts w:ascii="Arial" w:cs="Arial" w:eastAsia="Arial" w:hAnsi="Arial"/>
          <w:sz w:val="16"/>
          <w:szCs w:val="16"/>
          <w:color w:val="auto"/>
        </w:rPr>
        <w:t>account (excluding any deferred underwriting</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fees and taxes payable on the income earned</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on the trust account) at the time of our signing</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 definitive agreement in connection with our</w:t>
      </w:r>
    </w:p>
    <w:p>
      <w:pPr>
        <w:ind w:left="4180"/>
        <w:spacing w:after="0"/>
        <w:rPr>
          <w:sz w:val="20"/>
          <w:szCs w:val="20"/>
          <w:color w:val="auto"/>
        </w:rPr>
      </w:pPr>
      <w:r>
        <w:rPr>
          <w:rFonts w:ascii="Arial" w:cs="Arial" w:eastAsia="Arial" w:hAnsi="Arial"/>
          <w:sz w:val="18"/>
          <w:szCs w:val="18"/>
          <w:color w:val="auto"/>
        </w:rPr>
        <w:t>initial business combination.</w:t>
      </w:r>
    </w:p>
    <w:p>
      <w:pPr>
        <w:spacing w:after="0" w:line="82"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We expect our Class A common stock will</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begin trading on or promptly after the date of</w:t>
      </w:r>
    </w:p>
    <w:p>
      <w:pPr>
        <w:ind w:left="4180"/>
        <w:spacing w:after="0"/>
        <w:rPr>
          <w:sz w:val="20"/>
          <w:szCs w:val="20"/>
          <w:color w:val="auto"/>
        </w:rPr>
      </w:pPr>
      <w:r>
        <w:rPr>
          <w:rFonts w:ascii="Arial" w:cs="Arial" w:eastAsia="Arial" w:hAnsi="Arial"/>
          <w:sz w:val="18"/>
          <w:szCs w:val="18"/>
          <w:color w:val="auto"/>
        </w:rPr>
        <w:t>this prospectus.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stockholders with</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the opportunity to redeem their public shares</w:t>
      </w:r>
    </w:p>
    <w:p>
      <w:pPr>
        <w:ind w:left="4180"/>
        <w:spacing w:after="0" w:line="234" w:lineRule="auto"/>
        <w:rPr>
          <w:sz w:val="20"/>
          <w:szCs w:val="20"/>
          <w:color w:val="auto"/>
        </w:rPr>
      </w:pPr>
      <w:r>
        <w:rPr>
          <w:rFonts w:ascii="Arial" w:cs="Arial" w:eastAsia="Arial" w:hAnsi="Arial"/>
          <w:sz w:val="18"/>
          <w:szCs w:val="18"/>
          <w:color w:val="auto"/>
        </w:rPr>
        <w:t>for cash equal to their pro rata share of the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aggregate amount then on deposit in the trust</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account as of two business days prior to the</w:t>
      </w:r>
    </w:p>
    <w:p>
      <w:pPr>
        <w:ind w:left="4180"/>
        <w:spacing w:after="0" w:line="234" w:lineRule="auto"/>
        <w:rPr>
          <w:sz w:val="20"/>
          <w:szCs w:val="20"/>
          <w:color w:val="auto"/>
        </w:rPr>
      </w:pPr>
      <w:r>
        <w:rPr>
          <w:rFonts w:ascii="Arial" w:cs="Arial" w:eastAsia="Arial" w:hAnsi="Arial"/>
          <w:sz w:val="18"/>
          <w:szCs w:val="18"/>
          <w:color w:val="auto"/>
        </w:rPr>
        <w:t>consummation of our initial business</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combination, including interest earned on the</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funds held in the trust account and not</w:t>
      </w:r>
    </w:p>
    <w:p>
      <w:pPr>
        <w:ind w:left="4180"/>
        <w:spacing w:after="0"/>
        <w:rPr>
          <w:sz w:val="20"/>
          <w:szCs w:val="20"/>
          <w:color w:val="auto"/>
        </w:rPr>
      </w:pPr>
      <w:r>
        <w:rPr>
          <w:rFonts w:ascii="Arial" w:cs="Arial" w:eastAsia="Arial" w:hAnsi="Arial"/>
          <w:sz w:val="16"/>
          <w:szCs w:val="16"/>
          <w:color w:val="auto"/>
        </w:rPr>
        <w:t>previously released to us to pay our franchise</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and income taxes, upon the completion of our</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initial business combination, subject to the</w:t>
      </w:r>
    </w:p>
    <w:p>
      <w:pPr>
        <w:ind w:left="4180"/>
        <w:spacing w:after="0" w:line="234" w:lineRule="auto"/>
        <w:rPr>
          <w:sz w:val="20"/>
          <w:szCs w:val="20"/>
          <w:color w:val="auto"/>
        </w:rPr>
      </w:pPr>
      <w:r>
        <w:rPr>
          <w:rFonts w:ascii="Arial" w:cs="Arial" w:eastAsia="Arial" w:hAnsi="Arial"/>
          <w:sz w:val="18"/>
          <w:szCs w:val="18"/>
          <w:color w:val="auto"/>
        </w:rPr>
        <w:t>limitations described herein. We may not be</w:t>
      </w:r>
    </w:p>
    <w:p>
      <w:pPr>
        <w:ind w:left="4180"/>
        <w:spacing w:after="0" w:line="235" w:lineRule="auto"/>
        <w:rPr>
          <w:sz w:val="20"/>
          <w:szCs w:val="20"/>
          <w:color w:val="auto"/>
        </w:rPr>
      </w:pPr>
      <w:r>
        <w:rPr>
          <w:rFonts w:ascii="Arial" w:cs="Arial" w:eastAsia="Arial" w:hAnsi="Arial"/>
          <w:sz w:val="18"/>
          <w:szCs w:val="18"/>
          <w:color w:val="auto"/>
        </w:rPr>
        <w:t>required by law to hold a stockholder vote.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We intend to give approximately 30 days (but</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not less than 10 days nor more than 60 days)</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prior written notice of any such meeting, if</w:t>
      </w:r>
    </w:p>
    <w:p>
      <w:pPr>
        <w:ind w:left="4180"/>
        <w:spacing w:after="0" w:line="234" w:lineRule="auto"/>
        <w:rPr>
          <w:sz w:val="20"/>
          <w:szCs w:val="20"/>
          <w:color w:val="auto"/>
        </w:rPr>
      </w:pPr>
      <w:r>
        <w:rPr>
          <w:rFonts w:ascii="Arial" w:cs="Arial" w:eastAsia="Arial" w:hAnsi="Arial"/>
          <w:sz w:val="18"/>
          <w:szCs w:val="18"/>
          <w:color w:val="auto"/>
        </w:rPr>
        <w:t>required, at which a vote shall be taken to</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approve our initial business combination. If we</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are not required by law and do not otherwise</w:t>
      </w:r>
    </w:p>
    <w:p>
      <w:pPr>
        <w:ind w:left="4180"/>
        <w:spacing w:after="0" w:line="234" w:lineRule="auto"/>
        <w:rPr>
          <w:sz w:val="20"/>
          <w:szCs w:val="20"/>
          <w:color w:val="auto"/>
        </w:rPr>
      </w:pPr>
      <w:r>
        <w:rPr>
          <w:rFonts w:ascii="Arial" w:cs="Arial" w:eastAsia="Arial" w:hAnsi="Arial"/>
          <w:sz w:val="18"/>
          <w:szCs w:val="18"/>
          <w:color w:val="auto"/>
        </w:rPr>
        <w:t>decide to hold a stockholder vote, we will,</w:t>
      </w:r>
    </w:p>
    <w:p>
      <w:pPr>
        <w:ind w:left="4180"/>
        <w:spacing w:after="0" w:line="235" w:lineRule="auto"/>
        <w:rPr>
          <w:sz w:val="20"/>
          <w:szCs w:val="20"/>
          <w:color w:val="auto"/>
        </w:rPr>
      </w:pPr>
      <w:r>
        <w:rPr>
          <w:rFonts w:ascii="Arial" w:cs="Arial" w:eastAsia="Arial" w:hAnsi="Arial"/>
          <w:sz w:val="18"/>
          <w:szCs w:val="18"/>
          <w:color w:val="auto"/>
        </w:rPr>
        <w:t>pursuant to our amended and restated</w:t>
      </w:r>
    </w:p>
    <w:p>
      <w:pPr>
        <w:ind w:left="4180"/>
        <w:spacing w:after="0" w:line="235" w:lineRule="auto"/>
        <w:rPr>
          <w:sz w:val="20"/>
          <w:szCs w:val="20"/>
          <w:color w:val="auto"/>
        </w:rPr>
      </w:pPr>
      <w:r>
        <w:rPr>
          <w:rFonts w:ascii="Arial" w:cs="Arial" w:eastAsia="Arial" w:hAnsi="Arial"/>
          <w:sz w:val="18"/>
          <w:szCs w:val="18"/>
          <w:color w:val="auto"/>
        </w:rPr>
        <w:t>certificate of incorporation, conduct the</w:t>
      </w:r>
    </w:p>
    <w:p>
      <w:pPr>
        <w:ind w:left="4180"/>
        <w:spacing w:after="0"/>
        <w:rPr>
          <w:sz w:val="20"/>
          <w:szCs w:val="20"/>
          <w:color w:val="auto"/>
        </w:rPr>
      </w:pPr>
      <w:r>
        <w:rPr>
          <w:rFonts w:ascii="Arial" w:cs="Arial" w:eastAsia="Arial" w:hAnsi="Arial"/>
          <w:sz w:val="16"/>
          <w:szCs w:val="16"/>
          <w:color w:val="auto"/>
        </w:rPr>
        <w:t>redemptions pursuant to the tender offer rules</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of the SEC and file tender offer documents</w:t>
      </w:r>
    </w:p>
    <w:p>
      <w:pPr>
        <w:ind w:left="4180"/>
        <w:spacing w:after="0"/>
        <w:rPr>
          <w:sz w:val="20"/>
          <w:szCs w:val="20"/>
          <w:color w:val="auto"/>
        </w:rPr>
      </w:pPr>
      <w:r>
        <w:rPr>
          <w:rFonts w:ascii="Arial" w:cs="Arial" w:eastAsia="Arial" w:hAnsi="Arial"/>
          <w:sz w:val="18"/>
          <w:szCs w:val="18"/>
          <w:color w:val="auto"/>
        </w:rPr>
        <w:t>with the SEC which will contain</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No trading of the shares of Class A common stock would be permitted until the completion of a business combination. During this period, the shares of Class A common stock would be held in the escrow or trust account.</w:t>
      </w:r>
    </w:p>
    <w:p>
      <w:pPr>
        <w:spacing w:after="0" w:line="7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it elects to remain a stockholder of the company or require the return of its investment. If the company has not received the notification by the end of the 45</w:t>
      </w:r>
      <w:r>
        <w:rPr>
          <w:rFonts w:ascii="Arial" w:cs="Arial" w:eastAsia="Arial" w:hAnsi="Arial"/>
          <w:sz w:val="10"/>
          <w:szCs w:val="10"/>
          <w:color w:val="auto"/>
        </w:rPr>
        <w:t>th</w:t>
      </w:r>
      <w:r>
        <w:rPr>
          <w:rFonts w:ascii="Arial" w:cs="Arial" w:eastAsia="Arial" w:hAnsi="Arial"/>
          <w:sz w:val="16"/>
          <w:szCs w:val="16"/>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7760" w:space="220"/>
            <w:col w:w="3240"/>
          </w:cols>
          <w:pgMar w:left="320" w:top="459" w:right="35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jc w:val="right"/>
        <w:ind w:right="400"/>
        <w:spacing w:after="0"/>
        <w:tabs>
          <w:tab w:leader="none" w:pos="26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substantially the same financial and other</w:t>
      </w:r>
    </w:p>
    <w:p>
      <w:pPr>
        <w:ind w:left="4180"/>
        <w:spacing w:after="0" w:line="234" w:lineRule="auto"/>
        <w:rPr>
          <w:sz w:val="20"/>
          <w:szCs w:val="20"/>
          <w:color w:val="auto"/>
        </w:rPr>
      </w:pPr>
      <w:r>
        <w:rPr>
          <w:rFonts w:ascii="Arial" w:cs="Arial" w:eastAsia="Arial" w:hAnsi="Arial"/>
          <w:sz w:val="18"/>
          <w:szCs w:val="18"/>
          <w:color w:val="auto"/>
        </w:rPr>
        <w:t>information about the initial business</w:t>
      </w:r>
    </w:p>
    <w:p>
      <w:pPr>
        <w:ind w:left="4180"/>
        <w:spacing w:after="0" w:line="235" w:lineRule="auto"/>
        <w:rPr>
          <w:sz w:val="20"/>
          <w:szCs w:val="20"/>
          <w:color w:val="auto"/>
        </w:rPr>
      </w:pPr>
      <w:r>
        <w:rPr>
          <w:rFonts w:ascii="Arial" w:cs="Arial" w:eastAsia="Arial" w:hAnsi="Arial"/>
          <w:sz w:val="18"/>
          <w:szCs w:val="18"/>
          <w:color w:val="auto"/>
        </w:rPr>
        <w:t>combination and the redemption rights as is</w:t>
      </w:r>
    </w:p>
    <w:p>
      <w:pPr>
        <w:ind w:left="4180"/>
        <w:spacing w:after="0" w:line="235" w:lineRule="auto"/>
        <w:rPr>
          <w:sz w:val="20"/>
          <w:szCs w:val="20"/>
          <w:color w:val="auto"/>
        </w:rPr>
      </w:pPr>
      <w:r>
        <w:rPr>
          <w:rFonts w:ascii="Arial" w:cs="Arial" w:eastAsia="Arial" w:hAnsi="Arial"/>
          <w:sz w:val="18"/>
          <w:szCs w:val="18"/>
          <w:color w:val="auto"/>
        </w:rPr>
        <w:t>required under the SEC’s proxy rules. In the</w:t>
      </w:r>
    </w:p>
    <w:p>
      <w:pPr>
        <w:ind w:left="4180"/>
        <w:spacing w:after="0" w:line="235" w:lineRule="auto"/>
        <w:rPr>
          <w:sz w:val="20"/>
          <w:szCs w:val="20"/>
          <w:color w:val="auto"/>
        </w:rPr>
      </w:pPr>
      <w:r>
        <w:rPr>
          <w:rFonts w:ascii="Arial" w:cs="Arial" w:eastAsia="Arial" w:hAnsi="Arial"/>
          <w:sz w:val="18"/>
          <w:szCs w:val="18"/>
          <w:color w:val="auto"/>
        </w:rPr>
        <w:t>event we conduct redemptions pursuant to</w:t>
      </w:r>
    </w:p>
    <w:p>
      <w:pPr>
        <w:ind w:left="4180"/>
        <w:spacing w:after="0"/>
        <w:rPr>
          <w:sz w:val="20"/>
          <w:szCs w:val="20"/>
          <w:color w:val="auto"/>
        </w:rPr>
      </w:pPr>
      <w:r>
        <w:rPr>
          <w:rFonts w:ascii="Arial" w:cs="Arial" w:eastAsia="Arial" w:hAnsi="Arial"/>
          <w:sz w:val="16"/>
          <w:szCs w:val="16"/>
          <w:color w:val="auto"/>
        </w:rPr>
        <w:t>the tender offer rules, our offer to redeem will</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remain open for at least 20 business days, in</w:t>
      </w:r>
    </w:p>
    <w:p>
      <w:pPr>
        <w:ind w:left="4180"/>
        <w:spacing w:after="0" w:line="234" w:lineRule="auto"/>
        <w:rPr>
          <w:sz w:val="20"/>
          <w:szCs w:val="20"/>
          <w:color w:val="auto"/>
        </w:rPr>
      </w:pPr>
      <w:r>
        <w:rPr>
          <w:rFonts w:ascii="Arial" w:cs="Arial" w:eastAsia="Arial" w:hAnsi="Arial"/>
          <w:sz w:val="18"/>
          <w:szCs w:val="18"/>
          <w:color w:val="auto"/>
        </w:rPr>
        <w:t>accordance with Rule 14e-1(a) under the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Exchange Act, and we will not be permitted to</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complete our initial business combination until</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the expiration of the tender offer period. If,</w:t>
      </w:r>
    </w:p>
    <w:p>
      <w:pPr>
        <w:ind w:left="4180"/>
        <w:spacing w:after="0"/>
        <w:rPr>
          <w:sz w:val="20"/>
          <w:szCs w:val="20"/>
          <w:color w:val="auto"/>
        </w:rPr>
      </w:pPr>
      <w:r>
        <w:rPr>
          <w:rFonts w:ascii="Arial" w:cs="Arial" w:eastAsia="Arial" w:hAnsi="Arial"/>
          <w:sz w:val="16"/>
          <w:szCs w:val="16"/>
          <w:color w:val="auto"/>
        </w:rPr>
        <w:t>however, we hold a stockholder vote, we will,</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like many blank check companies, offer to</w:t>
      </w:r>
    </w:p>
    <w:p>
      <w:pPr>
        <w:ind w:left="4180"/>
        <w:spacing w:after="0" w:line="234" w:lineRule="auto"/>
        <w:rPr>
          <w:sz w:val="20"/>
          <w:szCs w:val="20"/>
          <w:color w:val="auto"/>
        </w:rPr>
      </w:pPr>
      <w:r>
        <w:rPr>
          <w:rFonts w:ascii="Arial" w:cs="Arial" w:eastAsia="Arial" w:hAnsi="Arial"/>
          <w:sz w:val="18"/>
          <w:szCs w:val="18"/>
          <w:color w:val="auto"/>
        </w:rPr>
        <w:t>redeem shares in conjunction with a proxy</w:t>
      </w:r>
    </w:p>
    <w:p>
      <w:pPr>
        <w:ind w:left="4180"/>
        <w:spacing w:after="0" w:line="235" w:lineRule="auto"/>
        <w:rPr>
          <w:sz w:val="20"/>
          <w:szCs w:val="20"/>
          <w:color w:val="auto"/>
        </w:rPr>
      </w:pPr>
      <w:r>
        <w:rPr>
          <w:rFonts w:ascii="Arial" w:cs="Arial" w:eastAsia="Arial" w:hAnsi="Arial"/>
          <w:sz w:val="18"/>
          <w:szCs w:val="18"/>
          <w:color w:val="auto"/>
        </w:rPr>
        <w:t>solicitation pursuant to the proxy rules. If we</w:t>
      </w:r>
    </w:p>
    <w:p>
      <w:pPr>
        <w:ind w:left="4180"/>
        <w:spacing w:after="0" w:line="235" w:lineRule="auto"/>
        <w:rPr>
          <w:sz w:val="20"/>
          <w:szCs w:val="20"/>
          <w:color w:val="auto"/>
        </w:rPr>
      </w:pPr>
      <w:r>
        <w:rPr>
          <w:rFonts w:ascii="Arial" w:cs="Arial" w:eastAsia="Arial" w:hAnsi="Arial"/>
          <w:sz w:val="18"/>
          <w:szCs w:val="18"/>
          <w:color w:val="auto"/>
        </w:rPr>
        <w:t>seek stockholder approval, we will complete</w:t>
      </w:r>
    </w:p>
    <w:p>
      <w:pPr>
        <w:ind w:left="4180"/>
        <w:spacing w:after="0" w:line="235" w:lineRule="auto"/>
        <w:rPr>
          <w:sz w:val="20"/>
          <w:szCs w:val="20"/>
          <w:color w:val="auto"/>
        </w:rPr>
      </w:pPr>
      <w:r>
        <w:rPr>
          <w:rFonts w:ascii="Arial" w:cs="Arial" w:eastAsia="Arial" w:hAnsi="Arial"/>
          <w:sz w:val="18"/>
          <w:szCs w:val="18"/>
          <w:color w:val="auto"/>
        </w:rPr>
        <w:t>our initial business combination only if a</w:t>
      </w:r>
    </w:p>
    <w:p>
      <w:pPr>
        <w:ind w:left="4180"/>
        <w:spacing w:after="0"/>
        <w:rPr>
          <w:sz w:val="20"/>
          <w:szCs w:val="20"/>
          <w:color w:val="auto"/>
        </w:rPr>
      </w:pPr>
      <w:r>
        <w:rPr>
          <w:rFonts w:ascii="Arial" w:cs="Arial" w:eastAsia="Arial" w:hAnsi="Arial"/>
          <w:sz w:val="16"/>
          <w:szCs w:val="16"/>
          <w:color w:val="auto"/>
        </w:rPr>
        <w:t>majority of the outstanding shares of common</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stock voted are voted in favor of the initial</w:t>
      </w:r>
    </w:p>
    <w:p>
      <w:pPr>
        <w:ind w:left="4180"/>
        <w:spacing w:after="0" w:line="234" w:lineRule="auto"/>
        <w:rPr>
          <w:sz w:val="20"/>
          <w:szCs w:val="20"/>
          <w:color w:val="auto"/>
        </w:rPr>
      </w:pPr>
      <w:r>
        <w:rPr>
          <w:rFonts w:ascii="Arial" w:cs="Arial" w:eastAsia="Arial" w:hAnsi="Arial"/>
          <w:sz w:val="18"/>
          <w:szCs w:val="18"/>
          <w:color w:val="auto"/>
        </w:rPr>
        <w:t>business combination. Additionally, each</w:t>
      </w:r>
    </w:p>
    <w:p>
      <w:pPr>
        <w:ind w:left="4180"/>
        <w:spacing w:after="0" w:line="235" w:lineRule="auto"/>
        <w:rPr>
          <w:sz w:val="20"/>
          <w:szCs w:val="20"/>
          <w:color w:val="auto"/>
        </w:rPr>
      </w:pPr>
      <w:r>
        <w:rPr>
          <w:rFonts w:ascii="Arial" w:cs="Arial" w:eastAsia="Arial" w:hAnsi="Arial"/>
          <w:sz w:val="18"/>
          <w:szCs w:val="18"/>
          <w:color w:val="auto"/>
        </w:rPr>
        <w:t>public stockholder may elect to redeem their</w:t>
      </w:r>
    </w:p>
    <w:p>
      <w:pPr>
        <w:ind w:left="4180"/>
        <w:spacing w:after="0" w:line="235" w:lineRule="auto"/>
        <w:rPr>
          <w:sz w:val="20"/>
          <w:szCs w:val="20"/>
          <w:color w:val="auto"/>
        </w:rPr>
      </w:pPr>
      <w:r>
        <w:rPr>
          <w:rFonts w:ascii="Arial" w:cs="Arial" w:eastAsia="Arial" w:hAnsi="Arial"/>
          <w:sz w:val="18"/>
          <w:szCs w:val="18"/>
          <w:color w:val="auto"/>
        </w:rPr>
        <w:t>public shares without voting, and if they do</w:t>
      </w:r>
    </w:p>
    <w:p>
      <w:pPr>
        <w:ind w:left="4180"/>
        <w:spacing w:after="0" w:line="235" w:lineRule="auto"/>
        <w:rPr>
          <w:sz w:val="20"/>
          <w:szCs w:val="20"/>
          <w:color w:val="auto"/>
        </w:rPr>
      </w:pPr>
      <w:r>
        <w:rPr>
          <w:rFonts w:ascii="Arial" w:cs="Arial" w:eastAsia="Arial" w:hAnsi="Arial"/>
          <w:sz w:val="18"/>
          <w:szCs w:val="18"/>
          <w:color w:val="auto"/>
        </w:rPr>
        <w:t>vote, irrespective of whether they vote for or</w:t>
      </w:r>
    </w:p>
    <w:p>
      <w:pPr>
        <w:ind w:left="4180"/>
        <w:spacing w:after="0"/>
        <w:rPr>
          <w:sz w:val="20"/>
          <w:szCs w:val="20"/>
          <w:color w:val="auto"/>
        </w:rPr>
      </w:pPr>
      <w:r>
        <w:rPr>
          <w:rFonts w:ascii="Arial" w:cs="Arial" w:eastAsia="Arial" w:hAnsi="Arial"/>
          <w:sz w:val="16"/>
          <w:szCs w:val="16"/>
          <w:color w:val="auto"/>
        </w:rPr>
        <w:t>against the proposed business combination. A</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quorum for such meeting will consist of the</w:t>
      </w:r>
    </w:p>
    <w:p>
      <w:pPr>
        <w:ind w:left="4180"/>
        <w:spacing w:after="0" w:line="234" w:lineRule="auto"/>
        <w:rPr>
          <w:sz w:val="20"/>
          <w:szCs w:val="20"/>
          <w:color w:val="auto"/>
        </w:rPr>
      </w:pPr>
      <w:r>
        <w:rPr>
          <w:rFonts w:ascii="Arial" w:cs="Arial" w:eastAsia="Arial" w:hAnsi="Arial"/>
          <w:sz w:val="18"/>
          <w:szCs w:val="18"/>
          <w:color w:val="auto"/>
        </w:rPr>
        <w:t>holders present in person or by proxy of</w:t>
      </w:r>
    </w:p>
    <w:p>
      <w:pPr>
        <w:ind w:left="4180"/>
        <w:spacing w:after="0" w:line="235" w:lineRule="auto"/>
        <w:rPr>
          <w:sz w:val="20"/>
          <w:szCs w:val="20"/>
          <w:color w:val="auto"/>
        </w:rPr>
      </w:pPr>
      <w:r>
        <w:rPr>
          <w:rFonts w:ascii="Arial" w:cs="Arial" w:eastAsia="Arial" w:hAnsi="Arial"/>
          <w:sz w:val="18"/>
          <w:szCs w:val="18"/>
          <w:color w:val="auto"/>
        </w:rPr>
        <w:t>shares of outstanding capital stock of the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company representing a majority of the voting</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power of all outstanding shares of capital</w:t>
      </w:r>
    </w:p>
    <w:p>
      <w:pPr>
        <w:ind w:left="4180"/>
        <w:spacing w:after="0" w:line="234" w:lineRule="auto"/>
        <w:rPr>
          <w:sz w:val="20"/>
          <w:szCs w:val="20"/>
          <w:color w:val="auto"/>
        </w:rPr>
      </w:pPr>
      <w:r>
        <w:rPr>
          <w:rFonts w:ascii="Arial" w:cs="Arial" w:eastAsia="Arial" w:hAnsi="Arial"/>
          <w:sz w:val="18"/>
          <w:szCs w:val="18"/>
          <w:color w:val="auto"/>
        </w:rPr>
        <w:t>stock of the company entitled to vote at such</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meeting.</w:t>
      </w:r>
    </w:p>
    <w:p>
      <w:pPr>
        <w:spacing w:after="0" w:line="82"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do not complete an initial business</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combination within 24 months or during any</w:t>
      </w:r>
    </w:p>
    <w:p>
      <w:pPr>
        <w:ind w:left="4180"/>
        <w:spacing w:after="0" w:line="234" w:lineRule="auto"/>
        <w:rPr>
          <w:sz w:val="20"/>
          <w:szCs w:val="20"/>
          <w:color w:val="auto"/>
        </w:rPr>
      </w:pPr>
      <w:r>
        <w:rPr>
          <w:rFonts w:ascii="Arial" w:cs="Arial" w:eastAsia="Arial" w:hAnsi="Arial"/>
          <w:sz w:val="18"/>
          <w:szCs w:val="18"/>
          <w:color w:val="auto"/>
        </w:rPr>
        <w:t>Extension Period from the closing of this</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offering, we will (i) cease all operations except</w:t>
      </w:r>
    </w:p>
    <w:p>
      <w:pPr>
        <w:spacing w:after="0" w:line="1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 the purpose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 business combination has not been completed within 18 months after the effective date of the company’s registration statement, funds held in the trust or escrow account are returned to investors.</w:t>
      </w:r>
    </w:p>
    <w:p>
      <w:pPr>
        <w:sectPr>
          <w:pgSz w:w="11900" w:h="16838" w:orient="portrait"/>
          <w:cols w:equalWidth="0" w:num="2">
            <w:col w:w="7760" w:space="220"/>
            <w:col w:w="3080"/>
          </w:cols>
          <w:pgMar w:left="320" w:top="459" w:right="51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jc w:val="right"/>
        <w:ind w:right="500"/>
        <w:spacing w:after="0"/>
        <w:tabs>
          <w:tab w:leader="none" w:pos="26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of winding up, (ii) as promptly as reasonably possible but not more than ten business days thereafter, redeem 100% of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29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ectPr>
          <w:pgSz w:w="11900" w:h="16838" w:orient="portrait"/>
          <w:cols w:equalWidth="0" w:num="3">
            <w:col w:w="3600" w:space="580"/>
            <w:col w:w="3560" w:space="240"/>
            <w:col w:w="3180"/>
          </w:cols>
          <w:pgMar w:left="320" w:top="459" w:right="41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jc w:val="right"/>
        <w:ind w:right="540"/>
        <w:spacing w:after="0"/>
        <w:tabs>
          <w:tab w:leader="none" w:pos="26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Excess Shares (more than an aggregate of 15%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7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initial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which may include the requirement that a beneficial holder must identify itself in order to validly redeem its public shares. Accordingly, a public stockholder would have from the time we send out our tender offer materials until the close of the tender offer period, or up to two business days prior to the vote on the initial business combination if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ectPr>
          <w:pgSz w:w="11900" w:h="16838" w:orient="portrait"/>
          <w:cols w:equalWidth="0" w:num="3">
            <w:col w:w="3920" w:space="260"/>
            <w:col w:w="3580" w:space="220"/>
            <w:col w:w="3220"/>
          </w:cols>
          <w:pgMar w:left="320" w:top="459" w:right="37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0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Terms of our offering</w:t>
            </w:r>
          </w:p>
        </w:tc>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Terms under a Rule 419 offering</w:t>
            </w:r>
          </w:p>
        </w:tc>
      </w:tr>
      <w:tr>
        <w:trPr>
          <w:trHeight w:val="199"/>
        </w:trPr>
        <w:tc>
          <w:tcPr>
            <w:tcW w:w="2800" w:type="dxa"/>
            <w:vAlign w:val="bottom"/>
          </w:tcPr>
          <w:p>
            <w:pPr>
              <w:spacing w:after="0"/>
              <w:rPr>
                <w:sz w:val="17"/>
                <w:szCs w:val="17"/>
                <w:color w:val="auto"/>
              </w:rPr>
            </w:pPr>
          </w:p>
        </w:tc>
        <w:tc>
          <w:tcPr>
            <w:tcW w:w="5080" w:type="dxa"/>
            <w:vAlign w:val="bottom"/>
          </w:tcPr>
          <w:p>
            <w:pPr>
              <w:ind w:left="1380"/>
              <w:spacing w:after="0" w:line="199" w:lineRule="exact"/>
              <w:rPr>
                <w:sz w:val="20"/>
                <w:szCs w:val="20"/>
                <w:color w:val="auto"/>
              </w:rPr>
            </w:pPr>
            <w:r>
              <w:rPr>
                <w:rFonts w:ascii="Arial" w:cs="Arial" w:eastAsia="Arial" w:hAnsi="Arial"/>
                <w:sz w:val="18"/>
                <w:szCs w:val="18"/>
                <w:color w:val="auto"/>
                <w:w w:val="99"/>
              </w:rPr>
              <w:t>we distribute proxy materials, as applicable, to</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tender its shares if it wishes to seek to</w:t>
            </w:r>
          </w:p>
        </w:tc>
        <w:tc>
          <w:tcPr>
            <w:tcW w:w="3360" w:type="dxa"/>
            <w:vAlign w:val="bottom"/>
          </w:tcPr>
          <w:p>
            <w:pPr>
              <w:spacing w:after="0"/>
              <w:rPr>
                <w:sz w:val="17"/>
                <w:szCs w:val="17"/>
                <w:color w:val="auto"/>
              </w:rPr>
            </w:pPr>
          </w:p>
        </w:tc>
      </w:tr>
      <w:tr>
        <w:trPr>
          <w:trHeight w:val="211"/>
        </w:trPr>
        <w:tc>
          <w:tcPr>
            <w:tcW w:w="2800" w:type="dxa"/>
            <w:vAlign w:val="bottom"/>
          </w:tcPr>
          <w:p>
            <w:pPr>
              <w:spacing w:after="0"/>
              <w:rPr>
                <w:sz w:val="18"/>
                <w:szCs w:val="18"/>
                <w:color w:val="auto"/>
              </w:rPr>
            </w:pPr>
          </w:p>
        </w:tc>
        <w:tc>
          <w:tcPr>
            <w:tcW w:w="5080" w:type="dxa"/>
            <w:vAlign w:val="bottom"/>
          </w:tcPr>
          <w:p>
            <w:pPr>
              <w:ind w:left="1380"/>
              <w:spacing w:after="0"/>
              <w:rPr>
                <w:sz w:val="20"/>
                <w:szCs w:val="20"/>
                <w:color w:val="auto"/>
              </w:rPr>
            </w:pPr>
            <w:r>
              <w:rPr>
                <w:rFonts w:ascii="Arial" w:cs="Arial" w:eastAsia="Arial" w:hAnsi="Arial"/>
                <w:sz w:val="18"/>
                <w:szCs w:val="18"/>
                <w:color w:val="auto"/>
              </w:rPr>
              <w:t>exercise its redemption rights.</w:t>
            </w:r>
          </w:p>
        </w:tc>
        <w:tc>
          <w:tcPr>
            <w:tcW w:w="3360" w:type="dxa"/>
            <w:vAlign w:val="bottom"/>
          </w:tcPr>
          <w:p>
            <w:pPr>
              <w:spacing w:after="0"/>
              <w:rPr>
                <w:sz w:val="18"/>
                <w:szCs w:val="18"/>
                <w:color w:val="auto"/>
              </w:rPr>
            </w:pPr>
          </w:p>
        </w:tc>
      </w:tr>
      <w:tr>
        <w:trPr>
          <w:trHeight w:val="302"/>
        </w:trPr>
        <w:tc>
          <w:tcPr>
            <w:tcW w:w="2800" w:type="dxa"/>
            <w:vAlign w:val="bottom"/>
          </w:tcPr>
          <w:p>
            <w:pPr>
              <w:spacing w:after="0"/>
              <w:rPr>
                <w:sz w:val="20"/>
                <w:szCs w:val="20"/>
                <w:color w:val="auto"/>
              </w:rPr>
            </w:pPr>
            <w:r>
              <w:rPr>
                <w:rFonts w:ascii="Arial" w:cs="Arial" w:eastAsia="Arial" w:hAnsi="Arial"/>
                <w:sz w:val="18"/>
                <w:szCs w:val="18"/>
                <w:b w:val="1"/>
                <w:bCs w:val="1"/>
                <w:color w:val="auto"/>
              </w:rPr>
              <w:t>Release of funds</w:t>
            </w:r>
          </w:p>
        </w:tc>
        <w:tc>
          <w:tcPr>
            <w:tcW w:w="5080" w:type="dxa"/>
            <w:vAlign w:val="bottom"/>
          </w:tcPr>
          <w:p>
            <w:pPr>
              <w:ind w:left="1380"/>
              <w:spacing w:after="0"/>
              <w:rPr>
                <w:sz w:val="20"/>
                <w:szCs w:val="20"/>
                <w:color w:val="auto"/>
              </w:rPr>
            </w:pPr>
            <w:r>
              <w:rPr>
                <w:rFonts w:ascii="Arial" w:cs="Arial" w:eastAsia="Arial" w:hAnsi="Arial"/>
                <w:sz w:val="18"/>
                <w:szCs w:val="18"/>
                <w:color w:val="auto"/>
              </w:rPr>
              <w:t>Except with respect to interest earned on the</w:t>
            </w:r>
          </w:p>
        </w:tc>
        <w:tc>
          <w:tcPr>
            <w:tcW w:w="3360" w:type="dxa"/>
            <w:vAlign w:val="bottom"/>
          </w:tcPr>
          <w:p>
            <w:pPr>
              <w:ind w:left="100"/>
              <w:spacing w:after="0"/>
              <w:rPr>
                <w:sz w:val="20"/>
                <w:szCs w:val="20"/>
                <w:color w:val="auto"/>
              </w:rPr>
            </w:pPr>
            <w:r>
              <w:rPr>
                <w:rFonts w:ascii="Arial" w:cs="Arial" w:eastAsia="Arial" w:hAnsi="Arial"/>
                <w:sz w:val="18"/>
                <w:szCs w:val="18"/>
                <w:color w:val="auto"/>
                <w:w w:val="98"/>
              </w:rPr>
              <w:t>The proceeds held in the escrow account</w:t>
            </w: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funds held in the trust account that may be</w:t>
            </w: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are not released until the earlier of the</w:t>
            </w: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released to us to pay our franchise and</w:t>
            </w: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completion of a business combination or</w:t>
            </w: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income tax obligations, the proceeds from this</w:t>
            </w: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the failure to effect a business</w:t>
            </w: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offering and the sale of the private placement</w:t>
            </w: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combination within the allotted time.</w:t>
            </w:r>
          </w:p>
        </w:tc>
      </w:tr>
      <w:tr>
        <w:trPr>
          <w:trHeight w:val="202"/>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shares held in the trust account will not be</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released from the trust account until the</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earliest to occur of: (i) the completion of our</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initial business combination, (ii) the</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redemption of any public shares properly</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submitted in connection with a stockholder</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vote to amend our amended and restated</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certificate of incorporation (A) to modify the</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substance or timing of our obligation to allow</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redemption in connection with our initial</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business combination or to redeem 100% of</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our public shares if we do not complete our</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initial business combination within 24 months</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from the closing of this offering or (B) with</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respect to any other provision relating to</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stockholders’ rights or pre- business</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combination activity and (iii) the redemption of</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100% of our public shares if we do not</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complete an initial business combination</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within the required timeframe (subject to the</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requirements of applicable law). On the</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completion of our initial business combination,</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all amounts held in the trust account will be</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released to us, less amounts released to a</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separate account controlled by the trustee for</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disbursal to redeeming stockholders. We will</w:t>
            </w:r>
          </w:p>
        </w:tc>
        <w:tc>
          <w:tcPr>
            <w:tcW w:w="33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080" w:type="dxa"/>
            <w:vAlign w:val="bottom"/>
          </w:tcPr>
          <w:p>
            <w:pPr>
              <w:ind w:left="1380"/>
              <w:spacing w:after="0" w:line="202" w:lineRule="exact"/>
              <w:rPr>
                <w:sz w:val="20"/>
                <w:szCs w:val="20"/>
                <w:color w:val="auto"/>
              </w:rPr>
            </w:pPr>
            <w:r>
              <w:rPr>
                <w:rFonts w:ascii="Arial" w:cs="Arial" w:eastAsia="Arial" w:hAnsi="Arial"/>
                <w:sz w:val="18"/>
                <w:szCs w:val="18"/>
                <w:color w:val="auto"/>
              </w:rPr>
              <w:t>use these funds to pay amounts due to any</w:t>
            </w:r>
          </w:p>
        </w:tc>
        <w:tc>
          <w:tcPr>
            <w:tcW w:w="3360" w:type="dxa"/>
            <w:vAlign w:val="bottom"/>
          </w:tcPr>
          <w:p>
            <w:pPr>
              <w:spacing w:after="0"/>
              <w:rPr>
                <w:sz w:val="17"/>
                <w:szCs w:val="17"/>
                <w:color w:val="auto"/>
              </w:rPr>
            </w:pPr>
          </w:p>
        </w:tc>
      </w:tr>
      <w:tr>
        <w:trPr>
          <w:trHeight w:val="211"/>
        </w:trPr>
        <w:tc>
          <w:tcPr>
            <w:tcW w:w="2800" w:type="dxa"/>
            <w:vAlign w:val="bottom"/>
          </w:tcPr>
          <w:p>
            <w:pPr>
              <w:spacing w:after="0"/>
              <w:rPr>
                <w:sz w:val="18"/>
                <w:szCs w:val="18"/>
                <w:color w:val="auto"/>
              </w:rPr>
            </w:pPr>
          </w:p>
        </w:tc>
        <w:tc>
          <w:tcPr>
            <w:tcW w:w="5080" w:type="dxa"/>
            <w:vAlign w:val="bottom"/>
          </w:tcPr>
          <w:p>
            <w:pPr>
              <w:ind w:left="1380"/>
              <w:spacing w:after="0"/>
              <w:rPr>
                <w:sz w:val="20"/>
                <w:szCs w:val="20"/>
                <w:color w:val="auto"/>
              </w:rPr>
            </w:pPr>
            <w:r>
              <w:rPr>
                <w:rFonts w:ascii="Arial" w:cs="Arial" w:eastAsia="Arial" w:hAnsi="Arial"/>
                <w:sz w:val="18"/>
                <w:szCs w:val="18"/>
                <w:color w:val="auto"/>
              </w:rPr>
              <w:t>public stockholders who exercise</w:t>
            </w:r>
          </w:p>
        </w:tc>
        <w:tc>
          <w:tcPr>
            <w:tcW w:w="3360" w:type="dxa"/>
            <w:vAlign w:val="bottom"/>
          </w:tcPr>
          <w:p>
            <w:pPr>
              <w:spacing w:after="0"/>
              <w:rPr>
                <w:sz w:val="18"/>
                <w:szCs w:val="18"/>
                <w:color w:val="auto"/>
              </w:rPr>
            </w:pPr>
          </w:p>
        </w:tc>
      </w:tr>
      <w:tr>
        <w:trPr>
          <w:trHeight w:val="351"/>
        </w:trPr>
        <w:tc>
          <w:tcPr>
            <w:tcW w:w="2800" w:type="dxa"/>
            <w:vAlign w:val="bottom"/>
          </w:tcPr>
          <w:p>
            <w:pPr>
              <w:spacing w:after="0"/>
              <w:rPr>
                <w:sz w:val="24"/>
                <w:szCs w:val="24"/>
                <w:color w:val="auto"/>
              </w:rPr>
            </w:pPr>
          </w:p>
        </w:tc>
        <w:tc>
          <w:tcPr>
            <w:tcW w:w="5080" w:type="dxa"/>
            <w:vAlign w:val="bottom"/>
          </w:tcPr>
          <w:p>
            <w:pPr>
              <w:ind w:left="2680"/>
              <w:spacing w:after="0"/>
              <w:rPr>
                <w:sz w:val="20"/>
                <w:szCs w:val="20"/>
                <w:color w:val="auto"/>
              </w:rPr>
            </w:pPr>
            <w:r>
              <w:rPr>
                <w:rFonts w:ascii="Arial" w:cs="Arial" w:eastAsia="Arial" w:hAnsi="Arial"/>
                <w:sz w:val="18"/>
                <w:szCs w:val="18"/>
                <w:color w:val="auto"/>
              </w:rPr>
              <w:t>117</w:t>
            </w:r>
          </w:p>
        </w:tc>
        <w:tc>
          <w:tcPr>
            <w:tcW w:w="33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ind w:left="4180"/>
        <w:spacing w:after="0"/>
        <w:tabs>
          <w:tab w:leader="none" w:pos="79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their redemption rights as described above</w:t>
      </w:r>
    </w:p>
    <w:p>
      <w:pPr>
        <w:ind w:left="4180"/>
        <w:spacing w:after="0" w:line="234" w:lineRule="auto"/>
        <w:rPr>
          <w:sz w:val="20"/>
          <w:szCs w:val="20"/>
          <w:color w:val="auto"/>
        </w:rPr>
      </w:pPr>
      <w:r>
        <w:rPr>
          <w:rFonts w:ascii="Arial" w:cs="Arial" w:eastAsia="Arial" w:hAnsi="Arial"/>
          <w:sz w:val="18"/>
          <w:szCs w:val="18"/>
          <w:color w:val="auto"/>
        </w:rPr>
        <w:t>under “Redemption rights for public</w:t>
      </w:r>
    </w:p>
    <w:p>
      <w:pPr>
        <w:ind w:left="4180"/>
        <w:spacing w:after="0" w:line="235" w:lineRule="auto"/>
        <w:rPr>
          <w:sz w:val="20"/>
          <w:szCs w:val="20"/>
          <w:color w:val="auto"/>
        </w:rPr>
      </w:pPr>
      <w:r>
        <w:rPr>
          <w:rFonts w:ascii="Arial" w:cs="Arial" w:eastAsia="Arial" w:hAnsi="Arial"/>
          <w:sz w:val="18"/>
          <w:szCs w:val="18"/>
          <w:color w:val="auto"/>
        </w:rPr>
        <w:t>stockholders upon completion of our initial</w:t>
      </w:r>
    </w:p>
    <w:p>
      <w:pPr>
        <w:ind w:left="4180"/>
        <w:spacing w:after="0" w:line="235" w:lineRule="auto"/>
        <w:rPr>
          <w:sz w:val="20"/>
          <w:szCs w:val="20"/>
          <w:color w:val="auto"/>
        </w:rPr>
      </w:pPr>
      <w:r>
        <w:rPr>
          <w:rFonts w:ascii="Arial" w:cs="Arial" w:eastAsia="Arial" w:hAnsi="Arial"/>
          <w:sz w:val="18"/>
          <w:szCs w:val="18"/>
          <w:color w:val="auto"/>
        </w:rPr>
        <w:t>business combination,” to pay the underwriter</w:t>
      </w:r>
    </w:p>
    <w:p>
      <w:pPr>
        <w:ind w:left="4180"/>
        <w:spacing w:after="0" w:line="235" w:lineRule="auto"/>
        <w:rPr>
          <w:sz w:val="20"/>
          <w:szCs w:val="20"/>
          <w:color w:val="auto"/>
        </w:rPr>
      </w:pPr>
      <w:r>
        <w:rPr>
          <w:rFonts w:ascii="Arial" w:cs="Arial" w:eastAsia="Arial" w:hAnsi="Arial"/>
          <w:sz w:val="18"/>
          <w:szCs w:val="18"/>
          <w:color w:val="auto"/>
        </w:rPr>
        <w:t>its deferred underwriting commissions, to pay</w:t>
      </w:r>
    </w:p>
    <w:p>
      <w:pPr>
        <w:ind w:left="4180"/>
        <w:spacing w:after="0" w:line="235" w:lineRule="auto"/>
        <w:rPr>
          <w:sz w:val="20"/>
          <w:szCs w:val="20"/>
          <w:color w:val="auto"/>
        </w:rPr>
      </w:pPr>
      <w:r>
        <w:rPr>
          <w:rFonts w:ascii="Arial" w:cs="Arial" w:eastAsia="Arial" w:hAnsi="Arial"/>
          <w:sz w:val="18"/>
          <w:szCs w:val="18"/>
          <w:color w:val="auto"/>
        </w:rPr>
        <w:t>all or a portion of the consideration payable to</w:t>
      </w:r>
    </w:p>
    <w:p>
      <w:pPr>
        <w:ind w:left="4180"/>
        <w:spacing w:after="0" w:line="234" w:lineRule="auto"/>
        <w:rPr>
          <w:sz w:val="20"/>
          <w:szCs w:val="20"/>
          <w:color w:val="auto"/>
        </w:rPr>
      </w:pPr>
      <w:r>
        <w:rPr>
          <w:rFonts w:ascii="Arial" w:cs="Arial" w:eastAsia="Arial" w:hAnsi="Arial"/>
          <w:sz w:val="18"/>
          <w:szCs w:val="18"/>
          <w:color w:val="auto"/>
        </w:rPr>
        <w:t>the target or owners of the target of our initial</w:t>
      </w:r>
    </w:p>
    <w:p>
      <w:pPr>
        <w:ind w:left="4180"/>
        <w:spacing w:after="0" w:line="235" w:lineRule="auto"/>
        <w:rPr>
          <w:sz w:val="20"/>
          <w:szCs w:val="20"/>
          <w:color w:val="auto"/>
        </w:rPr>
      </w:pPr>
      <w:r>
        <w:rPr>
          <w:rFonts w:ascii="Arial" w:cs="Arial" w:eastAsia="Arial" w:hAnsi="Arial"/>
          <w:sz w:val="18"/>
          <w:szCs w:val="18"/>
          <w:color w:val="auto"/>
        </w:rPr>
        <w:t>business combination and to pay other</w:t>
      </w:r>
    </w:p>
    <w:p>
      <w:pPr>
        <w:ind w:left="4180"/>
        <w:spacing w:after="0" w:line="235" w:lineRule="auto"/>
        <w:rPr>
          <w:sz w:val="20"/>
          <w:szCs w:val="20"/>
          <w:color w:val="auto"/>
        </w:rPr>
      </w:pPr>
      <w:r>
        <w:rPr>
          <w:rFonts w:ascii="Arial" w:cs="Arial" w:eastAsia="Arial" w:hAnsi="Arial"/>
          <w:sz w:val="18"/>
          <w:szCs w:val="18"/>
          <w:color w:val="auto"/>
        </w:rPr>
        <w:t>expenses associated with our initial business</w:t>
      </w:r>
    </w:p>
    <w:p>
      <w:pPr>
        <w:ind w:left="4180"/>
        <w:spacing w:after="0"/>
        <w:rPr>
          <w:sz w:val="20"/>
          <w:szCs w:val="20"/>
          <w:color w:val="auto"/>
        </w:rPr>
      </w:pPr>
      <w:r>
        <w:rPr>
          <w:rFonts w:ascii="Arial" w:cs="Arial" w:eastAsia="Arial" w:hAnsi="Arial"/>
          <w:sz w:val="18"/>
          <w:szCs w:val="18"/>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34"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may give others with greater resources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may not be viewed favorably by certain target businesses. Either of these factors may place us at a competitive disadvantage in successfully negotiating an initial business combination.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2875 El Camino Real, Redwood City, CA 94061.</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other full- or part-time employees prior to the completion of our initial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Periodic reporting and financial information</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will register our Class A common stock under the Exchange Act and have reporting obligations, including the requirement that we file annual, quarterly and current reports with the SEC. In accordance with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requirements of the Exchange Act, our annual reports will contain financial statements audited and reported on by our independent registered public accountants.</w:t>
      </w:r>
    </w:p>
    <w:p>
      <w:pPr>
        <w:spacing w:after="0" w:line="10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financial statements in time for us to disclose such financial statements in accordance with federal proxy rules and complete our initial business combination within the prescribed timeframe.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0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7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(as adjusted for inflation pursuant to SEC rules from time to time), or (c) in which we are deemed to be a large accelerated filer, which means the aggregate worldwide market value of our Class A common stock that is held by non-affiliates equals or exceeds $700,000,000 as of the prior June 30</w:t>
      </w:r>
      <w:r>
        <w:rPr>
          <w:rFonts w:ascii="Arial" w:cs="Arial" w:eastAsia="Arial" w:hAnsi="Arial"/>
          <w:sz w:val="11"/>
          <w:szCs w:val="11"/>
          <w:color w:val="auto"/>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03"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$250,000,000 as of the prior June 30</w:t>
      </w:r>
      <w:r>
        <w:rPr>
          <w:rFonts w:ascii="Arial" w:cs="Arial" w:eastAsia="Arial" w:hAnsi="Arial"/>
          <w:sz w:val="10"/>
          <w:szCs w:val="10"/>
          <w:color w:val="auto"/>
        </w:rPr>
        <w:t>th</w:t>
      </w:r>
      <w:r>
        <w:rPr>
          <w:rFonts w:ascii="Arial" w:cs="Arial" w:eastAsia="Arial" w:hAnsi="Arial"/>
          <w:sz w:val="16"/>
          <w:szCs w:val="16"/>
          <w:color w:val="auto"/>
        </w:rPr>
        <w:t>, or (2) our annual revenues equal or exceed $100,000,000 during such completed fiscal year and the market value of our common stock held by non-affiliates equals or exceeds $700,000,000 as of the prior June 30</w:t>
      </w:r>
      <w:r>
        <w:rPr>
          <w:rFonts w:ascii="Arial" w:cs="Arial" w:eastAsia="Arial" w:hAnsi="Arial"/>
          <w:sz w:val="10"/>
          <w:szCs w:val="10"/>
          <w:color w:val="auto"/>
        </w:rPr>
        <w:t>th</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920" w:type="dxa"/>
            <w:vAlign w:val="bottom"/>
            <w:tcBorders>
              <w:bottom w:val="single" w:sz="8" w:color="auto"/>
            </w:tcBorders>
          </w:tcPr>
          <w:p>
            <w:pPr>
              <w:jc w:val="center"/>
              <w:ind w:left="1032"/>
              <w:spacing w:after="0"/>
              <w:rPr>
                <w:sz w:val="20"/>
                <w:szCs w:val="20"/>
                <w:color w:val="auto"/>
              </w:rPr>
            </w:pPr>
            <w:r>
              <w:rPr>
                <w:rFonts w:ascii="Arial" w:cs="Arial" w:eastAsia="Arial" w:hAnsi="Arial"/>
                <w:sz w:val="18"/>
                <w:szCs w:val="18"/>
                <w:b w:val="1"/>
                <w:bCs w:val="1"/>
                <w:color w:val="auto"/>
                <w:w w:val="93"/>
              </w:rPr>
              <w:t>Age</w:t>
            </w:r>
          </w:p>
        </w:tc>
        <w:tc>
          <w:tcPr>
            <w:tcW w:w="66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88"/>
        </w:trPr>
        <w:tc>
          <w:tcPr>
            <w:tcW w:w="27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620" w:type="dxa"/>
            <w:vAlign w:val="bottom"/>
          </w:tcPr>
          <w:p>
            <w:pPr>
              <w:spacing w:after="0"/>
              <w:rPr>
                <w:sz w:val="7"/>
                <w:szCs w:val="7"/>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Omid Farokhzad</w:t>
            </w:r>
          </w:p>
        </w:tc>
        <w:tc>
          <w:tcPr>
            <w:tcW w:w="1920" w:type="dxa"/>
            <w:vAlign w:val="bottom"/>
            <w:shd w:val="clear" w:color="auto" w:fill="CCEEFF"/>
          </w:tcPr>
          <w:p>
            <w:pPr>
              <w:jc w:val="center"/>
              <w:ind w:left="1032"/>
              <w:spacing w:after="0" w:line="202" w:lineRule="exact"/>
              <w:rPr>
                <w:sz w:val="20"/>
                <w:szCs w:val="20"/>
                <w:color w:val="auto"/>
              </w:rPr>
            </w:pPr>
            <w:r>
              <w:rPr>
                <w:rFonts w:ascii="Arial" w:cs="Arial" w:eastAsia="Arial" w:hAnsi="Arial"/>
                <w:sz w:val="18"/>
                <w:szCs w:val="18"/>
                <w:color w:val="auto"/>
                <w:w w:val="99"/>
              </w:rPr>
              <w:t>52</w:t>
            </w:r>
          </w:p>
        </w:tc>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Executive Chair; Director</w:t>
            </w:r>
          </w:p>
        </w:tc>
      </w:tr>
      <w:tr>
        <w:trPr>
          <w:trHeight w:val="322"/>
        </w:trPr>
        <w:tc>
          <w:tcPr>
            <w:tcW w:w="2700" w:type="dxa"/>
            <w:vAlign w:val="bottom"/>
          </w:tcPr>
          <w:p>
            <w:pPr>
              <w:spacing w:after="0"/>
              <w:rPr>
                <w:sz w:val="20"/>
                <w:szCs w:val="20"/>
                <w:color w:val="auto"/>
              </w:rPr>
            </w:pPr>
            <w:r>
              <w:rPr>
                <w:rFonts w:ascii="Arial" w:cs="Arial" w:eastAsia="Arial" w:hAnsi="Arial"/>
                <w:sz w:val="18"/>
                <w:szCs w:val="18"/>
                <w:color w:val="auto"/>
              </w:rPr>
              <w:t>Mostafa Ronaghi</w:t>
            </w:r>
          </w:p>
        </w:tc>
        <w:tc>
          <w:tcPr>
            <w:tcW w:w="1920" w:type="dxa"/>
            <w:vAlign w:val="bottom"/>
          </w:tcPr>
          <w:p>
            <w:pPr>
              <w:jc w:val="center"/>
              <w:ind w:left="1032"/>
              <w:spacing w:after="0"/>
              <w:rPr>
                <w:sz w:val="20"/>
                <w:szCs w:val="20"/>
                <w:color w:val="auto"/>
              </w:rPr>
            </w:pPr>
            <w:r>
              <w:rPr>
                <w:rFonts w:ascii="Arial" w:cs="Arial" w:eastAsia="Arial" w:hAnsi="Arial"/>
                <w:sz w:val="18"/>
                <w:szCs w:val="18"/>
                <w:color w:val="auto"/>
                <w:w w:val="99"/>
              </w:rPr>
              <w:t>52</w:t>
            </w:r>
          </w:p>
        </w:tc>
        <w:tc>
          <w:tcPr>
            <w:tcW w:w="6620" w:type="dxa"/>
            <w:vAlign w:val="bottom"/>
          </w:tcPr>
          <w:p>
            <w:pPr>
              <w:ind w:left="220"/>
              <w:spacing w:after="0"/>
              <w:rPr>
                <w:sz w:val="20"/>
                <w:szCs w:val="20"/>
                <w:color w:val="auto"/>
              </w:rPr>
            </w:pPr>
            <w:r>
              <w:rPr>
                <w:rFonts w:ascii="Arial" w:cs="Arial" w:eastAsia="Arial" w:hAnsi="Arial"/>
                <w:sz w:val="18"/>
                <w:szCs w:val="18"/>
                <w:color w:val="auto"/>
              </w:rPr>
              <w:t>Chief Executive Officer; Director</w:t>
            </w:r>
          </w:p>
        </w:tc>
      </w:tr>
      <w:tr>
        <w:trPr>
          <w:trHeight w:val="97"/>
        </w:trPr>
        <w:tc>
          <w:tcPr>
            <w:tcW w:w="27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620" w:type="dxa"/>
            <w:vAlign w:val="bottom"/>
          </w:tcPr>
          <w:p>
            <w:pPr>
              <w:spacing w:after="0"/>
              <w:rPr>
                <w:sz w:val="8"/>
                <w:szCs w:val="8"/>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Afrasiabi</w:t>
            </w:r>
          </w:p>
        </w:tc>
        <w:tc>
          <w:tcPr>
            <w:tcW w:w="1920" w:type="dxa"/>
            <w:vAlign w:val="bottom"/>
            <w:shd w:val="clear" w:color="auto" w:fill="CCEEFF"/>
          </w:tcPr>
          <w:p>
            <w:pPr>
              <w:jc w:val="center"/>
              <w:ind w:left="1032"/>
              <w:spacing w:after="0" w:line="202" w:lineRule="exact"/>
              <w:rPr>
                <w:sz w:val="20"/>
                <w:szCs w:val="20"/>
                <w:color w:val="auto"/>
              </w:rPr>
            </w:pPr>
            <w:r>
              <w:rPr>
                <w:rFonts w:ascii="Arial" w:cs="Arial" w:eastAsia="Arial" w:hAnsi="Arial"/>
                <w:sz w:val="18"/>
                <w:szCs w:val="18"/>
                <w:color w:val="auto"/>
                <w:w w:val="99"/>
              </w:rPr>
              <w:t>45</w:t>
            </w:r>
          </w:p>
        </w:tc>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Chief Financial Officer</w:t>
            </w:r>
          </w:p>
        </w:tc>
      </w:tr>
      <w:tr>
        <w:trPr>
          <w:trHeight w:val="322"/>
        </w:trPr>
        <w:tc>
          <w:tcPr>
            <w:tcW w:w="2700" w:type="dxa"/>
            <w:vAlign w:val="bottom"/>
          </w:tcPr>
          <w:p>
            <w:pPr>
              <w:spacing w:after="0"/>
              <w:rPr>
                <w:sz w:val="20"/>
                <w:szCs w:val="20"/>
                <w:color w:val="auto"/>
              </w:rPr>
            </w:pPr>
            <w:r>
              <w:rPr>
                <w:rFonts w:ascii="Arial" w:cs="Arial" w:eastAsia="Arial" w:hAnsi="Arial"/>
                <w:sz w:val="18"/>
                <w:szCs w:val="18"/>
                <w:color w:val="auto"/>
              </w:rPr>
              <w:t>Rowan Chapman</w:t>
            </w:r>
          </w:p>
        </w:tc>
        <w:tc>
          <w:tcPr>
            <w:tcW w:w="1920" w:type="dxa"/>
            <w:vAlign w:val="bottom"/>
          </w:tcPr>
          <w:p>
            <w:pPr>
              <w:jc w:val="center"/>
              <w:ind w:left="1032"/>
              <w:spacing w:after="0"/>
              <w:rPr>
                <w:sz w:val="20"/>
                <w:szCs w:val="20"/>
                <w:color w:val="auto"/>
              </w:rPr>
            </w:pPr>
            <w:r>
              <w:rPr>
                <w:rFonts w:ascii="Arial" w:cs="Arial" w:eastAsia="Arial" w:hAnsi="Arial"/>
                <w:sz w:val="18"/>
                <w:szCs w:val="18"/>
                <w:color w:val="auto"/>
                <w:w w:val="99"/>
              </w:rPr>
              <w:t>50</w:t>
            </w:r>
          </w:p>
        </w:tc>
        <w:tc>
          <w:tcPr>
            <w:tcW w:w="6620" w:type="dxa"/>
            <w:vAlign w:val="bottom"/>
          </w:tcPr>
          <w:p>
            <w:pPr>
              <w:ind w:left="220"/>
              <w:spacing w:after="0"/>
              <w:rPr>
                <w:sz w:val="20"/>
                <w:szCs w:val="20"/>
                <w:color w:val="auto"/>
              </w:rPr>
            </w:pPr>
            <w:r>
              <w:rPr>
                <w:rFonts w:ascii="Arial" w:cs="Arial" w:eastAsia="Arial" w:hAnsi="Arial"/>
                <w:sz w:val="18"/>
                <w:szCs w:val="18"/>
                <w:color w:val="auto"/>
              </w:rPr>
              <w:t>Chief Business Officer</w:t>
            </w:r>
          </w:p>
        </w:tc>
      </w:tr>
      <w:tr>
        <w:trPr>
          <w:trHeight w:val="97"/>
        </w:trPr>
        <w:tc>
          <w:tcPr>
            <w:tcW w:w="27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620" w:type="dxa"/>
            <w:vAlign w:val="bottom"/>
          </w:tcPr>
          <w:p>
            <w:pPr>
              <w:spacing w:after="0"/>
              <w:rPr>
                <w:sz w:val="8"/>
                <w:szCs w:val="8"/>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Epstein</w:t>
            </w:r>
          </w:p>
        </w:tc>
        <w:tc>
          <w:tcPr>
            <w:tcW w:w="1920" w:type="dxa"/>
            <w:vAlign w:val="bottom"/>
            <w:shd w:val="clear" w:color="auto" w:fill="CCEEFF"/>
          </w:tcPr>
          <w:p>
            <w:pPr>
              <w:jc w:val="center"/>
              <w:ind w:left="1032"/>
              <w:spacing w:after="0" w:line="202" w:lineRule="exact"/>
              <w:rPr>
                <w:sz w:val="20"/>
                <w:szCs w:val="20"/>
                <w:color w:val="auto"/>
              </w:rPr>
            </w:pPr>
            <w:r>
              <w:rPr>
                <w:rFonts w:ascii="Arial" w:cs="Arial" w:eastAsia="Arial" w:hAnsi="Arial"/>
                <w:sz w:val="18"/>
                <w:szCs w:val="18"/>
                <w:color w:val="auto"/>
                <w:w w:val="99"/>
              </w:rPr>
              <w:t>59</w:t>
            </w:r>
          </w:p>
        </w:tc>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322"/>
        </w:trPr>
        <w:tc>
          <w:tcPr>
            <w:tcW w:w="2700" w:type="dxa"/>
            <w:vAlign w:val="bottom"/>
          </w:tcPr>
          <w:p>
            <w:pPr>
              <w:spacing w:after="0"/>
              <w:rPr>
                <w:sz w:val="20"/>
                <w:szCs w:val="20"/>
                <w:color w:val="auto"/>
              </w:rPr>
            </w:pPr>
            <w:r>
              <w:rPr>
                <w:rFonts w:ascii="Arial" w:cs="Arial" w:eastAsia="Arial" w:hAnsi="Arial"/>
                <w:sz w:val="18"/>
                <w:szCs w:val="18"/>
                <w:color w:val="auto"/>
              </w:rPr>
              <w:t>Jay Flatley</w:t>
            </w:r>
          </w:p>
        </w:tc>
        <w:tc>
          <w:tcPr>
            <w:tcW w:w="1920" w:type="dxa"/>
            <w:vAlign w:val="bottom"/>
          </w:tcPr>
          <w:p>
            <w:pPr>
              <w:jc w:val="center"/>
              <w:ind w:left="1032"/>
              <w:spacing w:after="0"/>
              <w:rPr>
                <w:sz w:val="20"/>
                <w:szCs w:val="20"/>
                <w:color w:val="auto"/>
              </w:rPr>
            </w:pPr>
            <w:r>
              <w:rPr>
                <w:rFonts w:ascii="Arial" w:cs="Arial" w:eastAsia="Arial" w:hAnsi="Arial"/>
                <w:sz w:val="18"/>
                <w:szCs w:val="18"/>
                <w:color w:val="auto"/>
                <w:w w:val="99"/>
              </w:rPr>
              <w:t>68</w:t>
            </w:r>
          </w:p>
        </w:tc>
        <w:tc>
          <w:tcPr>
            <w:tcW w:w="66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97"/>
        </w:trPr>
        <w:tc>
          <w:tcPr>
            <w:tcW w:w="27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620" w:type="dxa"/>
            <w:vAlign w:val="bottom"/>
          </w:tcPr>
          <w:p>
            <w:pPr>
              <w:spacing w:after="0"/>
              <w:rPr>
                <w:sz w:val="8"/>
                <w:szCs w:val="8"/>
                <w:color w:val="auto"/>
              </w:rPr>
            </w:pPr>
          </w:p>
        </w:tc>
      </w:tr>
      <w:tr>
        <w:trPr>
          <w:trHeight w:val="203"/>
        </w:trPr>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Deep Nishar</w:t>
            </w:r>
          </w:p>
        </w:tc>
        <w:tc>
          <w:tcPr>
            <w:tcW w:w="1920" w:type="dxa"/>
            <w:vAlign w:val="bottom"/>
            <w:shd w:val="clear" w:color="auto" w:fill="CCEEFF"/>
          </w:tcPr>
          <w:p>
            <w:pPr>
              <w:jc w:val="center"/>
              <w:ind w:left="1032"/>
              <w:spacing w:after="0" w:line="202" w:lineRule="exact"/>
              <w:rPr>
                <w:sz w:val="20"/>
                <w:szCs w:val="20"/>
                <w:color w:val="auto"/>
              </w:rPr>
            </w:pPr>
            <w:r>
              <w:rPr>
                <w:rFonts w:ascii="Arial" w:cs="Arial" w:eastAsia="Arial" w:hAnsi="Arial"/>
                <w:sz w:val="18"/>
                <w:szCs w:val="18"/>
                <w:color w:val="auto"/>
                <w:w w:val="99"/>
              </w:rPr>
              <w:t>52</w:t>
            </w:r>
          </w:p>
        </w:tc>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directors are as follows:</w:t>
      </w:r>
    </w:p>
    <w:p>
      <w:pPr>
        <w:spacing w:after="0" w:line="86"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Omid Farokhzad, M.D.—executive chair: </w:t>
      </w:r>
      <w:r>
        <w:rPr>
          <w:rFonts w:ascii="Arial" w:cs="Arial" w:eastAsia="Arial" w:hAnsi="Arial"/>
          <w:sz w:val="18"/>
          <w:szCs w:val="18"/>
          <w:color w:val="auto"/>
        </w:rPr>
        <w:t>Dr. Farokhzad is a physician-scientist, serial entrepreneur, company founder, company builder,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and director – across multiple companies and technology platforms. He founded Seer, Inc. (Nasdaq: SEER) in 2017, where he is Founder/CEO/Chair, advancing a transformative proteomics platform. He previously co-founded BIND Therapeutics (acquired by Pfizer), Selecta Biosciences, Inc. (Nasdaq: SELB), which is developing a novel antigen-specific tolerance platform for biologics and gene therapy, and Tarveda Therapeutics, Inc., a privately held oncology biotherapeutics company. From September 2004 to February 2018, he was a Professor at Harvard Medical School and directed the Center for Nanomedicine at Brigham and Women’s Hospital. He has authored over 180 papers and is an inventor on over 200 issued or pending patents. He is a Fellow of the National Academy of Inventors. He is also a recipient of the 2016 Ellis Island Medal of Honor; the 2014 Golden Door Award from the International Institute of New England, for his scientific, societal and economic contributions to America as an immigrant; The Worldview 100 by Scientific American in 2015, which recognized visionaries who shaped biotechnology around the world; the 2013 RUSNANOPRIZE, one of the largest international nanotechnology prizes, for his work on nanomaterial surface modification; and the 2012 Ernst &amp; Young New England Entrepreneur of the Year Award. Dr. Farokhzad holds an MA and MD from Boston University and an MBA from MIT Sloan School of Management.</w:t>
      </w:r>
    </w:p>
    <w:p>
      <w:pPr>
        <w:spacing w:after="0" w:line="8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i w:val="1"/>
          <w:iCs w:val="1"/>
          <w:color w:val="auto"/>
        </w:rPr>
        <w:t xml:space="preserve">Mostafa Ronaghi, PhD—chief executive officer &amp; director: </w:t>
      </w:r>
      <w:r>
        <w:rPr>
          <w:rFonts w:ascii="Arial" w:cs="Arial" w:eastAsia="Arial" w:hAnsi="Arial"/>
          <w:sz w:val="18"/>
          <w:szCs w:val="18"/>
          <w:color w:val="auto"/>
        </w:rPr>
        <w:t>Dr. Ronaghi is a scientist-entrepreneur, inventor, investor, company-founder,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and director. Most recently, he was Chief Technology Officer, Senior Vice President and member of the Executive Leadership Team at Illumina (Nasdaq: ILMN) from 2008 to 2021. While at Illumina, in 2016, Dr. Ronaghi co-founded GRAIL, a next-gen liquid biopsy platform for cancer detection. He also started Illumina’s Research &amp; Technology Development group, and co-founded the Illumina Accelerator Program in 2014, one of the most successful accelerator programs in the industry, which coached and invested in more than 50 start-ups, achieving one of the highest success rates for securing external institutional funding. Prior to Illumina, Dr. Ronaghi was Principal Investigator at the Stanford Genome Technology Center from 1999 to 2008. Throughout his prolific career, Dr. Ronaghi co-founded several other companies, including Pyrosequencing AB (founded in 1997; IPO in 2000 in Stockholm), focused on sequencing-by-synthesis technology (which was the first next-gen sequencing technology, and laid the groundwork for the leading technology developed by Illumina). He then co-founded ParAllele Biosciences in 2001, which was acquired by Affymetrix in 2005, which developed a first-of-its-kind technology for highly multiplex genotyping (used by the international Hapmap project to identify genetic variations across different population and diseases). He co-founded NextBio in 2004 (acquired by Illumina in 2013), where he developed a software platform to analyze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molecular biological data. He also co-founded Avantome in 2008 (acquired by Illumina in 2008), as a low-cost DNA sequencer to democratize sequencing. He has advised and invested in more than 70 companies and is an inventor on over 30 issued and pending patents, as well as authored more than 80 scientific publications. He is also a recipient of the 2015 Ellis Island Medal of Honor. He currently serves as a Board member at GRAIL, Seer (Nasdaq: SEER), 1Health, Clearlabs, and three other private companies. Dr. Ronaghi holds a PhD in Biotechnology from Royal Institute of Technology, Stockholm, and B.Sc in Biomedical Chemistry, University of Kalmar, Sweden.</w:t>
      </w:r>
    </w:p>
    <w:p>
      <w:pPr>
        <w:spacing w:after="0" w:line="60"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Mark Afrasiabi, CFA—chief financial officer: </w:t>
      </w:r>
      <w:r>
        <w:rPr>
          <w:rFonts w:ascii="Arial" w:cs="Arial" w:eastAsia="Arial" w:hAnsi="Arial"/>
          <w:sz w:val="18"/>
          <w:szCs w:val="18"/>
          <w:color w:val="auto"/>
        </w:rPr>
        <w:t>Mr. Afrasiabi was most recently a Partner and Co-Head of the Investment Committee at Silver</w:t>
      </w:r>
      <w:r>
        <w:rPr>
          <w:rFonts w:ascii="Arial" w:cs="Arial" w:eastAsia="Arial" w:hAnsi="Arial"/>
          <w:sz w:val="18"/>
          <w:szCs w:val="18"/>
          <w:i w:val="1"/>
          <w:iCs w:val="1"/>
          <w:color w:val="auto"/>
        </w:rPr>
        <w:t xml:space="preserve"> </w:t>
      </w:r>
      <w:r>
        <w:rPr>
          <w:rFonts w:ascii="Arial" w:cs="Arial" w:eastAsia="Arial" w:hAnsi="Arial"/>
          <w:sz w:val="18"/>
          <w:szCs w:val="18"/>
          <w:color w:val="auto"/>
        </w:rPr>
        <w:t>Rock Financial LP, an investment management firm with approximately $3 billion in assets under management, where he was responsible for the healthcare portfolio. Mr. Afrasiabi was at Silver Rock from inception in 2010 to 2021. Previously, from 2006 to 2010, he was a High-Yield Research Analyst (covering healthcare) and Portfolio Manager at PIMCO. Throughout his career, he has invested across the capital structure in all subsectors of healthcare, including pharma, biotech, life sciences tools, facilities, services, payers, health IT, and medical devices, among other subsectors. Prior to his 15-year investment management career, he worked in investment banking at Lehman Brothers, and was an Attorney at Irell &amp; Manella LLP. He also served as a Law Clerk on the United States Court of Appeals for the Ninth Circuit (Hon. Richard R. Clifton). Mr. Afrasiabi holds a JD from Harvard Law School and BA in Economics from UCLA, and is a CFA Charterholder.</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i w:val="1"/>
          <w:iCs w:val="1"/>
          <w:color w:val="auto"/>
        </w:rPr>
        <w:t xml:space="preserve">Rowan Chapman, PhD—chief business officer: </w:t>
      </w:r>
      <w:r>
        <w:rPr>
          <w:rFonts w:ascii="Arial" w:cs="Arial" w:eastAsia="Arial" w:hAnsi="Arial"/>
          <w:sz w:val="16"/>
          <w:szCs w:val="16"/>
          <w:color w:val="auto"/>
        </w:rPr>
        <w:t>Dr. Chapman is an executive business development leader from start up to Fortune 50,</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founder, equity investor and director. She currently serves as an independent director at Evidation Health and Natera, Inc. (Nasdaq: NTRA). She has led the execution of more than 80 partnerships and investments across healthcare verticals including life sciences tools, therapeutics, diagnostics, medical devices, vaccines and digital health. Dr. Chapman served as head of Johnson &amp; Johnson Innovation (NYSE: JNJ), Western North America. Australia and New Zealand, from January 2017 to August 2019. Prior to that, she held various roles with General Electric Company (NYSE: GE) from 2012 to 2016, including as Head of Healthcare Investing at GE Ventures where she led the team responsible for the investment portfolio with a particular focus on digital health, data analytics and precision medicine. During that time, she led the creation of three healthcare startups including Evidation Health and Vineti. Dr. Chapman also served as Head of Precision Diagnostics at GE Healthcare, where she was responsible for strategy development to integrate lab services, products, data, informatics and software. Prior to that, she held operational roles in early and growth-stage startups and was a partner at Mohr Davidow Ventures for over 11 years, from 2001 to 2012, gaining extensive experience as an investor, board member or board advisor for a wide variety of technology and data-enabled companies including Adamas (IPO: ADMS), HealthTap, Pacific Biosciences (IPO: PACB), ParAllele Biosciences (acquired: AFFX), Personalis (IPO: PSNL), Sequenta (acquired: ADPT) and Verinata (acquired: ILMN). She was also an early employee at Rosetta Inpharmatics (went public and then acquired by Merck) and Incyte Genomics (Nasdaq: INCY). She is also a co-founder of Initiate Studios, a life sciences incubator founded in 2020, where she partners with entrepreneurs to launch new healthcare companies. Dr. Chapman holds a PhD in Biochemistry and Molecular Biology and BA in Biochemistry from the University of Cambridge, United Kingdom, and carried out post-doctoral research at UCSF.</w:t>
      </w:r>
    </w:p>
    <w:p>
      <w:pPr>
        <w:spacing w:after="0" w:line="26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David R. Epstein—independent director: </w:t>
      </w:r>
      <w:r>
        <w:rPr>
          <w:rFonts w:ascii="Arial" w:cs="Arial" w:eastAsia="Arial" w:hAnsi="Arial"/>
          <w:sz w:val="18"/>
          <w:szCs w:val="18"/>
          <w:color w:val="auto"/>
        </w:rPr>
        <w:t>Mr. Epstein is executive partner at Flagship Pioneering and Chairman of Axcella Health, Inc. (Nasdaq:</w:t>
      </w:r>
      <w:r>
        <w:rPr>
          <w:rFonts w:ascii="Arial" w:cs="Arial" w:eastAsia="Arial" w:hAnsi="Arial"/>
          <w:sz w:val="18"/>
          <w:szCs w:val="18"/>
          <w:i w:val="1"/>
          <w:iCs w:val="1"/>
          <w:color w:val="auto"/>
        </w:rPr>
        <w:t xml:space="preserve"> </w:t>
      </w:r>
      <w:r>
        <w:rPr>
          <w:rFonts w:ascii="Arial" w:cs="Arial" w:eastAsia="Arial" w:hAnsi="Arial"/>
          <w:sz w:val="18"/>
          <w:szCs w:val="18"/>
          <w:color w:val="auto"/>
        </w:rPr>
        <w:t>AXLA), Rubius Therapeutics, Inc. (Nasdaq: RUBY) and Evelo Biosciences, Inc. (Nasdaq: EVLO). Mr. Epstein is also a board member at three privately held biotherapeutics companies (Tarus Therapeutics, Valo Health and Woolsey Pharma). From 2010 to mid-2016 he served as CEO of Novartis Pharmaceuticals, a division of Novartis AG. Previously, he started and led Novartis’ Oncology and Molecular Diagnostic units. Under his leadership the company’s oncology business grew to the second largest in the world. David has more than 25 years of extensive drug development, deal making, commercialization and leadership</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experience on a global scale. Over the course of his career, he led the development and commercialization of over 30 new molecular entities, including major breakthroughs such as Glivec</w:t>
      </w:r>
      <w:r>
        <w:rPr>
          <w:rFonts w:ascii="Arial" w:cs="Arial" w:eastAsia="Arial" w:hAnsi="Arial"/>
          <w:sz w:val="11"/>
          <w:szCs w:val="11"/>
          <w:color w:val="auto"/>
        </w:rPr>
        <w:t>®</w:t>
      </w:r>
      <w:r>
        <w:rPr>
          <w:rFonts w:ascii="Arial" w:cs="Arial" w:eastAsia="Arial" w:hAnsi="Arial"/>
          <w:sz w:val="18"/>
          <w:szCs w:val="18"/>
          <w:color w:val="auto"/>
        </w:rPr>
        <w:t>, Tasigna</w:t>
      </w:r>
      <w:r>
        <w:rPr>
          <w:rFonts w:ascii="Arial" w:cs="Arial" w:eastAsia="Arial" w:hAnsi="Arial"/>
          <w:sz w:val="11"/>
          <w:szCs w:val="11"/>
          <w:color w:val="auto"/>
        </w:rPr>
        <w:t>®</w:t>
      </w:r>
      <w:r>
        <w:rPr>
          <w:rFonts w:ascii="Arial" w:cs="Arial" w:eastAsia="Arial" w:hAnsi="Arial"/>
          <w:sz w:val="18"/>
          <w:szCs w:val="18"/>
          <w:color w:val="auto"/>
        </w:rPr>
        <w:t>, Gilenya</w:t>
      </w:r>
      <w:r>
        <w:rPr>
          <w:rFonts w:ascii="Arial" w:cs="Arial" w:eastAsia="Arial" w:hAnsi="Arial"/>
          <w:sz w:val="11"/>
          <w:szCs w:val="11"/>
          <w:color w:val="auto"/>
        </w:rPr>
        <w:t>®</w:t>
      </w:r>
      <w:r>
        <w:rPr>
          <w:rFonts w:ascii="Arial" w:cs="Arial" w:eastAsia="Arial" w:hAnsi="Arial"/>
          <w:sz w:val="18"/>
          <w:szCs w:val="18"/>
          <w:color w:val="auto"/>
        </w:rPr>
        <w:t>, Cosentyx</w:t>
      </w:r>
      <w:r>
        <w:rPr>
          <w:rFonts w:ascii="Arial" w:cs="Arial" w:eastAsia="Arial" w:hAnsi="Arial"/>
          <w:sz w:val="11"/>
          <w:szCs w:val="11"/>
          <w:color w:val="auto"/>
        </w:rPr>
        <w:t>®</w:t>
      </w:r>
      <w:r>
        <w:rPr>
          <w:rFonts w:ascii="Arial" w:cs="Arial" w:eastAsia="Arial" w:hAnsi="Arial"/>
          <w:sz w:val="18"/>
          <w:szCs w:val="18"/>
          <w:color w:val="auto"/>
        </w:rPr>
        <w:t xml:space="preserve"> and Entresto</w:t>
      </w:r>
      <w:r>
        <w:rPr>
          <w:rFonts w:ascii="Arial" w:cs="Arial" w:eastAsia="Arial" w:hAnsi="Arial"/>
          <w:sz w:val="11"/>
          <w:szCs w:val="11"/>
          <w:color w:val="auto"/>
        </w:rPr>
        <w:t>®</w:t>
      </w:r>
      <w:r>
        <w:rPr>
          <w:rFonts w:ascii="Arial" w:cs="Arial" w:eastAsia="Arial" w:hAnsi="Arial"/>
          <w:sz w:val="18"/>
          <w:szCs w:val="18"/>
          <w:color w:val="auto"/>
        </w:rPr>
        <w:t>. His teams developed three Prix Galien award winners, and he has mentored several CEOs into their roles. He was named by FierceBiotech as one of the “25 most influential people in biopharma” in 2015. Early in his career, he was an associate in the strategy practice of consulting firm Booz, Allen and Hamilton. Mr. Epstein holds a BS in pharmacy from Rutgers University College of Pharmacy and an MBA in finance and marketing from the Columbia University Graduate School of Business.</w:t>
      </w:r>
    </w:p>
    <w:p>
      <w:pPr>
        <w:spacing w:after="0" w:line="8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auto"/>
        </w:rPr>
        <w:t xml:space="preserve">Jay Flatley—independent director: </w:t>
      </w:r>
      <w:r>
        <w:rPr>
          <w:rFonts w:ascii="Arial" w:cs="Arial" w:eastAsia="Arial" w:hAnsi="Arial"/>
          <w:sz w:val="18"/>
          <w:szCs w:val="18"/>
          <w:color w:val="auto"/>
        </w:rPr>
        <w:t>Mr. Flatley led Illumina (Nasdaq: ILMN) as CEO from 1999 until 2016, as Executive Chairman through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served as Chairman of the Board until March 2021. During his tenure as CEO, he took the company from $1.3 million in sales in 2000 to $2.2 billion in 2015, representing a compound annual growth rate of 64 percent. Prior to joining Illumina, Mr. Flatley was co-founder, President, CEO, and a director of Molecular Dynamics, Inc., a Nasdaq-listed life sciences Company focused on genetic discovery and analysis, from 1994 until its sale to Amersham Pharmacia Biotech Inc. in 1998. He served in various other positions of increasing responsibility with Molecular Dynamics from 1987 to 1994. From 1985 to 1987, Mr. Flatley was Vice President of Engineering and Vice President of Strategic Planning at Plexus Computers, a UNIX computer Company. Mr. Flatley also serves as Chairman of Zymergen (Nasdaq: ZY), Chairman of Iridia, Inc. (privately held) and a director of Coherent, Inc. (Nasdaq: COHR); Denali Therapeutics, Inc. (Nasdaq: DNLI); and Helix Holdings I, LLC. He is also on the Board of Trustees at the Salk Institute, and is Chair of Wellcome Leap, a US-based non-profit organization founded by the Wellcome Trust to accelerate innovations that benefit global health. Mr. Flatley holds a BA in economics from Claremont McKenna College and a BS and MS in industrial engineering from Stanford University.</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auto"/>
        </w:rPr>
        <w:t xml:space="preserve">Deep Nishar—independent director: </w:t>
      </w:r>
      <w:r>
        <w:rPr>
          <w:rFonts w:ascii="Arial" w:cs="Arial" w:eastAsia="Arial" w:hAnsi="Arial"/>
          <w:sz w:val="16"/>
          <w:szCs w:val="16"/>
          <w:color w:val="auto"/>
        </w:rPr>
        <w:t>Mr. Nishar is currently Senior Managing Partner of the Softbank Vision Fund, which he joined in 2015. He</w:t>
      </w:r>
      <w:r>
        <w:rPr>
          <w:rFonts w:ascii="Arial" w:cs="Arial" w:eastAsia="Arial" w:hAnsi="Arial"/>
          <w:sz w:val="16"/>
          <w:szCs w:val="16"/>
          <w:i w:val="1"/>
          <w:iCs w:val="1"/>
          <w:color w:val="auto"/>
        </w:rPr>
        <w:t xml:space="preserve"> </w:t>
      </w:r>
      <w:r>
        <w:rPr>
          <w:rFonts w:ascii="Arial" w:cs="Arial" w:eastAsia="Arial" w:hAnsi="Arial"/>
          <w:sz w:val="16"/>
          <w:szCs w:val="16"/>
          <w:color w:val="auto"/>
        </w:rPr>
        <w:t>has over 20 years of experience helping build and grow internet and software businesses. From January 2009 to October 2014, Mr. Nishar served in various roles with LinkedIn Corporation, most recently as Senior Vice President, Products and User Experience. From August 2003 to January 2009, Mr. Nishar served in various roles with Google Inc. (Nasdaq: GOOGL), most recently as the Senior Director of Products for the Asia-Pacific region. Previously he was the Founder of enterprise software company Patkai Networks. He is an inventor on 14 patents, and is a recipient of the Google Founders Award, which is given to employees who made extraordinary contributions to the company. Mr. Nishar currently serves on the board of directors of Seer (Nasdaq: SEER), Relay Therapeutics (Nasdaq: RLAY), Vir Biotechnology, Inc. (Nasdaq: VIR) and Zymergen (Nasdaq: ZY), and previously served on the board of directors of Guardant Health (Nasdaq: GH), Tripadvisor (Nasdaq: TRIP), and OPower. Mr. Nishar received his MBA with highest honors (Baker Scholar) from Harvard Business School, his M.SEE from the University of Illinois, Urbana- Champaign, and his B.Tech with honors from the Indian Institute of Technology.</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and terms of office of officers and directors</w:t>
      </w:r>
    </w:p>
    <w:p>
      <w:pPr>
        <w:spacing w:after="0" w:line="1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have five directors, with each director holding office for a two-year term. Prior to the completion of our initial business combination, any vacancy on the board of directors may be filled by a nominee chosen by holders of a majority of our shares of Class B common stock. In addition, prior to the completion of our initial business combination, holders of a majority of our shares of Class B common stock may remove a member of the board of directors for any reason.</w:t>
      </w:r>
    </w:p>
    <w:p>
      <w:pPr>
        <w:spacing w:after="0" w:line="10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Our board of directors is authorized to appoint persons to the offices set forth in our bylaws as it deems appropriate. Our bylaws provide that our officers may consist of a Chief Executive Officer, President, Chief Financial Officer, Vice Presidents, Treasurer, Secretary, and such other offices as may be determined by the board of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459"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Nasdaq listing rules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four “independent directors” as defined in the Nasdaq listing rules and applicable SEC rules. Our board has determined that each of David Epstein, Jay Flatley and Deep Nishar, are independent directors under applicable SEC and Nasdaq listing rules. Our independent directors will have regularly scheduled meetings at which only independent directors are present. Each of our independent directors owns approximately 1.95% of the outstanding equity of our Sponsor.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Officer and director compensation</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Commencing on the date that our securities are first listed on Nasdaq through the earlier of consummation of our initial business combination and our liquidation, we will pay our sponsor or an affiliate of our sponsor up to $10,000 per month for office space, utilities, secretarial and administrative support services provided to members of our management team and other expenses and obligations of our sponsor. In no event will our existing officers or directors receive any other cash- or equity-based compensation or be paid any finder’s fee, reimbursement, consulting fee or monies in respect of any payment of a loan by the company prior to, or in connection with any services rendered for any services they render in order to effectuate, the completion of our initial business combination (regardless of the type of transaction that it is), other than reimbursements for any out-of-pocket expenses incurred in connection with activities on our behalf such as identifying potential target businesses and performing due diligence on suitable business combinations. We do not have a policy that prohibits our sponsor, officers or directors, or any of their respective affiliates, from negotiating for the reimbursement of out-of-pocket expenses by a target business.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 pocket expenses incurred in connection with identifying and consummating an initial business combination.</w:t>
      </w:r>
    </w:p>
    <w:p>
      <w:pPr>
        <w:spacing w:after="0" w:line="28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or receive equity or equity-based awards from the combined company. These fees and awards will be disclosed to stockholders in accordance with applicable rules and regulations,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0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 team’s motivation in identifying or selecting a target business but we do not believe that the ability of our management to remain with us after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consummation of our initial business combination will be a determining factor in our decision to proceed with any potential business combination.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agreements with our officers and directors that provide for payments or benefits upon termination of employment.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13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Our board of directors has two standing committees: an audit committee and a compensation committee. Both our audit committee and our compensation committee will be composed solely of independent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established an audit committee of the board of directors. The members of our audit committee are David Epstein, Jay Flatley and Deep Nishar. Mr. Epstein will serve as chairman of the audit committee. Messrs. Epstein, Flatley, and Nishar are independent of and unaffiliated with our sponsor and our underwriter. Under Nasdaq listing standards and applicable SEC rules, all the directors on the audit committee must be independent.</w:t>
      </w:r>
    </w:p>
    <w:p>
      <w:pPr>
        <w:spacing w:after="0" w:line="10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David Epstein qualifies as an “audit committee financial expert” as defined in applicable SEC rules and has accounting or related financial management expertise.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117" w:lineRule="exact"/>
        <w:rPr>
          <w:sz w:val="20"/>
          <w:szCs w:val="20"/>
          <w:color w:val="auto"/>
        </w:rPr>
      </w:pPr>
    </w:p>
    <w:p>
      <w:pPr>
        <w:ind w:left="220" w:hanging="212"/>
        <w:spacing w:after="0" w:line="238"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the independent registered public accounting firm’s qualifications and independence and (4) the performance of our internal audit function and the independent registered public accounting firm;</w:t>
      </w:r>
    </w:p>
    <w:p>
      <w:pPr>
        <w:spacing w:after="0" w:line="113" w:lineRule="exact"/>
        <w:rPr>
          <w:rFonts w:ascii="Arial" w:cs="Arial" w:eastAsia="Arial" w:hAnsi="Arial"/>
          <w:sz w:val="18"/>
          <w:szCs w:val="18"/>
          <w:color w:val="auto"/>
        </w:rPr>
      </w:pPr>
    </w:p>
    <w:p>
      <w:pPr>
        <w:ind w:left="220" w:right="560" w:hanging="212"/>
        <w:spacing w:after="0" w:line="239"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14"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117" w:lineRule="exact"/>
        <w:rPr>
          <w:rFonts w:ascii="Arial" w:cs="Arial" w:eastAsia="Arial" w:hAnsi="Arial"/>
          <w:sz w:val="18"/>
          <w:szCs w:val="18"/>
          <w:color w:val="auto"/>
        </w:rPr>
      </w:pPr>
    </w:p>
    <w:p>
      <w:pPr>
        <w:ind w:left="220" w:right="20" w:hanging="212"/>
        <w:spacing w:after="0" w:line="236"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115" w:lineRule="exact"/>
        <w:rPr>
          <w:rFonts w:ascii="Arial" w:cs="Arial" w:eastAsia="Arial" w:hAnsi="Arial"/>
          <w:sz w:val="18"/>
          <w:szCs w:val="18"/>
          <w:color w:val="auto"/>
        </w:rPr>
      </w:pPr>
    </w:p>
    <w:p>
      <w:pPr>
        <w:ind w:left="220" w:right="120" w:hanging="212"/>
        <w:spacing w:after="0" w:line="238"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300" w:hanging="212"/>
        <w:spacing w:after="0" w:line="239"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14" w:lineRule="exact"/>
        <w:rPr>
          <w:rFonts w:ascii="Arial" w:cs="Arial" w:eastAsia="Arial" w:hAnsi="Arial"/>
          <w:sz w:val="18"/>
          <w:szCs w:val="18"/>
          <w:color w:val="auto"/>
        </w:rPr>
      </w:pPr>
    </w:p>
    <w:p>
      <w:pPr>
        <w:ind w:left="220" w:right="200" w:hanging="212"/>
        <w:spacing w:after="0" w:line="237" w:lineRule="auto"/>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established a compensation committee of the board of directors. The members of our compensation committee are David Epstein, Jay Flatley and Deep Nishar. Mr. Flatley will serve as chairman of the compensation committee. Messrs. Epstein, Flatley and Nishar are independent of and unaffiliated with our sponsor and our underwriter. Under Nasdaq listing standards, all the directors on the compensation committee must be independent.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117" w:lineRule="exact"/>
        <w:rPr>
          <w:sz w:val="20"/>
          <w:szCs w:val="20"/>
          <w:color w:val="auto"/>
        </w:rPr>
      </w:pPr>
    </w:p>
    <w:p>
      <w:pPr>
        <w:ind w:left="220" w:right="80" w:hanging="212"/>
        <w:spacing w:after="0" w:line="238"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13" w:lineRule="exact"/>
        <w:rPr>
          <w:rFonts w:ascii="Arial" w:cs="Arial" w:eastAsia="Arial" w:hAnsi="Arial"/>
          <w:sz w:val="18"/>
          <w:szCs w:val="18"/>
          <w:color w:val="auto"/>
        </w:rPr>
      </w:pPr>
    </w:p>
    <w:p>
      <w:pPr>
        <w:ind w:left="220" w:right="140" w:hanging="212"/>
        <w:spacing w:after="0" w:line="238"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making recommendations on an annual basis to our board of directors with respect to (or approving, if such authority is so delegated by our board of directors) the compensation, if any is paid by us, and any incentive-compensation and equity-based plans that are subject to board approval of our other officers;</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17" w:lineRule="exact"/>
        <w:rPr>
          <w:rFonts w:ascii="Arial" w:cs="Arial" w:eastAsia="Arial" w:hAnsi="Arial"/>
          <w:sz w:val="18"/>
          <w:szCs w:val="18"/>
          <w:color w:val="auto"/>
        </w:rPr>
      </w:pPr>
    </w:p>
    <w:p>
      <w:pPr>
        <w:ind w:left="220" w:right="580" w:hanging="212"/>
        <w:spacing w:after="0" w:line="239" w:lineRule="auto"/>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Until the earlier of the consummation of our initial business combination or our liquidation and in connection with potentially providing financing or other investments in connection with our initial business combination, other than the payment to our sponsor or an affiliate of our sponsor of up to $10,000 per month, until the consummation of an initial business combination, for office space, utilities, secretarial and administrative support, other expenses and obligations of our sponsor and reimbursement of expenses,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nominations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applicable law or stock exchange rules. In accordance with Rule 5605(e)(2) of the Nasdaq listing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In accordance with Rule 5605(e)(1)(A) of the Nasdaq listing rules, all such directors are independent. As there is no standing nominating committee, we do not have a nominating committee charter in place.</w:t>
      </w:r>
    </w:p>
    <w:p>
      <w:pPr>
        <w:spacing w:after="0" w:line="102"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Prior to our initial business combination, the board of directors will also consider director candidates recommended for nomination by our stockholders during such times as they are seeking proposed nominees to stand for election at an annual meeting of stockholders (or, if applicable, a special meeting of stockholders). Our stockholders that wish to nominate a director for election to the Board should follow the procedures set forth in our bylaws.</w:t>
      </w:r>
    </w:p>
    <w:p>
      <w:pPr>
        <w:spacing w:after="0" w:line="1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have adopted a Code of Business Conduct and Ethics applicable to our directors, officers and employees, a copy of which will be available on our website following the closing of this offering. In addition, a copy of the Code of Business Conduct and Ethics will be provided without charge upon request from us. We intend to disclose any amendments to or waivers of certain provisions of our Code of Business Conduct and Ethics in a Current Report on Form 8-K. See “Where You Can Find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officers, directors and any of their respective affiliates may sponsor or form, and, in the case of individuals, serve as a director or officer of, other blank check companies similar to Dynamics Special Purpose Corp. during the period in which we are seeking an initial business combination. Any such companies may present additional conflicts of interest in pursuing an acquisition target. However, we do not believe that any such potential conflicts would materially affect our ability to complete our initial business combination.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17" w:lineRule="exact"/>
        <w:rPr>
          <w:sz w:val="20"/>
          <w:szCs w:val="20"/>
          <w:color w:val="auto"/>
        </w:rPr>
      </w:pPr>
    </w:p>
    <w:p>
      <w:pPr>
        <w:ind w:left="220" w:right="500" w:hanging="212"/>
        <w:spacing w:after="0" w:line="239"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14" w:lineRule="exact"/>
        <w:rPr>
          <w:rFonts w:ascii="Arial" w:cs="Arial" w:eastAsia="Arial" w:hAnsi="Arial"/>
          <w:sz w:val="18"/>
          <w:szCs w:val="18"/>
          <w:color w:val="auto"/>
        </w:rPr>
      </w:pPr>
    </w:p>
    <w:p>
      <w:pPr>
        <w:ind w:left="220" w:right="120" w:hanging="212"/>
        <w:spacing w:after="0" w:line="238"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13" w:lineRule="exact"/>
        <w:rPr>
          <w:rFonts w:ascii="Arial" w:cs="Arial" w:eastAsia="Arial" w:hAnsi="Arial"/>
          <w:sz w:val="18"/>
          <w:szCs w:val="18"/>
          <w:color w:val="auto"/>
        </w:rPr>
      </w:pPr>
    </w:p>
    <w:p>
      <w:pPr>
        <w:ind w:left="220" w:hanging="212"/>
        <w:spacing w:after="0" w:line="235"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sponsor, and each of our officers and directors have agreed to (i) waive their redemption rights with respect to their founder shares and any public shares held by them in connection with the completion of our initial business combination, (ii) waive their redemption rights with respect to their founder shares and any public shares held by them in connection with a stockholder vote to approve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 initial business combination activity and (iii) waive their rights to liquidating distributions from the trust account with respect to their founder shares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the prescribed timeframe. If we do not complete our initial business combination within such applicable time period, the proceeds of the sale of the private placement shares held in the trust account will be used to fund the redemption of our public shares, and the private placement shares will expire worthless. With certain limited exceptions, the founder shares will not be transferable or assignable until the earlier of: (A) one year after the completion of our initial business combination or (B) subsequent to our initial business combination, (x) if the last reported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Class A common stock for cash, securities or other property. With certain limited exceptions, the private placement shares will not be transferable, assignable or saleable by our sponsor or its permitted transferees until 30 days after the completion of our initial business combination. Since our sponsor and officers and directors may directly or indirectly own common stock following this offering, our officers and directors may have a conflict of interest in determining whether a particular target business is an appropriate business with which to effectuate our initial business combination.</w:t>
      </w:r>
    </w:p>
    <w:p>
      <w:pPr>
        <w:spacing w:after="0" w:line="117" w:lineRule="exact"/>
        <w:rPr>
          <w:rFonts w:ascii="Arial" w:cs="Arial" w:eastAsia="Arial" w:hAnsi="Arial"/>
          <w:sz w:val="18"/>
          <w:szCs w:val="18"/>
          <w:color w:val="auto"/>
        </w:rPr>
      </w:pPr>
    </w:p>
    <w:p>
      <w:pPr>
        <w:ind w:left="220" w:right="260" w:hanging="212"/>
        <w:spacing w:after="0" w:line="238"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13" w:lineRule="exact"/>
        <w:rPr>
          <w:rFonts w:ascii="Arial" w:cs="Arial" w:eastAsia="Arial" w:hAnsi="Arial"/>
          <w:sz w:val="18"/>
          <w:szCs w:val="18"/>
          <w:color w:val="auto"/>
        </w:rPr>
      </w:pPr>
    </w:p>
    <w:p>
      <w:pPr>
        <w:ind w:left="220" w:right="60" w:hanging="212"/>
        <w:spacing w:after="0" w:line="236" w:lineRule="auto"/>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certain of our officers or directors to finance transaction costs in connection with an intended initial business combination. Up to $2,000,000 of such loans may be convertible into shares of the post-business combination entity at a price of $10.00 per share at the option of the lender. The shares would be identical to the private placement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320" w:top="459" w:right="3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4"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a result of multiple business affiliations, our officers and directors may have similar legal obligations relating to presenting business opportunities meeting the above-listed criteria to multiple entities. Furthermore,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Below is a table summarizing the entities to which our officers and directors currently have fiduciary duties or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p>
        </w:tc>
        <w:tc>
          <w:tcPr>
            <w:tcW w:w="36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Entity</w:t>
            </w:r>
          </w:p>
        </w:tc>
        <w:tc>
          <w:tcPr>
            <w:tcW w:w="2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Entity’s business</w:t>
            </w:r>
          </w:p>
        </w:tc>
        <w:tc>
          <w:tcPr>
            <w:tcW w:w="26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Affiliation</w:t>
            </w:r>
          </w:p>
        </w:tc>
      </w:tr>
      <w:tr>
        <w:trPr>
          <w:trHeight w:val="199"/>
        </w:trPr>
        <w:tc>
          <w:tcPr>
            <w:tcW w:w="2300" w:type="dxa"/>
            <w:vAlign w:val="bottom"/>
          </w:tcPr>
          <w:p>
            <w:pPr>
              <w:spacing w:after="0" w:line="199" w:lineRule="exact"/>
              <w:rPr>
                <w:sz w:val="20"/>
                <w:szCs w:val="20"/>
                <w:color w:val="auto"/>
              </w:rPr>
            </w:pPr>
            <w:r>
              <w:rPr>
                <w:rFonts w:ascii="Arial" w:cs="Arial" w:eastAsia="Arial" w:hAnsi="Arial"/>
                <w:sz w:val="18"/>
                <w:szCs w:val="18"/>
                <w:color w:val="auto"/>
              </w:rPr>
              <w:t>Omid Farokhzad</w:t>
            </w:r>
          </w:p>
        </w:tc>
        <w:tc>
          <w:tcPr>
            <w:tcW w:w="3600" w:type="dxa"/>
            <w:vAlign w:val="bottom"/>
          </w:tcPr>
          <w:p>
            <w:pPr>
              <w:ind w:left="940"/>
              <w:spacing w:after="0" w:line="199" w:lineRule="exact"/>
              <w:rPr>
                <w:sz w:val="20"/>
                <w:szCs w:val="20"/>
                <w:color w:val="auto"/>
              </w:rPr>
            </w:pPr>
            <w:r>
              <w:rPr>
                <w:rFonts w:ascii="Arial" w:cs="Arial" w:eastAsia="Arial" w:hAnsi="Arial"/>
                <w:sz w:val="18"/>
                <w:szCs w:val="18"/>
                <w:color w:val="auto"/>
              </w:rPr>
              <w:t>Seer Inc. (Nasdaq: SEER)</w:t>
            </w:r>
          </w:p>
        </w:tc>
        <w:tc>
          <w:tcPr>
            <w:tcW w:w="2700" w:type="dxa"/>
            <w:vAlign w:val="bottom"/>
          </w:tcPr>
          <w:p>
            <w:pPr>
              <w:ind w:left="140"/>
              <w:spacing w:after="0" w:line="199" w:lineRule="exact"/>
              <w:rPr>
                <w:sz w:val="20"/>
                <w:szCs w:val="20"/>
                <w:color w:val="auto"/>
              </w:rPr>
            </w:pPr>
            <w:r>
              <w:rPr>
                <w:rFonts w:ascii="Arial" w:cs="Arial" w:eastAsia="Arial" w:hAnsi="Arial"/>
                <w:sz w:val="18"/>
                <w:szCs w:val="18"/>
                <w:color w:val="auto"/>
              </w:rPr>
              <w:t>Proteomics technology</w:t>
            </w:r>
          </w:p>
        </w:tc>
        <w:tc>
          <w:tcPr>
            <w:tcW w:w="2640" w:type="dxa"/>
            <w:vAlign w:val="bottom"/>
          </w:tcPr>
          <w:p>
            <w:pPr>
              <w:ind w:left="160"/>
              <w:spacing w:after="0" w:line="199" w:lineRule="exact"/>
              <w:rPr>
                <w:sz w:val="20"/>
                <w:szCs w:val="20"/>
                <w:color w:val="auto"/>
              </w:rPr>
            </w:pPr>
            <w:r>
              <w:rPr>
                <w:rFonts w:ascii="Arial" w:cs="Arial" w:eastAsia="Arial" w:hAnsi="Arial"/>
                <w:sz w:val="18"/>
                <w:szCs w:val="18"/>
                <w:color w:val="auto"/>
              </w:rPr>
              <w:t>CEO/Chair/Founder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XLink Therapeutics</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Therapeutics</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Chair/Founder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PrognomIQ</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Proteomics</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Chair/Founder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Selecta Biosciences (Nasdaq:</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Therapeutics</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SAB/Founder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SELB)</w:t>
            </w:r>
          </w:p>
        </w:tc>
        <w:tc>
          <w:tcPr>
            <w:tcW w:w="27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Tarveda</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Therapeutics</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SAB/Founder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XIRA</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Legal search firm</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Founder/Board member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Bilix</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Therapeutics</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SAB</w:t>
            </w:r>
          </w:p>
        </w:tc>
      </w:tr>
      <w:tr>
        <w:trPr>
          <w:trHeight w:val="211"/>
        </w:trPr>
        <w:tc>
          <w:tcPr>
            <w:tcW w:w="2300" w:type="dxa"/>
            <w:vAlign w:val="bottom"/>
          </w:tcPr>
          <w:p>
            <w:pPr>
              <w:spacing w:after="0"/>
              <w:rPr>
                <w:sz w:val="18"/>
                <w:szCs w:val="18"/>
                <w:color w:val="auto"/>
              </w:rPr>
            </w:pPr>
          </w:p>
        </w:tc>
        <w:tc>
          <w:tcPr>
            <w:tcW w:w="3600" w:type="dxa"/>
            <w:vAlign w:val="bottom"/>
          </w:tcPr>
          <w:p>
            <w:pPr>
              <w:ind w:left="940"/>
              <w:spacing w:after="0"/>
              <w:rPr>
                <w:sz w:val="20"/>
                <w:szCs w:val="20"/>
                <w:color w:val="auto"/>
              </w:rPr>
            </w:pPr>
            <w:r>
              <w:rPr>
                <w:rFonts w:ascii="Arial" w:cs="Arial" w:eastAsia="Arial" w:hAnsi="Arial"/>
                <w:sz w:val="18"/>
                <w:szCs w:val="18"/>
                <w:color w:val="auto"/>
              </w:rPr>
              <w:t>Cellics Therapeutics</w:t>
            </w:r>
          </w:p>
        </w:tc>
        <w:tc>
          <w:tcPr>
            <w:tcW w:w="2700" w:type="dxa"/>
            <w:vAlign w:val="bottom"/>
          </w:tcPr>
          <w:p>
            <w:pPr>
              <w:ind w:left="140"/>
              <w:spacing w:after="0"/>
              <w:rPr>
                <w:sz w:val="20"/>
                <w:szCs w:val="20"/>
                <w:color w:val="auto"/>
              </w:rPr>
            </w:pPr>
            <w:r>
              <w:rPr>
                <w:rFonts w:ascii="Arial" w:cs="Arial" w:eastAsia="Arial" w:hAnsi="Arial"/>
                <w:sz w:val="18"/>
                <w:szCs w:val="18"/>
                <w:color w:val="auto"/>
              </w:rPr>
              <w:t>Therapeutics</w:t>
            </w:r>
          </w:p>
        </w:tc>
        <w:tc>
          <w:tcPr>
            <w:tcW w:w="2640" w:type="dxa"/>
            <w:vAlign w:val="bottom"/>
          </w:tcPr>
          <w:p>
            <w:pPr>
              <w:ind w:left="160"/>
              <w:spacing w:after="0"/>
              <w:rPr>
                <w:sz w:val="20"/>
                <w:szCs w:val="20"/>
                <w:color w:val="auto"/>
              </w:rPr>
            </w:pPr>
            <w:r>
              <w:rPr>
                <w:rFonts w:ascii="Arial" w:cs="Arial" w:eastAsia="Arial" w:hAnsi="Arial"/>
                <w:sz w:val="18"/>
                <w:szCs w:val="18"/>
                <w:color w:val="auto"/>
              </w:rPr>
              <w:t>SAB</w:t>
            </w:r>
          </w:p>
        </w:tc>
      </w:tr>
      <w:tr>
        <w:trPr>
          <w:trHeight w:val="302"/>
        </w:trPr>
        <w:tc>
          <w:tcPr>
            <w:tcW w:w="2300" w:type="dxa"/>
            <w:vAlign w:val="bottom"/>
          </w:tcPr>
          <w:p>
            <w:pPr>
              <w:spacing w:after="0"/>
              <w:rPr>
                <w:sz w:val="20"/>
                <w:szCs w:val="20"/>
                <w:color w:val="auto"/>
              </w:rPr>
            </w:pPr>
            <w:r>
              <w:rPr>
                <w:rFonts w:ascii="Arial" w:cs="Arial" w:eastAsia="Arial" w:hAnsi="Arial"/>
                <w:sz w:val="18"/>
                <w:szCs w:val="18"/>
                <w:color w:val="auto"/>
              </w:rPr>
              <w:t>Mostafa Ronaghi</w:t>
            </w:r>
          </w:p>
        </w:tc>
        <w:tc>
          <w:tcPr>
            <w:tcW w:w="3600" w:type="dxa"/>
            <w:vAlign w:val="bottom"/>
          </w:tcPr>
          <w:p>
            <w:pPr>
              <w:ind w:left="940"/>
              <w:spacing w:after="0"/>
              <w:rPr>
                <w:sz w:val="20"/>
                <w:szCs w:val="20"/>
                <w:color w:val="auto"/>
              </w:rPr>
            </w:pPr>
            <w:r>
              <w:rPr>
                <w:rFonts w:ascii="Arial" w:cs="Arial" w:eastAsia="Arial" w:hAnsi="Arial"/>
                <w:sz w:val="18"/>
                <w:szCs w:val="18"/>
                <w:color w:val="auto"/>
              </w:rPr>
              <w:t>GRAIL</w:t>
            </w:r>
          </w:p>
        </w:tc>
        <w:tc>
          <w:tcPr>
            <w:tcW w:w="2700" w:type="dxa"/>
            <w:vAlign w:val="bottom"/>
          </w:tcPr>
          <w:p>
            <w:pPr>
              <w:ind w:left="140"/>
              <w:spacing w:after="0"/>
              <w:rPr>
                <w:sz w:val="20"/>
                <w:szCs w:val="20"/>
                <w:color w:val="auto"/>
              </w:rPr>
            </w:pPr>
            <w:r>
              <w:rPr>
                <w:rFonts w:ascii="Arial" w:cs="Arial" w:eastAsia="Arial" w:hAnsi="Arial"/>
                <w:sz w:val="18"/>
                <w:szCs w:val="18"/>
                <w:color w:val="auto"/>
              </w:rPr>
              <w:t>Liquid Biopsy platform</w:t>
            </w:r>
          </w:p>
        </w:tc>
        <w:tc>
          <w:tcPr>
            <w:tcW w:w="2640" w:type="dxa"/>
            <w:vAlign w:val="bottom"/>
          </w:tcPr>
          <w:p>
            <w:pPr>
              <w:ind w:left="160"/>
              <w:spacing w:after="0"/>
              <w:rPr>
                <w:sz w:val="20"/>
                <w:szCs w:val="20"/>
                <w:color w:val="auto"/>
              </w:rPr>
            </w:pPr>
            <w:r>
              <w:rPr>
                <w:rFonts w:ascii="Arial" w:cs="Arial" w:eastAsia="Arial" w:hAnsi="Arial"/>
                <w:sz w:val="18"/>
                <w:szCs w:val="18"/>
                <w:color w:val="auto"/>
              </w:rPr>
              <w:t>Board member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Seer Inc. (Nasdaq: SEER)</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Proteomics technology</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1Health</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Diagnostic testing as a service</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Clear Labs</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Food safety molecular</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diagnostics</w:t>
            </w:r>
          </w:p>
        </w:tc>
        <w:tc>
          <w:tcPr>
            <w:tcW w:w="264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Cellanome</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Molecular tools</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Board member</w:t>
            </w:r>
          </w:p>
        </w:tc>
      </w:tr>
      <w:tr>
        <w:trPr>
          <w:trHeight w:val="211"/>
        </w:trPr>
        <w:tc>
          <w:tcPr>
            <w:tcW w:w="2300" w:type="dxa"/>
            <w:vAlign w:val="bottom"/>
          </w:tcPr>
          <w:p>
            <w:pPr>
              <w:spacing w:after="0"/>
              <w:rPr>
                <w:sz w:val="18"/>
                <w:szCs w:val="18"/>
                <w:color w:val="auto"/>
              </w:rPr>
            </w:pPr>
          </w:p>
        </w:tc>
        <w:tc>
          <w:tcPr>
            <w:tcW w:w="3600" w:type="dxa"/>
            <w:vAlign w:val="bottom"/>
          </w:tcPr>
          <w:p>
            <w:pPr>
              <w:ind w:left="940"/>
              <w:spacing w:after="0"/>
              <w:rPr>
                <w:sz w:val="20"/>
                <w:szCs w:val="20"/>
                <w:color w:val="auto"/>
              </w:rPr>
            </w:pPr>
            <w:r>
              <w:rPr>
                <w:rFonts w:ascii="Arial" w:cs="Arial" w:eastAsia="Arial" w:hAnsi="Arial"/>
                <w:sz w:val="18"/>
                <w:szCs w:val="18"/>
                <w:color w:val="auto"/>
              </w:rPr>
              <w:t>XLink Therapeutics</w:t>
            </w:r>
          </w:p>
        </w:tc>
        <w:tc>
          <w:tcPr>
            <w:tcW w:w="2700" w:type="dxa"/>
            <w:vAlign w:val="bottom"/>
          </w:tcPr>
          <w:p>
            <w:pPr>
              <w:ind w:left="140"/>
              <w:spacing w:after="0"/>
              <w:rPr>
                <w:sz w:val="20"/>
                <w:szCs w:val="20"/>
                <w:color w:val="auto"/>
              </w:rPr>
            </w:pPr>
            <w:r>
              <w:rPr>
                <w:rFonts w:ascii="Arial" w:cs="Arial" w:eastAsia="Arial" w:hAnsi="Arial"/>
                <w:sz w:val="18"/>
                <w:szCs w:val="18"/>
                <w:color w:val="auto"/>
              </w:rPr>
              <w:t>Therapeutics</w:t>
            </w:r>
          </w:p>
        </w:tc>
        <w:tc>
          <w:tcPr>
            <w:tcW w:w="2640" w:type="dxa"/>
            <w:vAlign w:val="bottom"/>
          </w:tcPr>
          <w:p>
            <w:pPr>
              <w:ind w:left="160"/>
              <w:spacing w:after="0"/>
              <w:rPr>
                <w:sz w:val="20"/>
                <w:szCs w:val="20"/>
                <w:color w:val="auto"/>
              </w:rPr>
            </w:pPr>
            <w:r>
              <w:rPr>
                <w:rFonts w:ascii="Arial" w:cs="Arial" w:eastAsia="Arial" w:hAnsi="Arial"/>
                <w:sz w:val="18"/>
                <w:szCs w:val="18"/>
                <w:color w:val="auto"/>
              </w:rPr>
              <w:t>Board member</w:t>
            </w:r>
          </w:p>
        </w:tc>
      </w:tr>
      <w:tr>
        <w:trPr>
          <w:trHeight w:val="302"/>
        </w:trPr>
        <w:tc>
          <w:tcPr>
            <w:tcW w:w="2300" w:type="dxa"/>
            <w:vAlign w:val="bottom"/>
          </w:tcPr>
          <w:p>
            <w:pPr>
              <w:spacing w:after="0"/>
              <w:rPr>
                <w:sz w:val="20"/>
                <w:szCs w:val="20"/>
                <w:color w:val="auto"/>
              </w:rPr>
            </w:pPr>
            <w:r>
              <w:rPr>
                <w:rFonts w:ascii="Arial" w:cs="Arial" w:eastAsia="Arial" w:hAnsi="Arial"/>
                <w:sz w:val="18"/>
                <w:szCs w:val="18"/>
                <w:color w:val="auto"/>
              </w:rPr>
              <w:t>Rowan Chapman</w:t>
            </w:r>
          </w:p>
        </w:tc>
        <w:tc>
          <w:tcPr>
            <w:tcW w:w="3600" w:type="dxa"/>
            <w:vAlign w:val="bottom"/>
          </w:tcPr>
          <w:p>
            <w:pPr>
              <w:ind w:left="940"/>
              <w:spacing w:after="0"/>
              <w:rPr>
                <w:sz w:val="20"/>
                <w:szCs w:val="20"/>
                <w:color w:val="auto"/>
              </w:rPr>
            </w:pPr>
            <w:r>
              <w:rPr>
                <w:rFonts w:ascii="Arial" w:cs="Arial" w:eastAsia="Arial" w:hAnsi="Arial"/>
                <w:sz w:val="18"/>
                <w:szCs w:val="18"/>
                <w:color w:val="auto"/>
              </w:rPr>
              <w:t>Natera Inc. (Nasdaq: NTRA)</w:t>
            </w:r>
          </w:p>
        </w:tc>
        <w:tc>
          <w:tcPr>
            <w:tcW w:w="2700" w:type="dxa"/>
            <w:vAlign w:val="bottom"/>
          </w:tcPr>
          <w:p>
            <w:pPr>
              <w:ind w:left="140"/>
              <w:spacing w:after="0"/>
              <w:rPr>
                <w:sz w:val="20"/>
                <w:szCs w:val="20"/>
                <w:color w:val="auto"/>
              </w:rPr>
            </w:pPr>
            <w:r>
              <w:rPr>
                <w:rFonts w:ascii="Arial" w:cs="Arial" w:eastAsia="Arial" w:hAnsi="Arial"/>
                <w:sz w:val="18"/>
                <w:szCs w:val="18"/>
                <w:color w:val="auto"/>
              </w:rPr>
              <w:t>Diagnostics</w:t>
            </w:r>
          </w:p>
        </w:tc>
        <w:tc>
          <w:tcPr>
            <w:tcW w:w="2640" w:type="dxa"/>
            <w:vAlign w:val="bottom"/>
          </w:tcPr>
          <w:p>
            <w:pPr>
              <w:ind w:left="160"/>
              <w:spacing w:after="0"/>
              <w:rPr>
                <w:sz w:val="20"/>
                <w:szCs w:val="20"/>
                <w:color w:val="auto"/>
              </w:rPr>
            </w:pPr>
            <w:r>
              <w:rPr>
                <w:rFonts w:ascii="Arial" w:cs="Arial" w:eastAsia="Arial" w:hAnsi="Arial"/>
                <w:sz w:val="18"/>
                <w:szCs w:val="18"/>
                <w:color w:val="auto"/>
              </w:rPr>
              <w:t>Board member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Evidation Health</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Digital health / data analytics</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300" w:type="dxa"/>
            <w:vAlign w:val="bottom"/>
          </w:tcPr>
          <w:p>
            <w:pPr>
              <w:spacing w:after="0"/>
              <w:rPr>
                <w:sz w:val="17"/>
                <w:szCs w:val="17"/>
                <w:color w:val="auto"/>
              </w:rPr>
            </w:pPr>
          </w:p>
        </w:tc>
        <w:tc>
          <w:tcPr>
            <w:tcW w:w="3600" w:type="dxa"/>
            <w:vAlign w:val="bottom"/>
          </w:tcPr>
          <w:p>
            <w:pPr>
              <w:ind w:left="940"/>
              <w:spacing w:after="0" w:line="202" w:lineRule="exact"/>
              <w:rPr>
                <w:sz w:val="20"/>
                <w:szCs w:val="20"/>
                <w:color w:val="auto"/>
              </w:rPr>
            </w:pPr>
            <w:r>
              <w:rPr>
                <w:rFonts w:ascii="Arial" w:cs="Arial" w:eastAsia="Arial" w:hAnsi="Arial"/>
                <w:sz w:val="18"/>
                <w:szCs w:val="18"/>
                <w:color w:val="auto"/>
              </w:rPr>
              <w:t>Initiate Studios LLC</w:t>
            </w:r>
          </w:p>
        </w:tc>
        <w:tc>
          <w:tcPr>
            <w:tcW w:w="2700" w:type="dxa"/>
            <w:vAlign w:val="bottom"/>
          </w:tcPr>
          <w:p>
            <w:pPr>
              <w:ind w:left="140"/>
              <w:spacing w:after="0" w:line="202" w:lineRule="exact"/>
              <w:rPr>
                <w:sz w:val="20"/>
                <w:szCs w:val="20"/>
                <w:color w:val="auto"/>
              </w:rPr>
            </w:pPr>
            <w:r>
              <w:rPr>
                <w:rFonts w:ascii="Arial" w:cs="Arial" w:eastAsia="Arial" w:hAnsi="Arial"/>
                <w:sz w:val="18"/>
                <w:szCs w:val="18"/>
                <w:color w:val="auto"/>
              </w:rPr>
              <w:t>Pre-seed stage company</w:t>
            </w:r>
          </w:p>
        </w:tc>
        <w:tc>
          <w:tcPr>
            <w:tcW w:w="2640" w:type="dxa"/>
            <w:vAlign w:val="bottom"/>
          </w:tcPr>
          <w:p>
            <w:pPr>
              <w:ind w:left="160"/>
              <w:spacing w:after="0" w:line="202" w:lineRule="exact"/>
              <w:rPr>
                <w:sz w:val="20"/>
                <w:szCs w:val="20"/>
                <w:color w:val="auto"/>
              </w:rPr>
            </w:pPr>
            <w:r>
              <w:rPr>
                <w:rFonts w:ascii="Arial" w:cs="Arial" w:eastAsia="Arial" w:hAnsi="Arial"/>
                <w:sz w:val="18"/>
                <w:szCs w:val="18"/>
                <w:color w:val="auto"/>
              </w:rPr>
              <w:t>Co-Founder/Manager CEO/</w:t>
            </w:r>
          </w:p>
        </w:tc>
      </w:tr>
      <w:tr>
        <w:trPr>
          <w:trHeight w:val="211"/>
        </w:trPr>
        <w:tc>
          <w:tcPr>
            <w:tcW w:w="2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Accelerator</w:t>
            </w:r>
          </w:p>
        </w:tc>
        <w:tc>
          <w:tcPr>
            <w:tcW w:w="2640" w:type="dxa"/>
            <w:vAlign w:val="bottom"/>
          </w:tcPr>
          <w:p>
            <w:pPr>
              <w:ind w:left="160"/>
              <w:spacing w:after="0"/>
              <w:rPr>
                <w:sz w:val="20"/>
                <w:szCs w:val="20"/>
                <w:color w:val="auto"/>
              </w:rPr>
            </w:pPr>
            <w:r>
              <w:rPr>
                <w:rFonts w:ascii="Arial" w:cs="Arial" w:eastAsia="Arial" w:hAnsi="Arial"/>
                <w:sz w:val="18"/>
                <w:szCs w:val="18"/>
                <w:color w:val="auto"/>
              </w:rPr>
              <w:t>Secretary</w:t>
            </w: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Mark Afrasiabi</w:t>
            </w:r>
          </w:p>
        </w:tc>
        <w:tc>
          <w:tcPr>
            <w:tcW w:w="3600" w:type="dxa"/>
            <w:vAlign w:val="bottom"/>
          </w:tcPr>
          <w:p>
            <w:pPr>
              <w:ind w:left="940"/>
              <w:spacing w:after="0"/>
              <w:rPr>
                <w:sz w:val="20"/>
                <w:szCs w:val="20"/>
                <w:color w:val="auto"/>
              </w:rPr>
            </w:pPr>
            <w:r>
              <w:rPr>
                <w:rFonts w:ascii="Arial" w:cs="Arial" w:eastAsia="Arial" w:hAnsi="Arial"/>
                <w:sz w:val="18"/>
                <w:szCs w:val="18"/>
                <w:color w:val="auto"/>
              </w:rPr>
              <w:t>Orange Grove Bio</w:t>
            </w:r>
          </w:p>
        </w:tc>
        <w:tc>
          <w:tcPr>
            <w:tcW w:w="2700" w:type="dxa"/>
            <w:vAlign w:val="bottom"/>
          </w:tcPr>
          <w:p>
            <w:pPr>
              <w:ind w:left="140"/>
              <w:spacing w:after="0"/>
              <w:rPr>
                <w:sz w:val="20"/>
                <w:szCs w:val="20"/>
                <w:color w:val="auto"/>
              </w:rPr>
            </w:pPr>
            <w:r>
              <w:rPr>
                <w:rFonts w:ascii="Arial" w:cs="Arial" w:eastAsia="Arial" w:hAnsi="Arial"/>
                <w:sz w:val="18"/>
                <w:szCs w:val="18"/>
                <w:color w:val="auto"/>
              </w:rPr>
              <w:t>Biotech holding company</w:t>
            </w:r>
          </w:p>
        </w:tc>
        <w:tc>
          <w:tcPr>
            <w:tcW w:w="2640" w:type="dxa"/>
            <w:vAlign w:val="bottom"/>
          </w:tcPr>
          <w:p>
            <w:pPr>
              <w:ind w:left="160"/>
              <w:spacing w:after="0"/>
              <w:rPr>
                <w:sz w:val="20"/>
                <w:szCs w:val="20"/>
                <w:color w:val="auto"/>
              </w:rPr>
            </w:pPr>
            <w:r>
              <w:rPr>
                <w:rFonts w:ascii="Arial" w:cs="Arial" w:eastAsia="Arial" w:hAnsi="Arial"/>
                <w:sz w:val="18"/>
                <w:szCs w:val="18"/>
                <w:color w:val="auto"/>
              </w:rPr>
              <w:t>Advisory Board member</w:t>
            </w:r>
          </w:p>
        </w:tc>
      </w:tr>
      <w:tr>
        <w:trPr>
          <w:trHeight w:val="351"/>
        </w:trPr>
        <w:tc>
          <w:tcPr>
            <w:tcW w:w="2300" w:type="dxa"/>
            <w:vAlign w:val="bottom"/>
          </w:tcPr>
          <w:p>
            <w:pPr>
              <w:spacing w:after="0"/>
              <w:rPr>
                <w:sz w:val="24"/>
                <w:szCs w:val="24"/>
                <w:color w:val="auto"/>
              </w:rPr>
            </w:pPr>
          </w:p>
        </w:tc>
        <w:tc>
          <w:tcPr>
            <w:tcW w:w="3600" w:type="dxa"/>
            <w:vAlign w:val="bottom"/>
          </w:tcPr>
          <w:p>
            <w:pPr>
              <w:ind w:left="3180"/>
              <w:spacing w:after="0"/>
              <w:rPr>
                <w:sz w:val="20"/>
                <w:szCs w:val="20"/>
                <w:color w:val="auto"/>
              </w:rPr>
            </w:pPr>
            <w:r>
              <w:rPr>
                <w:rFonts w:ascii="Arial" w:cs="Arial" w:eastAsia="Arial" w:hAnsi="Arial"/>
                <w:sz w:val="18"/>
                <w:szCs w:val="18"/>
                <w:color w:val="auto"/>
              </w:rPr>
              <w:t>129</w:t>
            </w:r>
          </w:p>
        </w:tc>
        <w:tc>
          <w:tcPr>
            <w:tcW w:w="27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Individual</w:t>
            </w:r>
          </w:p>
        </w:tc>
        <w:tc>
          <w:tcPr>
            <w:tcW w:w="37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Entity</w:t>
            </w:r>
          </w:p>
        </w:tc>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Entity’s business</w:t>
            </w:r>
          </w:p>
        </w:tc>
        <w:tc>
          <w:tcPr>
            <w:tcW w:w="26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Affiliation</w:t>
            </w:r>
          </w:p>
        </w:tc>
      </w:tr>
      <w:tr>
        <w:trPr>
          <w:trHeight w:val="240"/>
        </w:trPr>
        <w:tc>
          <w:tcPr>
            <w:tcW w:w="2160" w:type="dxa"/>
            <w:vAlign w:val="bottom"/>
          </w:tcPr>
          <w:p>
            <w:pPr>
              <w:spacing w:after="0"/>
              <w:rPr>
                <w:sz w:val="20"/>
                <w:szCs w:val="20"/>
                <w:color w:val="auto"/>
              </w:rPr>
            </w:pPr>
            <w:r>
              <w:rPr>
                <w:rFonts w:ascii="Arial" w:cs="Arial" w:eastAsia="Arial" w:hAnsi="Arial"/>
                <w:sz w:val="18"/>
                <w:szCs w:val="18"/>
                <w:color w:val="auto"/>
              </w:rPr>
              <w:t>David Epstein</w:t>
            </w:r>
          </w:p>
        </w:tc>
        <w:tc>
          <w:tcPr>
            <w:tcW w:w="3700" w:type="dxa"/>
            <w:vAlign w:val="bottom"/>
          </w:tcPr>
          <w:p>
            <w:pPr>
              <w:ind w:left="1080"/>
              <w:spacing w:after="0"/>
              <w:rPr>
                <w:sz w:val="20"/>
                <w:szCs w:val="20"/>
                <w:color w:val="auto"/>
              </w:rPr>
            </w:pPr>
            <w:r>
              <w:rPr>
                <w:rFonts w:ascii="Arial" w:cs="Arial" w:eastAsia="Arial" w:hAnsi="Arial"/>
                <w:sz w:val="18"/>
                <w:szCs w:val="18"/>
                <w:color w:val="auto"/>
              </w:rPr>
              <w:t>Flagship Pioneering</w:t>
            </w:r>
          </w:p>
        </w:tc>
        <w:tc>
          <w:tcPr>
            <w:tcW w:w="2780" w:type="dxa"/>
            <w:vAlign w:val="bottom"/>
          </w:tcPr>
          <w:p>
            <w:pPr>
              <w:ind w:left="180"/>
              <w:spacing w:after="0"/>
              <w:rPr>
                <w:sz w:val="20"/>
                <w:szCs w:val="20"/>
                <w:color w:val="auto"/>
              </w:rPr>
            </w:pPr>
            <w:r>
              <w:rPr>
                <w:rFonts w:ascii="Arial" w:cs="Arial" w:eastAsia="Arial" w:hAnsi="Arial"/>
                <w:sz w:val="18"/>
                <w:szCs w:val="18"/>
                <w:color w:val="auto"/>
              </w:rPr>
              <w:t>Venture Capital</w:t>
            </w:r>
          </w:p>
        </w:tc>
        <w:tc>
          <w:tcPr>
            <w:tcW w:w="2600" w:type="dxa"/>
            <w:vAlign w:val="bottom"/>
          </w:tcPr>
          <w:p>
            <w:pPr>
              <w:ind w:left="120"/>
              <w:spacing w:after="0"/>
              <w:rPr>
                <w:sz w:val="20"/>
                <w:szCs w:val="20"/>
                <w:color w:val="auto"/>
              </w:rPr>
            </w:pPr>
            <w:r>
              <w:rPr>
                <w:rFonts w:ascii="Arial" w:cs="Arial" w:eastAsia="Arial" w:hAnsi="Arial"/>
                <w:sz w:val="18"/>
                <w:szCs w:val="18"/>
                <w:color w:val="auto"/>
              </w:rPr>
              <w:t>Executive Partner</w:t>
            </w:r>
          </w:p>
        </w:tc>
      </w:tr>
      <w:tr>
        <w:trPr>
          <w:trHeight w:val="202"/>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Axcella Health (Nasdaq: AXLA)</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Biotech / Drug discovery</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Rubius (Nasdaq: RUBY)</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Biotech / Drug discovery</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Evelo Biosciences (Nasdaq:</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Biotech / Drug discovery</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EVLO)</w:t>
            </w:r>
          </w:p>
        </w:tc>
        <w:tc>
          <w:tcPr>
            <w:tcW w:w="278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Tarus Therapeutics</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Therapeutics</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Valo Health</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Biotech / Drug Discovery</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11"/>
        </w:trPr>
        <w:tc>
          <w:tcPr>
            <w:tcW w:w="2160" w:type="dxa"/>
            <w:vAlign w:val="bottom"/>
          </w:tcPr>
          <w:p>
            <w:pPr>
              <w:spacing w:after="0"/>
              <w:rPr>
                <w:sz w:val="18"/>
                <w:szCs w:val="18"/>
                <w:color w:val="auto"/>
              </w:rPr>
            </w:pPr>
          </w:p>
        </w:tc>
        <w:tc>
          <w:tcPr>
            <w:tcW w:w="3700" w:type="dxa"/>
            <w:vAlign w:val="bottom"/>
          </w:tcPr>
          <w:p>
            <w:pPr>
              <w:ind w:left="1080"/>
              <w:spacing w:after="0"/>
              <w:rPr>
                <w:sz w:val="20"/>
                <w:szCs w:val="20"/>
                <w:color w:val="auto"/>
              </w:rPr>
            </w:pPr>
            <w:r>
              <w:rPr>
                <w:rFonts w:ascii="Arial" w:cs="Arial" w:eastAsia="Arial" w:hAnsi="Arial"/>
                <w:sz w:val="18"/>
                <w:szCs w:val="18"/>
                <w:color w:val="auto"/>
              </w:rPr>
              <w:t>Woolsey Pharma</w:t>
            </w:r>
          </w:p>
        </w:tc>
        <w:tc>
          <w:tcPr>
            <w:tcW w:w="2780" w:type="dxa"/>
            <w:vAlign w:val="bottom"/>
          </w:tcPr>
          <w:p>
            <w:pPr>
              <w:ind w:left="180"/>
              <w:spacing w:after="0"/>
              <w:rPr>
                <w:sz w:val="20"/>
                <w:szCs w:val="20"/>
                <w:color w:val="auto"/>
              </w:rPr>
            </w:pPr>
            <w:r>
              <w:rPr>
                <w:rFonts w:ascii="Arial" w:cs="Arial" w:eastAsia="Arial" w:hAnsi="Arial"/>
                <w:sz w:val="18"/>
                <w:szCs w:val="18"/>
                <w:color w:val="auto"/>
              </w:rPr>
              <w:t>Biotech / Drug discovery</w:t>
            </w:r>
          </w:p>
        </w:tc>
        <w:tc>
          <w:tcPr>
            <w:tcW w:w="2600" w:type="dxa"/>
            <w:vAlign w:val="bottom"/>
          </w:tcPr>
          <w:p>
            <w:pPr>
              <w:ind w:left="120"/>
              <w:spacing w:after="0"/>
              <w:rPr>
                <w:sz w:val="20"/>
                <w:szCs w:val="20"/>
                <w:color w:val="auto"/>
              </w:rPr>
            </w:pPr>
            <w:r>
              <w:rPr>
                <w:rFonts w:ascii="Arial" w:cs="Arial" w:eastAsia="Arial" w:hAnsi="Arial"/>
                <w:sz w:val="18"/>
                <w:szCs w:val="18"/>
                <w:color w:val="auto"/>
              </w:rPr>
              <w:t>Board member</w:t>
            </w:r>
          </w:p>
        </w:tc>
      </w:tr>
      <w:tr>
        <w:trPr>
          <w:trHeight w:val="302"/>
        </w:trPr>
        <w:tc>
          <w:tcPr>
            <w:tcW w:w="2160" w:type="dxa"/>
            <w:vAlign w:val="bottom"/>
          </w:tcPr>
          <w:p>
            <w:pPr>
              <w:spacing w:after="0"/>
              <w:rPr>
                <w:sz w:val="20"/>
                <w:szCs w:val="20"/>
                <w:color w:val="auto"/>
              </w:rPr>
            </w:pPr>
            <w:r>
              <w:rPr>
                <w:rFonts w:ascii="Arial" w:cs="Arial" w:eastAsia="Arial" w:hAnsi="Arial"/>
                <w:sz w:val="18"/>
                <w:szCs w:val="18"/>
                <w:color w:val="auto"/>
              </w:rPr>
              <w:t>Jay Flatley</w:t>
            </w:r>
          </w:p>
        </w:tc>
        <w:tc>
          <w:tcPr>
            <w:tcW w:w="3700" w:type="dxa"/>
            <w:vAlign w:val="bottom"/>
          </w:tcPr>
          <w:p>
            <w:pPr>
              <w:ind w:left="1080"/>
              <w:spacing w:after="0"/>
              <w:rPr>
                <w:sz w:val="20"/>
                <w:szCs w:val="20"/>
                <w:color w:val="auto"/>
              </w:rPr>
            </w:pPr>
            <w:r>
              <w:rPr>
                <w:rFonts w:ascii="Arial" w:cs="Arial" w:eastAsia="Arial" w:hAnsi="Arial"/>
                <w:sz w:val="18"/>
                <w:szCs w:val="18"/>
                <w:color w:val="auto"/>
              </w:rPr>
              <w:t>Denali (Nasdaq: DNLI)</w:t>
            </w:r>
          </w:p>
        </w:tc>
        <w:tc>
          <w:tcPr>
            <w:tcW w:w="2780" w:type="dxa"/>
            <w:vAlign w:val="bottom"/>
          </w:tcPr>
          <w:p>
            <w:pPr>
              <w:ind w:left="180"/>
              <w:spacing w:after="0"/>
              <w:rPr>
                <w:sz w:val="20"/>
                <w:szCs w:val="20"/>
                <w:color w:val="auto"/>
              </w:rPr>
            </w:pPr>
            <w:r>
              <w:rPr>
                <w:rFonts w:ascii="Arial" w:cs="Arial" w:eastAsia="Arial" w:hAnsi="Arial"/>
                <w:sz w:val="18"/>
                <w:szCs w:val="18"/>
                <w:color w:val="auto"/>
              </w:rPr>
              <w:t>Biotech / Drug discovery</w:t>
            </w:r>
          </w:p>
        </w:tc>
        <w:tc>
          <w:tcPr>
            <w:tcW w:w="2600" w:type="dxa"/>
            <w:vAlign w:val="bottom"/>
          </w:tcPr>
          <w:p>
            <w:pPr>
              <w:ind w:left="120"/>
              <w:spacing w:after="0"/>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Coherent (Nasdaq: COHR)</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Laser-based technologies</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Iridia</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Data storage/ DNA chips</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Chairman</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Salk Institute</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Scientific research institute</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of Trustees</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Wellcome Leap</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Non-profit accelerator</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Chair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Zymergen (Nasdaq: ZY)</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Biomanufacturing / Synthetic</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Chairman</w:t>
            </w:r>
          </w:p>
        </w:tc>
      </w:tr>
      <w:tr>
        <w:trPr>
          <w:trHeight w:val="211"/>
        </w:trPr>
        <w:tc>
          <w:tcPr>
            <w:tcW w:w="2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Biology</w:t>
            </w:r>
          </w:p>
        </w:tc>
        <w:tc>
          <w:tcPr>
            <w:tcW w:w="2600" w:type="dxa"/>
            <w:vAlign w:val="bottom"/>
          </w:tcPr>
          <w:p>
            <w:pPr>
              <w:spacing w:after="0"/>
              <w:rPr>
                <w:sz w:val="18"/>
                <w:szCs w:val="18"/>
                <w:color w:val="auto"/>
              </w:rPr>
            </w:pPr>
          </w:p>
        </w:tc>
      </w:tr>
      <w:tr>
        <w:trPr>
          <w:trHeight w:val="302"/>
        </w:trPr>
        <w:tc>
          <w:tcPr>
            <w:tcW w:w="2160" w:type="dxa"/>
            <w:vAlign w:val="bottom"/>
          </w:tcPr>
          <w:p>
            <w:pPr>
              <w:spacing w:after="0"/>
              <w:rPr>
                <w:sz w:val="20"/>
                <w:szCs w:val="20"/>
                <w:color w:val="auto"/>
              </w:rPr>
            </w:pPr>
            <w:r>
              <w:rPr>
                <w:rFonts w:ascii="Arial" w:cs="Arial" w:eastAsia="Arial" w:hAnsi="Arial"/>
                <w:sz w:val="18"/>
                <w:szCs w:val="18"/>
                <w:color w:val="auto"/>
              </w:rPr>
              <w:t>Deep Nishar</w:t>
            </w:r>
          </w:p>
        </w:tc>
        <w:tc>
          <w:tcPr>
            <w:tcW w:w="3700" w:type="dxa"/>
            <w:vAlign w:val="bottom"/>
          </w:tcPr>
          <w:p>
            <w:pPr>
              <w:ind w:left="1080"/>
              <w:spacing w:after="0"/>
              <w:rPr>
                <w:sz w:val="20"/>
                <w:szCs w:val="20"/>
                <w:color w:val="auto"/>
              </w:rPr>
            </w:pPr>
            <w:r>
              <w:rPr>
                <w:rFonts w:ascii="Arial" w:cs="Arial" w:eastAsia="Arial" w:hAnsi="Arial"/>
                <w:sz w:val="18"/>
                <w:szCs w:val="18"/>
                <w:color w:val="auto"/>
              </w:rPr>
              <w:t>Softbank Vision Fund</w:t>
            </w:r>
          </w:p>
        </w:tc>
        <w:tc>
          <w:tcPr>
            <w:tcW w:w="2780" w:type="dxa"/>
            <w:vAlign w:val="bottom"/>
          </w:tcPr>
          <w:p>
            <w:pPr>
              <w:ind w:left="180"/>
              <w:spacing w:after="0"/>
              <w:rPr>
                <w:sz w:val="20"/>
                <w:szCs w:val="20"/>
                <w:color w:val="auto"/>
              </w:rPr>
            </w:pPr>
            <w:r>
              <w:rPr>
                <w:rFonts w:ascii="Arial" w:cs="Arial" w:eastAsia="Arial" w:hAnsi="Arial"/>
                <w:sz w:val="18"/>
                <w:szCs w:val="18"/>
                <w:color w:val="auto"/>
              </w:rPr>
              <w:t>Venture Capital</w:t>
            </w:r>
          </w:p>
        </w:tc>
        <w:tc>
          <w:tcPr>
            <w:tcW w:w="2600" w:type="dxa"/>
            <w:vAlign w:val="bottom"/>
          </w:tcPr>
          <w:p>
            <w:pPr>
              <w:ind w:left="120"/>
              <w:spacing w:after="0"/>
              <w:rPr>
                <w:sz w:val="20"/>
                <w:szCs w:val="20"/>
                <w:color w:val="auto"/>
              </w:rPr>
            </w:pPr>
            <w:r>
              <w:rPr>
                <w:rFonts w:ascii="Arial" w:cs="Arial" w:eastAsia="Arial" w:hAnsi="Arial"/>
                <w:sz w:val="18"/>
                <w:szCs w:val="18"/>
                <w:color w:val="auto"/>
              </w:rPr>
              <w:t>Senior Managing Partner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Seer Inc. (Nasdaq: SEER)</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Proteomics technology</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Relay Therapeutics, Inc.</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Biotech / Drug discovery</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(Nasdaq: RLAY)</w:t>
            </w:r>
          </w:p>
        </w:tc>
        <w:tc>
          <w:tcPr>
            <w:tcW w:w="278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Vir Biotechnology, Inc.</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Biotech / Drug discovery</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(Nasdaq: VIR)</w:t>
            </w:r>
          </w:p>
        </w:tc>
        <w:tc>
          <w:tcPr>
            <w:tcW w:w="278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Elevate Bio</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Biotech/drug discovery</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Automation Anywhere, Inc.</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Automation software</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Nuro, Inc.</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Robotics</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Fungible, Inc.</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Hardware &amp; software platforms/</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Data centers</w:t>
            </w:r>
          </w:p>
        </w:tc>
        <w:tc>
          <w:tcPr>
            <w:tcW w:w="260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Cohesity Inc.</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Data management</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Improbable Worlds Limited</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Simulation software/Gaming</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03"/>
        </w:trPr>
        <w:tc>
          <w:tcPr>
            <w:tcW w:w="2160" w:type="dxa"/>
            <w:vAlign w:val="bottom"/>
          </w:tcPr>
          <w:p>
            <w:pPr>
              <w:spacing w:after="0"/>
              <w:rPr>
                <w:sz w:val="17"/>
                <w:szCs w:val="17"/>
                <w:color w:val="auto"/>
              </w:rPr>
            </w:pPr>
          </w:p>
        </w:tc>
        <w:tc>
          <w:tcPr>
            <w:tcW w:w="3700" w:type="dxa"/>
            <w:vAlign w:val="bottom"/>
          </w:tcPr>
          <w:p>
            <w:pPr>
              <w:ind w:left="1080"/>
              <w:spacing w:after="0" w:line="202" w:lineRule="exact"/>
              <w:rPr>
                <w:sz w:val="20"/>
                <w:szCs w:val="20"/>
                <w:color w:val="auto"/>
              </w:rPr>
            </w:pPr>
            <w:r>
              <w:rPr>
                <w:rFonts w:ascii="Arial" w:cs="Arial" w:eastAsia="Arial" w:hAnsi="Arial"/>
                <w:sz w:val="18"/>
                <w:szCs w:val="18"/>
                <w:color w:val="auto"/>
              </w:rPr>
              <w:t>Encoded Therapeutics, Inc.</w:t>
            </w:r>
          </w:p>
        </w:tc>
        <w:tc>
          <w:tcPr>
            <w:tcW w:w="2780" w:type="dxa"/>
            <w:vAlign w:val="bottom"/>
          </w:tcPr>
          <w:p>
            <w:pPr>
              <w:ind w:left="180"/>
              <w:spacing w:after="0" w:line="202" w:lineRule="exact"/>
              <w:rPr>
                <w:sz w:val="20"/>
                <w:szCs w:val="20"/>
                <w:color w:val="auto"/>
              </w:rPr>
            </w:pPr>
            <w:r>
              <w:rPr>
                <w:rFonts w:ascii="Arial" w:cs="Arial" w:eastAsia="Arial" w:hAnsi="Arial"/>
                <w:sz w:val="18"/>
                <w:szCs w:val="18"/>
                <w:color w:val="auto"/>
              </w:rPr>
              <w:t>Biotech / Drug</w:t>
            </w:r>
          </w:p>
        </w:tc>
        <w:tc>
          <w:tcPr>
            <w:tcW w:w="2600" w:type="dxa"/>
            <w:vAlign w:val="bottom"/>
          </w:tcPr>
          <w:p>
            <w:pPr>
              <w:ind w:left="120"/>
              <w:spacing w:after="0" w:line="202" w:lineRule="exact"/>
              <w:rPr>
                <w:sz w:val="20"/>
                <w:szCs w:val="20"/>
                <w:color w:val="auto"/>
              </w:rPr>
            </w:pPr>
            <w:r>
              <w:rPr>
                <w:rFonts w:ascii="Arial" w:cs="Arial" w:eastAsia="Arial" w:hAnsi="Arial"/>
                <w:sz w:val="18"/>
                <w:szCs w:val="18"/>
                <w:color w:val="auto"/>
              </w:rPr>
              <w:t>Board member</w:t>
            </w:r>
          </w:p>
        </w:tc>
      </w:tr>
      <w:tr>
        <w:trPr>
          <w:trHeight w:val="211"/>
        </w:trPr>
        <w:tc>
          <w:tcPr>
            <w:tcW w:w="2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discovery</w:t>
            </w:r>
          </w:p>
        </w:tc>
        <w:tc>
          <w:tcPr>
            <w:tcW w:w="2600" w:type="dxa"/>
            <w:vAlign w:val="bottom"/>
          </w:tcPr>
          <w:p>
            <w:pPr>
              <w:spacing w:after="0"/>
              <w:rPr>
                <w:sz w:val="18"/>
                <w:szCs w:val="18"/>
                <w:color w:val="auto"/>
              </w:rPr>
            </w:pPr>
          </w:p>
        </w:tc>
      </w:tr>
      <w:tr>
        <w:trPr>
          <w:trHeight w:val="208"/>
        </w:trPr>
        <w:tc>
          <w:tcPr>
            <w:tcW w:w="2160" w:type="dxa"/>
            <w:vAlign w:val="bottom"/>
          </w:tcPr>
          <w:p>
            <w:pPr>
              <w:spacing w:after="0"/>
              <w:rPr>
                <w:sz w:val="18"/>
                <w:szCs w:val="18"/>
                <w:color w:val="auto"/>
              </w:rPr>
            </w:pPr>
          </w:p>
        </w:tc>
        <w:tc>
          <w:tcPr>
            <w:tcW w:w="3700" w:type="dxa"/>
            <w:vAlign w:val="bottom"/>
          </w:tcPr>
          <w:p>
            <w:pPr>
              <w:ind w:left="1080"/>
              <w:spacing w:after="0"/>
              <w:rPr>
                <w:sz w:val="20"/>
                <w:szCs w:val="20"/>
                <w:color w:val="auto"/>
              </w:rPr>
            </w:pPr>
            <w:r>
              <w:rPr>
                <w:rFonts w:ascii="Arial" w:cs="Arial" w:eastAsia="Arial" w:hAnsi="Arial"/>
                <w:sz w:val="18"/>
                <w:szCs w:val="18"/>
                <w:color w:val="auto"/>
              </w:rPr>
              <w:t>Zymergen (Nasdaq: ZY)</w:t>
            </w:r>
          </w:p>
        </w:tc>
        <w:tc>
          <w:tcPr>
            <w:tcW w:w="2780" w:type="dxa"/>
            <w:vAlign w:val="bottom"/>
          </w:tcPr>
          <w:p>
            <w:pPr>
              <w:ind w:left="180"/>
              <w:spacing w:after="0"/>
              <w:rPr>
                <w:sz w:val="20"/>
                <w:szCs w:val="20"/>
                <w:color w:val="auto"/>
              </w:rPr>
            </w:pPr>
            <w:r>
              <w:rPr>
                <w:rFonts w:ascii="Arial" w:cs="Arial" w:eastAsia="Arial" w:hAnsi="Arial"/>
                <w:sz w:val="18"/>
                <w:szCs w:val="18"/>
                <w:color w:val="auto"/>
              </w:rPr>
              <w:t>Biomanufacturing/</w:t>
            </w:r>
          </w:p>
        </w:tc>
        <w:tc>
          <w:tcPr>
            <w:tcW w:w="2600" w:type="dxa"/>
            <w:vAlign w:val="bottom"/>
          </w:tcPr>
          <w:p>
            <w:pPr>
              <w:ind w:left="120"/>
              <w:spacing w:after="0"/>
              <w:rPr>
                <w:sz w:val="20"/>
                <w:szCs w:val="20"/>
                <w:color w:val="auto"/>
              </w:rPr>
            </w:pPr>
            <w:r>
              <w:rPr>
                <w:rFonts w:ascii="Arial" w:cs="Arial" w:eastAsia="Arial" w:hAnsi="Arial"/>
                <w:sz w:val="18"/>
                <w:szCs w:val="18"/>
                <w:color w:val="auto"/>
              </w:rPr>
              <w:t>Board member</w:t>
            </w:r>
          </w:p>
        </w:tc>
      </w:tr>
      <w:tr>
        <w:trPr>
          <w:trHeight w:val="220"/>
        </w:trPr>
        <w:tc>
          <w:tcPr>
            <w:tcW w:w="21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Synthetic Biology</w:t>
            </w:r>
          </w:p>
        </w:tc>
        <w:tc>
          <w:tcPr>
            <w:tcW w:w="2600" w:type="dxa"/>
            <w:vAlign w:val="bottom"/>
            <w:tcBorders>
              <w:bottom w:val="single" w:sz="8" w:color="auto"/>
            </w:tcBorders>
          </w:tcPr>
          <w:p>
            <w:pPr>
              <w:spacing w:after="0"/>
              <w:rPr>
                <w:sz w:val="19"/>
                <w:szCs w:val="19"/>
                <w:color w:val="auto"/>
              </w:rPr>
            </w:pPr>
          </w:p>
        </w:tc>
      </w:tr>
    </w:tbl>
    <w:p>
      <w:pPr>
        <w:spacing w:after="0" w:line="11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individuals listed in the table above may also be affiliated with and/or owe fiduciary duties to or have contractual obligations to affiliates of the listed entities, including subsidiaries, portfolio companies and other investments and ventures of the listed entities.</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are not prohibited from pursuing an initial business combination or subsequent transaction with a company that is affiliated with our sponsor, officers or directors. In the event we seek to complete our initial business combination or, subject to certain exceptions, subsequent material transactions with a company that is affiliated with our sponsor, officers or directors, we, or a committee of independent directors, to the extent required by applicable law or based upon the direction of our board of directors or a committee thereof, will obtain an opinion from an independent investment banking firm or another entity that commonly renders valuation opinions that such initial business combination or transaction is fair to our company from a financial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or an affiliate of our sponsor up to $10,000 per month for office space, utilities, secretarial and administrative services provided to members of our management team and other expenses and obligations of our sponsor.</w:t>
      </w:r>
    </w:p>
    <w:p>
      <w:pPr>
        <w:spacing w:after="0" w:line="7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pursuant to the letter agreement, our sponsor and each of our officers and directors have agreed to vote any founder shares held by them and any public shares purchased during or after the offering (including in open market and privately negotiated transactions) in favor of our initial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liability and indemnification of officers and directors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amended and restated certificate of incorporation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 (except to the extent they are entitled to funds from the trust account due to their ownership of public shares).</w:t>
      </w:r>
    </w:p>
    <w:p>
      <w:pPr>
        <w:spacing w:after="0" w:line="10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0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Principal stockholders</w:t>
      </w:r>
    </w:p>
    <w:p>
      <w:pPr>
        <w:spacing w:after="0" w:line="157"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the date of this prospectus, and as adjusted to reflect the sale of our Class A common stock offered by this prospectus, and assuming no purchase of shares in this offering, by:</w:t>
      </w:r>
    </w:p>
    <w:p>
      <w:pPr>
        <w:spacing w:after="0" w:line="68"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common stock;</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0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w:t>
      </w:r>
    </w:p>
    <w:p>
      <w:pPr>
        <w:spacing w:after="0" w:line="10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On March 8, 2021, our sponsor paid $25,000, or approximately $0.004 per share, to cover certain offering costs in consideration for 5,750,000 founder shares (of which, 750,000 are subject to forfeiture if the underwriter does not exercise its over-allotment option). In addition, our sponsor has committed, pursuant to a written agreement, to purchase an aggregate of 655,500 shares of Class A common stock (or 715,500 shares if the underwriter’s over-allotment option is exercised in full), at a price of $10.00 per share in a private placement to occur concurrently with the closing of this offering for an aggregate purchase price of $6,555,000 (or $7,155,000 if the over-allotment option is exercised in full) that will close simultaneously with the closing of this offering. Our sponsor has entered into an agreement with us, pursuant to which it has agreed to waive its redemption rights with respect to the private placement shares. Prior to the initial investment in the company of $25,000 by the sponsor, the company had no assets, tangible or intangible. The per-share price of the founder shares was determined by dividing the amount of cash contributed to the company by the number of founder shares issued. The number of shares beneficially owned and post-offering percentages in the following table assume that the underwriter does not exercise its over-allotment option and that there are 25,655,500 shares of common stock, consisting of (i) 20,655,500 shares of Class A common stock and (ii) 5,000,000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480" w:type="dxa"/>
            <w:vAlign w:val="bottom"/>
          </w:tcPr>
          <w:p>
            <w:pPr>
              <w:jc w:val="right"/>
              <w:ind w:right="1032"/>
              <w:spacing w:after="0"/>
              <w:rPr>
                <w:sz w:val="20"/>
                <w:szCs w:val="20"/>
                <w:color w:val="auto"/>
              </w:rPr>
            </w:pPr>
            <w:r>
              <w:rPr>
                <w:rFonts w:ascii="Arial" w:cs="Arial" w:eastAsia="Arial" w:hAnsi="Arial"/>
                <w:sz w:val="18"/>
                <w:szCs w:val="18"/>
                <w:b w:val="1"/>
                <w:bCs w:val="1"/>
                <w:color w:val="auto"/>
              </w:rPr>
              <w:t>Number</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Approximate percentage of</w:t>
            </w:r>
          </w:p>
        </w:tc>
      </w:tr>
      <w:tr>
        <w:trPr>
          <w:trHeight w:val="221"/>
        </w:trPr>
        <w:tc>
          <w:tcPr>
            <w:tcW w:w="5260" w:type="dxa"/>
            <w:vAlign w:val="bottom"/>
          </w:tcPr>
          <w:p>
            <w:pPr>
              <w:spacing w:after="0"/>
              <w:rPr>
                <w:sz w:val="19"/>
                <w:szCs w:val="19"/>
                <w:color w:val="auto"/>
              </w:rPr>
            </w:pPr>
          </w:p>
        </w:tc>
        <w:tc>
          <w:tcPr>
            <w:tcW w:w="3480" w:type="dxa"/>
            <w:vAlign w:val="bottom"/>
          </w:tcPr>
          <w:p>
            <w:pPr>
              <w:jc w:val="right"/>
              <w:ind w:right="1032"/>
              <w:spacing w:after="0"/>
              <w:rPr>
                <w:sz w:val="20"/>
                <w:szCs w:val="20"/>
                <w:color w:val="auto"/>
              </w:rPr>
            </w:pPr>
            <w:r>
              <w:rPr>
                <w:rFonts w:ascii="Arial" w:cs="Arial" w:eastAsia="Arial" w:hAnsi="Arial"/>
                <w:sz w:val="18"/>
                <w:szCs w:val="18"/>
                <w:b w:val="1"/>
                <w:bCs w:val="1"/>
                <w:color w:val="auto"/>
              </w:rPr>
              <w:t>of shares</w:t>
            </w:r>
          </w:p>
        </w:tc>
        <w:tc>
          <w:tcPr>
            <w:tcW w:w="25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outstanding common stock</w:t>
            </w:r>
          </w:p>
        </w:tc>
      </w:tr>
      <w:tr>
        <w:trPr>
          <w:trHeight w:val="177"/>
        </w:trPr>
        <w:tc>
          <w:tcPr>
            <w:tcW w:w="5260" w:type="dxa"/>
            <w:vAlign w:val="bottom"/>
          </w:tcPr>
          <w:p>
            <w:pPr>
              <w:spacing w:after="0"/>
              <w:rPr>
                <w:sz w:val="15"/>
                <w:szCs w:val="15"/>
                <w:color w:val="auto"/>
              </w:rPr>
            </w:pPr>
          </w:p>
        </w:tc>
        <w:tc>
          <w:tcPr>
            <w:tcW w:w="3480" w:type="dxa"/>
            <w:vAlign w:val="bottom"/>
          </w:tcPr>
          <w:p>
            <w:pPr>
              <w:jc w:val="right"/>
              <w:ind w:right="1032"/>
              <w:spacing w:after="0" w:line="177" w:lineRule="exact"/>
              <w:rPr>
                <w:sz w:val="20"/>
                <w:szCs w:val="20"/>
                <w:color w:val="auto"/>
              </w:rPr>
            </w:pPr>
            <w:r>
              <w:rPr>
                <w:rFonts w:ascii="Arial" w:cs="Arial" w:eastAsia="Arial" w:hAnsi="Arial"/>
                <w:sz w:val="18"/>
                <w:szCs w:val="18"/>
                <w:b w:val="1"/>
                <w:bCs w:val="1"/>
                <w:color w:val="auto"/>
              </w:rPr>
              <w:t>beneficially</w:t>
            </w:r>
          </w:p>
        </w:tc>
        <w:tc>
          <w:tcPr>
            <w:tcW w:w="110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rPr>
              <w:t>Before</w:t>
            </w:r>
          </w:p>
        </w:tc>
        <w:tc>
          <w:tcPr>
            <w:tcW w:w="1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owner(1)</w:t>
            </w:r>
          </w:p>
        </w:tc>
        <w:tc>
          <w:tcPr>
            <w:tcW w:w="3480" w:type="dxa"/>
            <w:vAlign w:val="bottom"/>
            <w:tcBorders>
              <w:bottom w:val="single" w:sz="8" w:color="auto"/>
            </w:tcBorders>
          </w:tcPr>
          <w:p>
            <w:pPr>
              <w:jc w:val="right"/>
              <w:ind w:right="1032"/>
              <w:spacing w:after="0"/>
              <w:rPr>
                <w:sz w:val="20"/>
                <w:szCs w:val="20"/>
                <w:color w:val="auto"/>
              </w:rPr>
            </w:pPr>
            <w:r>
              <w:rPr>
                <w:rFonts w:ascii="Arial" w:cs="Arial" w:eastAsia="Arial" w:hAnsi="Arial"/>
                <w:sz w:val="18"/>
                <w:szCs w:val="18"/>
                <w:b w:val="1"/>
                <w:bCs w:val="1"/>
                <w:color w:val="auto"/>
              </w:rPr>
              <w:t>owned(2)(3)(4)</w:t>
            </w: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offering</w:t>
            </w: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After offering</w:t>
            </w: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Dynamics Sponsor LLC (our sponsor)(3)</w:t>
            </w:r>
          </w:p>
        </w:tc>
        <w:tc>
          <w:tcPr>
            <w:tcW w:w="3480" w:type="dxa"/>
            <w:vAlign w:val="bottom"/>
            <w:shd w:val="clear" w:color="auto" w:fill="CCEEFF"/>
          </w:tcPr>
          <w:p>
            <w:pPr>
              <w:jc w:val="right"/>
              <w:ind w:right="1032"/>
              <w:spacing w:after="0" w:line="196" w:lineRule="exact"/>
              <w:rPr>
                <w:sz w:val="20"/>
                <w:szCs w:val="20"/>
                <w:color w:val="auto"/>
              </w:rPr>
            </w:pPr>
            <w:r>
              <w:rPr>
                <w:rFonts w:ascii="Arial" w:cs="Arial" w:eastAsia="Arial" w:hAnsi="Arial"/>
                <w:sz w:val="18"/>
                <w:szCs w:val="18"/>
                <w:color w:val="auto"/>
              </w:rPr>
              <w:t>5,000,000</w:t>
            </w:r>
          </w:p>
        </w:tc>
        <w:tc>
          <w:tcPr>
            <w:tcW w:w="110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22.04%</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Omid Farokhzad(3)(4)</w:t>
            </w:r>
          </w:p>
        </w:tc>
        <w:tc>
          <w:tcPr>
            <w:tcW w:w="3480" w:type="dxa"/>
            <w:vAlign w:val="bottom"/>
          </w:tcPr>
          <w:p>
            <w:pPr>
              <w:jc w:val="right"/>
              <w:ind w:right="1032"/>
              <w:spacing w:after="0" w:line="202" w:lineRule="exact"/>
              <w:rPr>
                <w:sz w:val="20"/>
                <w:szCs w:val="20"/>
                <w:color w:val="auto"/>
              </w:rPr>
            </w:pPr>
            <w:r>
              <w:rPr>
                <w:rFonts w:ascii="Arial" w:cs="Arial" w:eastAsia="Arial" w:hAnsi="Arial"/>
                <w:sz w:val="18"/>
                <w:szCs w:val="18"/>
                <w:color w:val="auto"/>
              </w:rPr>
              <w:t>5,000,000</w:t>
            </w:r>
          </w:p>
        </w:tc>
        <w:tc>
          <w:tcPr>
            <w:tcW w:w="11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22.04%</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Mostafa Ronaghi(3)</w:t>
            </w:r>
          </w:p>
        </w:tc>
        <w:tc>
          <w:tcPr>
            <w:tcW w:w="3480" w:type="dxa"/>
            <w:vAlign w:val="bottom"/>
            <w:shd w:val="clear" w:color="auto" w:fill="CCEEFF"/>
          </w:tcPr>
          <w:p>
            <w:pPr>
              <w:jc w:val="right"/>
              <w:ind w:right="1032"/>
              <w:spacing w:after="0" w:line="202" w:lineRule="exact"/>
              <w:rPr>
                <w:sz w:val="20"/>
                <w:szCs w:val="20"/>
                <w:color w:val="auto"/>
              </w:rPr>
            </w:pPr>
            <w:r>
              <w:rPr>
                <w:rFonts w:ascii="Arial" w:cs="Arial" w:eastAsia="Arial" w:hAnsi="Arial"/>
                <w:sz w:val="18"/>
                <w:szCs w:val="18"/>
                <w:color w:val="auto"/>
              </w:rPr>
              <w:t>5,000,000</w:t>
            </w:r>
          </w:p>
        </w:tc>
        <w:tc>
          <w:tcPr>
            <w:tcW w:w="11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22.04%</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Mark Afrasiabi</w:t>
            </w:r>
          </w:p>
        </w:tc>
        <w:tc>
          <w:tcPr>
            <w:tcW w:w="3480" w:type="dxa"/>
            <w:vAlign w:val="bottom"/>
          </w:tcPr>
          <w:p>
            <w:pPr>
              <w:jc w:val="right"/>
              <w:ind w:right="103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Rowan Chapman</w:t>
            </w:r>
          </w:p>
        </w:tc>
        <w:tc>
          <w:tcPr>
            <w:tcW w:w="3480" w:type="dxa"/>
            <w:vAlign w:val="bottom"/>
            <w:shd w:val="clear" w:color="auto" w:fill="CCEEFF"/>
          </w:tcPr>
          <w:p>
            <w:pPr>
              <w:jc w:val="right"/>
              <w:ind w:right="103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Jay Flatley</w:t>
            </w:r>
          </w:p>
        </w:tc>
        <w:tc>
          <w:tcPr>
            <w:tcW w:w="3480" w:type="dxa"/>
            <w:vAlign w:val="bottom"/>
          </w:tcPr>
          <w:p>
            <w:pPr>
              <w:jc w:val="right"/>
              <w:ind w:right="103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2"/>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Epstein</w:t>
            </w:r>
          </w:p>
        </w:tc>
        <w:tc>
          <w:tcPr>
            <w:tcW w:w="3480" w:type="dxa"/>
            <w:vAlign w:val="bottom"/>
            <w:shd w:val="clear" w:color="auto" w:fill="CCEEFF"/>
          </w:tcPr>
          <w:p>
            <w:pPr>
              <w:jc w:val="right"/>
              <w:ind w:right="103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Deep Nishar</w:t>
            </w:r>
          </w:p>
        </w:tc>
        <w:tc>
          <w:tcPr>
            <w:tcW w:w="3480" w:type="dxa"/>
            <w:vAlign w:val="bottom"/>
          </w:tcPr>
          <w:p>
            <w:pPr>
              <w:jc w:val="right"/>
              <w:ind w:right="103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officers and directors as a group (7 individuals)(5)</w:t>
            </w:r>
          </w:p>
        </w:tc>
        <w:tc>
          <w:tcPr>
            <w:tcW w:w="3480" w:type="dxa"/>
            <w:vAlign w:val="bottom"/>
            <w:shd w:val="clear" w:color="auto" w:fill="CCEEFF"/>
          </w:tcPr>
          <w:p>
            <w:pPr>
              <w:jc w:val="right"/>
              <w:ind w:right="1032"/>
              <w:spacing w:after="0" w:line="202" w:lineRule="exact"/>
              <w:rPr>
                <w:sz w:val="20"/>
                <w:szCs w:val="20"/>
                <w:color w:val="auto"/>
              </w:rPr>
            </w:pPr>
            <w:r>
              <w:rPr>
                <w:rFonts w:ascii="Arial" w:cs="Arial" w:eastAsia="Arial" w:hAnsi="Arial"/>
                <w:sz w:val="18"/>
                <w:szCs w:val="18"/>
                <w:color w:val="auto"/>
              </w:rPr>
              <w:t>5,000,000</w:t>
            </w:r>
          </w:p>
        </w:tc>
        <w:tc>
          <w:tcPr>
            <w:tcW w:w="11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100.00%</w:t>
            </w: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22.04%</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6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business address of each of the following entities and individuals is 2875 El Camino Real, Redwood City, CA 94061.</w:t>
      </w:r>
    </w:p>
    <w:p>
      <w:pPr>
        <w:spacing w:after="0" w:line="66" w:lineRule="exact"/>
        <w:rPr>
          <w:rFonts w:ascii="Arial" w:cs="Arial" w:eastAsia="Arial" w:hAnsi="Arial"/>
          <w:sz w:val="13"/>
          <w:szCs w:val="13"/>
          <w:color w:val="auto"/>
        </w:rPr>
      </w:pPr>
    </w:p>
    <w:p>
      <w:pPr>
        <w:jc w:val="both"/>
        <w:ind w:left="340" w:right="240" w:hanging="332"/>
        <w:spacing w:after="0" w:line="248"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Interests shown consist solely of founder shares (assuming the underwriter does not exercise its over-allotment option), classified as Class B common stock. The Class B common stock will automatically convert on a one-for-one basis (subject to adjustment) into Class A common stock at the time of our initial business combination as described in the section entitled “Description of Securities.”</w:t>
      </w:r>
    </w:p>
    <w:p>
      <w:pPr>
        <w:spacing w:after="0" w:line="49" w:lineRule="exact"/>
        <w:rPr>
          <w:rFonts w:ascii="Arial" w:cs="Arial" w:eastAsia="Arial" w:hAnsi="Arial"/>
          <w:sz w:val="13"/>
          <w:szCs w:val="13"/>
          <w:color w:val="auto"/>
        </w:rPr>
      </w:pPr>
    </w:p>
    <w:p>
      <w:pPr>
        <w:ind w:left="340" w:right="340" w:hanging="332"/>
        <w:spacing w:after="0" w:line="258" w:lineRule="auto"/>
        <w:tabs>
          <w:tab w:leader="none" w:pos="3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Omid Farokhzad and Mostafa Ronaghi are the managers of the board of managers of our sponsor and have shared voting and investment discretion with respect to the founders shares held of record by Dynamics Sponsor LLC. Each such person disclaims beneficial ownership of the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140"/>
        <w:spacing w:after="0" w:line="238" w:lineRule="auto"/>
        <w:rPr>
          <w:sz w:val="20"/>
          <w:szCs w:val="20"/>
          <w:color w:val="auto"/>
        </w:rPr>
      </w:pPr>
      <w:r>
        <w:rPr>
          <w:rFonts w:ascii="Arial" w:cs="Arial" w:eastAsia="Arial" w:hAnsi="Arial"/>
          <w:sz w:val="13"/>
          <w:szCs w:val="13"/>
          <w:color w:val="auto"/>
        </w:rPr>
        <w:t>reported shares other than to the extent of any pecuniary interest he may have therein, directly or indirectly. Accordingly, all of the shares held by our sponsor may be deemed to be beneficially owned by Omid Farokhzad and Mostafa Ronaghi. Each of our independent directors owns approximately 1.95% of the outstanding equity of our sponsor.</w:t>
      </w:r>
    </w:p>
    <w:p>
      <w:pPr>
        <w:spacing w:after="0" w:line="1" w:lineRule="exact"/>
        <w:rPr>
          <w:sz w:val="20"/>
          <w:szCs w:val="20"/>
          <w:color w:val="auto"/>
        </w:rPr>
      </w:pPr>
    </w:p>
    <w:p>
      <w:pPr>
        <w:ind w:left="340" w:right="280" w:hanging="332"/>
        <w:spacing w:after="0" w:line="238" w:lineRule="auto"/>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Omid Farokhzad’s beneficial ownership interest in our sponsor is held indirectly through DYNAMICS GROUP, LLC. Mr. Farokhzad controls and is the sole member of DYNAMICS GROUP, LLC.</w:t>
      </w:r>
    </w:p>
    <w:p>
      <w:pPr>
        <w:ind w:left="340" w:hanging="332"/>
        <w:spacing w:after="0"/>
        <w:tabs>
          <w:tab w:leader="none" w:pos="3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of our officers and directors own limited liability company interests of our sponsor.</w:t>
      </w:r>
    </w:p>
    <w:p>
      <w:pPr>
        <w:spacing w:after="0" w:line="1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Immediately after this offering, our initial stockholders will beneficially own approximately 20% of the then issued and outstanding common stock (excluding the private placement shares) and will have the right to appoint all of our directors prior to the completion of our initial business combination. If we increase or decrease the size of this offering, we will effect a share capitalization or a share surrender or other appropriate mechanism, as applicable, with respect to our Class B common stock immediately prior to the consummation of the offering in such amount as to maintain the ownership of our initial stockholders (and their permitted transferees, if any) at 20% of the issued and outstanding common stock (excluding the private placement shares) upon the consummation of this offering. Holders of our public shares will not have the right to appoint any directors to our board of directors prior to the completion of our initial business combination.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0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sponsor and each of our officers and directors have entered into an agreement with us, pursuant to which they have agreed to waive their redemption rights with respect to their founder shares and any public shares purchased during or after this offering in connection with (i) the completion of our initial business combination and (ii) a stockholder vote to approve an amendment to our amended and restated certificate of incorporation (A) that would modify the substance or timing of our obligation to provide holders of our Class A common stock the right to have their shares redeemed in connection with our initial business combination or to redeem 100% of our public shares if we do not complete our initial business combination within 24 months from the closing of this offering or during any Extension Period or (B) with respect to any other provision relating to the rights of holders of our Class A common stock or pre-initial business combination activity. Further, our sponsor and each of our officers and directors have agreed to vote their founder shares and public shares purchased during or after this offering in favor of our initial business combination.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sponsor is deemed to be our “promoter” as such term is defined under the federal securities laws.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Transfers of founder shares and private placement shares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founder shares, private placement shares and any Class A common stock issued upon conversion or exercise thereof are each subject to transfer restrictions pursuant to lock-up provisions in the letter agreement entered into by our sponsor and each of our officers and directors. Our sponsor and each of our officers and directors have agreed not to transfer, assign or sell (i) any of their founder shares until the earliest of</w:t>
      </w:r>
    </w:p>
    <w:p>
      <w:pPr>
        <w:ind w:right="140" w:firstLine="8"/>
        <w:spacing w:after="0" w:line="235" w:lineRule="auto"/>
        <w:tabs>
          <w:tab w:leader="none" w:pos="283"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 year after the completion of our initial business combination and (B) subsequent to our initial business combination, (x) if the closing price of our Class A common stock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stock exchange, reorganization or other similar transaction that results in all of our public stockholders having the right to exchange their common stock for cash, securities or other property, and (ii) any of their private placement shares and Class A common stock issued upon conversion or exercise thereof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320" w:top="459" w:right="3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placement shares or Class A common stock,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stock exchange or other similar transaction which results in all of our public stockholders having the right to exchange their Class A common stock for cash, securities or other property subsequent to our completion of our initial business combination; provided, however, that in the case of clauses (a) through (f) these permitted transferees must enter into a written agreement agreeing to be bound by these transfer restrictions and the other restrictions contained in the letter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9" w:right="3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March 8, 2021, our sponsor paid $25,000, or approximately $0.004 per share, to cover certain offering costs in consideration for 5,750,000 founder shares. The number of founder shares issued was determined based on the expectation that such founder shares would represent 20% of the issued and outstanding shares upon completion of this offering (excluding the private placement shares). Up to 750,000 founder shares held by our sponsor are subject to forfeiture by our sponsor depending on the extent to which the underwriter’s over-allotment option is exercised. The founder shares (including the Class A common stock issuable upon conversion thereof) may not, subject to certain limited exceptions, be transferred, assigned or sold by the holder.</w:t>
      </w:r>
    </w:p>
    <w:p>
      <w:pPr>
        <w:spacing w:after="0" w:line="10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sponsor has committed to purchase 655,500 shares of Class A common stock (or 715,500 shares if the underwriter’s over-allotment option is exercised in full), at a price of $10.00 per share in a private placement to occur concurrently with the closing of this offering for an aggregate purchase price of $6,555,000 (or $7,155,000 if the over-allotment option is exercised in full) that will close simultaneously with the closing of this offering. As such, our sponsor’s interest in this transaction is valued at between $6,555,000 (or $7,155,000, depending on the number of private placement shares purchased. The private placement shares may not, subject to certain limited exceptions, be transferred, assigned or sold by the holder.</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more fully discussed in the section of this prospectus entitled “Management—Conflicts of Interest,” if any of our officers or directors becomes aware of a business combination opportunity that falls within the line of business of any entity to which he or she has then-current fiduciary or contractual obligations, he or she may be required to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partner businesses and performing due diligence on suitable business combinations. Our audit committee will review on a quarterly basis all payments that were made by us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0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Commencing on the date of this prospectus, we will pay our sponsor or an affiliate of our sponsor up to $10,000 per month for office space, utilities, secretarial and administrative support services provided to members of our management team and other expenses and obligations of our sponsor. Upon completion of our initial business combination or our liquidation, we will cease paying these monthly fee.</w:t>
      </w:r>
    </w:p>
    <w:p>
      <w:pPr>
        <w:spacing w:after="0" w:line="10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sponsor may loan us up to $300,000 to be used for a portion of the expenses of this offering pursuant to the promissory note. These loans would be non-interest bearing, unsecured and are due at the earlier of December 31, 2021 and the closing of this offering. The loan will be repaid upon the closing of this offering out of the estimated $1,455,000 of offering proceeds that has been allocated to the payment of offering expenses and that is not held in the trust account.</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320" w:top="459" w:right="3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$2,000,000 of such loans may be convertible into shares at a price of $10.00 per share at the option of the lender. The shares would be identical to the private placement shares. The terms of such loans by our officers and directors, if any, have not been determined and no written agreements exist with respect to such loans. We do not expect to seek loans from parties other than our sponsor, each of our officers and directors or any of their affiliates as we do not believe third parties will be willing to loan such funds and provide a waiver against any and all rights to seek access to funds in our trust account.</w:t>
      </w:r>
    </w:p>
    <w:p>
      <w:pPr>
        <w:spacing w:after="0" w:line="10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After our initial business combination, each of our officers and directors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officer and director compensation.</w:t>
      </w:r>
    </w:p>
    <w:p>
      <w:pPr>
        <w:spacing w:after="0" w:line="7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will enter into a registration and stockholder rights agreement pursuant to which our initial stockholders, and their permitted transferees, if any, will be entitled to certain registration rights with respect to the private placement shares, the securities issuable upon conversion of working capital loans (if any) and the Class A common stock issuable upon exercise of the foregoing and upon conversion of the founder shares.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 policy</w:t>
      </w:r>
    </w:p>
    <w:p>
      <w:pPr>
        <w:spacing w:after="0" w:line="134"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Prior to the consummation of this offering, we will adopt a Code of Business Conduct and Ethics requiring us to avoid, wherever possible, all conflicts of interests, except under guidelines or resolutions approved by our board of directors (or the appropriate committee of our board) or as disclosed in our public filings with the SEC. Under our Code of Business Conduct and Ethics, conflict of interest situations will include any financial transaction, arrangement or relationship (including any indebtedness or guarantee of indebtedness) involving the company.</w:t>
      </w:r>
    </w:p>
    <w:p>
      <w:pPr>
        <w:spacing w:after="0" w:line="10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We also require each of our directors and officers to complete a directors’ and officers’ questionnaire that elicits information about related party transactions.</w:t>
      </w:r>
    </w:p>
    <w:p>
      <w:pPr>
        <w:spacing w:after="0" w:line="7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0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independent directors, to the extent required by applicable law or based upon the direction of our board of directors or a committee thereof, have obtained an opinion from an independent investment banking firm or another entity that commonly renders valuation opinions that such an initial business combination is fair to our company from a financial point of view. No finder’s fees, reimbursements, consulting fee, monies in respect of any payment of a loan or other compensation will be paid by us to our sponsor, officers or directors, or any affiliate of our sponsor, officers or directors, for services rendered to us prior to, or in connection with the consummation of our initial business combination (regardless of the type of transaction that it is).</w:t>
      </w:r>
    </w:p>
    <w:p>
      <w:pPr>
        <w:spacing w:after="0" w:line="10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Our audit committee will review on a quarterly basis all payments that were made by us to our sponsor, officers or directors, or our or their affiliates.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459" w:right="3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securities</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our amended and restated certificate of incorporation, our authorized capital stock will consist of 100,000,000 shares of Class A common stock, $0.0001 par value, 10,000,000 shares of Class B common stock, $0.0001 par value, and 1,000,000 shares of undesignated preferred stock, $0.0001 par value. The following description summarizes the material terms of our capital stock. Because it is only a summary, it may not contain all the information that is important to you.</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Upon the closing of this offering, 25,655,500 shares of our common stock will be outstanding (assuming no exercise of the underwriter’s over-allotment option and the corresponding forfeiture of 750,000 shares of Class B common stock by our sponsor), consisting of:</w:t>
      </w:r>
    </w:p>
    <w:p>
      <w:pPr>
        <w:spacing w:after="0" w:line="110"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20,000,000 shares of Class A common;</w:t>
      </w:r>
    </w:p>
    <w:p>
      <w:pPr>
        <w:ind w:left="220" w:hanging="212"/>
        <w:spacing w:after="0" w:line="234" w:lineRule="auto"/>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655,500 private placement shares issued simultaneously with the closing of this offering; and</w:t>
      </w:r>
    </w:p>
    <w:p>
      <w:pPr>
        <w:ind w:left="220" w:hanging="212"/>
        <w:spacing w:after="0"/>
        <w:tabs>
          <w:tab w:leader="none" w:pos="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5,000,000 shares of Class B common stock held by our initial stockholders.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Common stockholders of record are entitled to one vote for each share held on all matters to be voted on by stockholders. Other than as described below, holders of the Class A common stock and holders of the Class B common stock will vote together as a single class on all matters submitted to a vote of our stockholders, including any vote in connection with our initial business combination,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 Prior to our initial business combination, only holders of our Class B common stock will have the right to vote on the election of directors. In addition, prior to the completion of an initial business combination, holders of a majority of our Class B common stock may remove a member of the board of directors for any reason.</w:t>
      </w:r>
    </w:p>
    <w:p>
      <w:pPr>
        <w:spacing w:after="0" w:line="28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Because our amended and restated certificate of incorporation authorizes the issuance of up to only 100,000,000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 vote on the initial business combination to the extent we seek stockholder approval in connection with our initial business combination.</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will provide our public stockholders with the opportunity to redeem all or a portion of their public shares upon (i) the completion of our initial business combination or (ii) a stockholder vote to approve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Such redemptions, if any, will be made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franchise and income taxes, divided by the number of then outstanding public shares, subject to the limitations described herein. The amount in the trust account is initially anticipated to be approximately $10.00 per public share. The per-share amount we will distribute to investors who properly redeem their shares will not be reduced by the deferred underwriting commission we will pay to the underwriter. Our sponsor and each of our officers and directors have entered into a letter agreement with us, pursuant to which they have agreed to waive their redemption rights with respect to any founder shares and any public shares held by them in connection with the completion of our initial business combination, or a stockholder vote to approve an amendment to our amended and restated certificate of incorporation, as described above.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rules, if a stockholder vote is not required by applicable law or stock exchange rules and we do not decide to hold a stockholder vote for business or other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rules, or we decide to obtain stockholder approval for business or other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200" w:lineRule="exact"/>
        <w:rPr>
          <w:sz w:val="20"/>
          <w:szCs w:val="20"/>
          <w:color w:val="auto"/>
        </w:rPr>
      </w:pPr>
    </w:p>
    <w:p>
      <w:pPr>
        <w:spacing w:after="0" w:line="29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However, the participation of our sponsor, officers, directors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10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will not restrict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As a result, such stockholders will continue to hold that number of shares exceeding 15% and, in order to dispose such shares would be required to sell their stock in open market transactions, potentially at a loss.</w:t>
      </w:r>
    </w:p>
    <w:p>
      <w:pPr>
        <w:spacing w:after="0" w:line="10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and each of our officers and directors have agreed to vote their founder shares and any public shares purchased during or after this offering (including in open market and privately negotiated transactions) in favor of our initial business combination. As a result, assuming all outstanding shares are voted and the underwriter’s over-allotment option is not exercised, in addition to the founder shares, we would need only 7,172,251, or 35.9%, of the 20,000,000 public shares sold in this offering to be voted in favor of an initial business combination in order to have our initial business combination approved. Assuming only the minimum number of shares representing a quorum are voted and the underwriter’s over-allotment option is not exercised, in addition to the founder shares, we would not need any of the 20,000,000 public shares sold in this offering to be voted in favor of an initial business combination in order to have our initial business combination approved. Additionally, each public stockholder may elect to redeem their public shares without voting, and if they do vote, irrespective of whether they vote for or against the proposed business combination (subject to the limitation described in the preceding paragraph).</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our amended and restated certificate of incorporation, if we do not complete our initial business combination within 24 months from the closing of this offering or during any Extension Period,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8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Our sponsor and each of our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24 months from the closing of this offering or during any Extension Period. However, if our sponsor or any of our officers or directors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 and private placement shares</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founder shares are identical to the shares of Class A common stock, and holders of founder shares have the same stockholder rights as public stockholders, except that (i) the founder shares and private placement shares are subject to certain transfer restrictions, as described in more detail below, (ii) our sponsor and each of our officers and directors have entered into a letter agreement with us, pursuant to which they have agreed (A) to waive their redemption rights with respect to any founder shares, private placement shares and any public shares held by them in connection with the completion of our initial business combination, (B) to waive their redemption rights with respect to their founder shares, private placement shares and any public shares held by them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24 months from the closing of this offering or during any Extension Period or (y) with respect to any other provision relating to stockholders’ rights or pre-initial business combination activity and (C) to waive their rights to liquidating distributions from the trust account with respect to any founder shares and private placement shares held by them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such time period, (iii) the Class B common stock will automatically convert into shares of our Class A common stock at the time of our initial business combination, or at any time prior thereto at the option of the holder, on a one-for-one basis, subject to adjustment as described herein, and (iv) are entitled to registration rights. If we submit our initial business combination to our public stockholders for a vote, our sponsor and each of our officers and directors have agreed pursuant to the letter agreement to vote any founder shares and private placement shares held by them and any public shares purchased during or after this offering (including in open market and privately negotiated transactions) in favor of our initial business combination.</w:t>
      </w:r>
    </w:p>
    <w:p>
      <w:pPr>
        <w:spacing w:after="0" w:line="28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shares of Class B common stock will automatically convert into shares of Class A common stock at the time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(i) the total number of all shares of common stock outstanding upon the completion of this offering (excluding the private placement shares), plus (ii) all shares of Class A common stock and equity-linked securities issued or deemed issued in connection with the initial business combination (excluding any shares of Class A common stock or equity-linked securities issued, or to be issued, to any seller in the initial business combination and any private placement shares issued to our sponsor, officers or directors upon conversion of working capital loans). We cannot determine at this time whether a majority of the holders of our Class B common stock at the time of any future issuance would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 (iii) 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Holders of founder shares may also elect to convert their shares of Class B common stock into an equal number of shares of Class A common stock, subject to adjustment as provided above, at any time. Securities could be “deemed issued” for purposes of the conversion rate adjustment if such shares are issuable upon the conversion or exercise of convertible securities, warrants or similar securities.</w:t>
      </w:r>
    </w:p>
    <w:p>
      <w:pPr>
        <w:spacing w:after="0" w:line="10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as applicable, including their respective limited partners) each of whom will be subject to the same transfer restrictions) until the earlier of (A) one year after the completion of our initial business combination or (B) subsequent to our initial business combination, (x) if the last reported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With certain limited exceptions, the private placement shares are not transferable, assignable or salable (except to our officers and directors and other persons or entities affiliated with our sponsor) until 30 days after the completion of our initial business combination.</w:t>
      </w:r>
    </w:p>
    <w:p>
      <w:pPr>
        <w:spacing w:after="0" w:line="1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Prior to our initial business combination, only holders of our Class B common stock will have the right to vote on the election of directors. Holders of our public shares will not be entitled to vote on the election of directors during such time. In addition, prior to the completion of an initial business combination, holders of a majority of our Class B common stock may remove a member of the board of directors for any reason. These provisions of our amended and restated certificate of incorporation may only be amended by a resolution passed by a majority of our Class B common stock. With respect to any other matter submitted to a vote of our stockholders, including any vote in connection with our initial business combination, except as required by law, holders of our Class B common stock and holders of our Class A common stock will vote together as a single class, with each share entitling the holder to one vote.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amended and restated certificate of incorporation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incur any indebtedness, our ability to declare dividends may be limited by restrictive covenants we may agree to in connection therewith.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transfer agent</w:t>
      </w:r>
    </w:p>
    <w:p>
      <w:pPr>
        <w:spacing w:after="0" w:line="13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The transfer agent for our common stock is Continental Stock Transfer &amp; Trust Company. We have agreed to indemnify Continental Stock Transfer &amp; Trust Company in its roles as transfer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amended and restated certificate of incorporation</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(excluding the private placement shares) (assuming they do not purchase any shares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15" w:lineRule="exact"/>
        <w:rPr>
          <w:sz w:val="20"/>
          <w:szCs w:val="20"/>
          <w:color w:val="auto"/>
        </w:rPr>
      </w:pPr>
    </w:p>
    <w:p>
      <w:pPr>
        <w:ind w:left="220" w:right="60" w:hanging="212"/>
        <w:spacing w:after="0" w:line="268" w:lineRule="auto"/>
        <w:tabs>
          <w:tab w:leader="none" w:pos="2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we do not complete our initial business combination within 24 months from the closing of this offering or during any Extension Period,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94" w:lineRule="exact"/>
        <w:rPr>
          <w:rFonts w:ascii="Arial" w:cs="Arial" w:eastAsia="Arial" w:hAnsi="Arial"/>
          <w:sz w:val="16"/>
          <w:szCs w:val="16"/>
          <w:color w:val="auto"/>
        </w:rPr>
      </w:pPr>
    </w:p>
    <w:p>
      <w:pPr>
        <w:ind w:left="220" w:right="560" w:hanging="212"/>
        <w:spacing w:after="0" w:line="239" w:lineRule="auto"/>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or in connection with our initial business combination, we may not issue additional shares of capital stock that would entitle the holders thereof to (i) receive funds from the trust account or (ii) vote on our initial business combination;</w:t>
      </w:r>
    </w:p>
    <w:p>
      <w:pPr>
        <w:spacing w:after="0" w:line="114" w:lineRule="exact"/>
        <w:rPr>
          <w:rFonts w:ascii="Arial" w:cs="Arial" w:eastAsia="Arial" w:hAnsi="Arial"/>
          <w:sz w:val="18"/>
          <w:szCs w:val="18"/>
          <w:color w:val="auto"/>
        </w:rPr>
      </w:pPr>
    </w:p>
    <w:p>
      <w:pPr>
        <w:ind w:left="220" w:hanging="212"/>
        <w:spacing w:after="0" w:line="238" w:lineRule="auto"/>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Although we do not intend to enter into an initial business combination with a target business that is affiliated with our sponsor, officers or directors, we are not prohibited from doing so. In the event we enter into such a transaction, we, or a committee of independent directors, will, to the extent required by applicable law or based upon the direction of our board of directors or a committee thereof, obtain an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320" w:top="459" w:right="3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80"/>
        <w:spacing w:after="0" w:line="239" w:lineRule="auto"/>
        <w:rPr>
          <w:sz w:val="20"/>
          <w:szCs w:val="20"/>
          <w:color w:val="auto"/>
        </w:rPr>
      </w:pPr>
      <w:r>
        <w:rPr>
          <w:rFonts w:ascii="Arial" w:cs="Arial" w:eastAsia="Arial" w:hAnsi="Arial"/>
          <w:sz w:val="18"/>
          <w:szCs w:val="18"/>
          <w:color w:val="auto"/>
        </w:rPr>
        <w:t>opinion from an independent investment banking firm or another entity that commonly renders valuation opinions that such an initial business combination is fair to our company from a financial point of view;</w:t>
      </w:r>
    </w:p>
    <w:p>
      <w:pPr>
        <w:spacing w:after="0" w:line="114" w:lineRule="exact"/>
        <w:rPr>
          <w:sz w:val="20"/>
          <w:szCs w:val="20"/>
          <w:color w:val="auto"/>
        </w:rPr>
      </w:pPr>
    </w:p>
    <w:p>
      <w:pPr>
        <w:ind w:left="220" w:right="20" w:hanging="212"/>
        <w:spacing w:after="0" w:line="271" w:lineRule="auto"/>
        <w:tabs>
          <w:tab w:leader="none" w:pos="2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 stockholder vote on our initial business combination is not required by applicable law or stock exchange rules and we do not decide to hold a stockholder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89" w:lineRule="exact"/>
        <w:rPr>
          <w:rFonts w:ascii="Arial" w:cs="Arial" w:eastAsia="Arial" w:hAnsi="Arial"/>
          <w:sz w:val="16"/>
          <w:szCs w:val="16"/>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initial business combination will be approved by a majority of our independent directors;</w:t>
      </w:r>
    </w:p>
    <w:p>
      <w:pPr>
        <w:spacing w:after="0" w:line="117" w:lineRule="exact"/>
        <w:rPr>
          <w:rFonts w:ascii="Arial" w:cs="Arial" w:eastAsia="Arial" w:hAnsi="Arial"/>
          <w:sz w:val="18"/>
          <w:szCs w:val="18"/>
          <w:color w:val="auto"/>
        </w:rPr>
      </w:pPr>
    </w:p>
    <w:p>
      <w:pPr>
        <w:ind w:left="220" w:right="40" w:hanging="212"/>
        <w:spacing w:after="0" w:line="238" w:lineRule="auto"/>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initial business combination must occur with one or more businesses that together have an aggregate fair market value of at least 80% of the net assets held in the trust account (excluding the deferred underwriting fees and taxes payable) at the time of our signing a definitive agreement in connection with our initial business combination;</w:t>
      </w:r>
    </w:p>
    <w:p>
      <w:pPr>
        <w:spacing w:after="0" w:line="113" w:lineRule="exact"/>
        <w:rPr>
          <w:rFonts w:ascii="Arial" w:cs="Arial" w:eastAsia="Arial" w:hAnsi="Arial"/>
          <w:sz w:val="18"/>
          <w:szCs w:val="18"/>
          <w:color w:val="auto"/>
        </w:rPr>
      </w:pPr>
    </w:p>
    <w:p>
      <w:pPr>
        <w:ind w:left="220" w:right="20" w:hanging="212"/>
        <w:spacing w:after="0" w:line="236" w:lineRule="auto"/>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pre-business combination activity, we will provide our public stockholders with the opportunity to redeem all or a portion of their shares of Class A common stock upon such approval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0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 upon consummation of our initial business combination and after payment of deferred underwriting commissions.</w:t>
      </w:r>
    </w:p>
    <w:p>
      <w:pPr>
        <w:spacing w:after="0" w:line="172" w:lineRule="exact"/>
        <w:rPr>
          <w:sz w:val="20"/>
          <w:szCs w:val="20"/>
          <w:color w:val="auto"/>
        </w:rPr>
      </w:pPr>
    </w:p>
    <w:p>
      <w:pPr>
        <w:ind w:right="260"/>
        <w:spacing w:after="0" w:line="261" w:lineRule="auto"/>
        <w:rPr>
          <w:sz w:val="20"/>
          <w:szCs w:val="20"/>
          <w:color w:val="auto"/>
        </w:rPr>
      </w:pPr>
      <w:r>
        <w:rPr>
          <w:rFonts w:ascii="Arial" w:cs="Arial" w:eastAsia="Arial" w:hAnsi="Arial"/>
          <w:sz w:val="22"/>
          <w:szCs w:val="22"/>
          <w:b w:val="1"/>
          <w:bCs w:val="1"/>
          <w:color w:val="auto"/>
        </w:rPr>
        <w:t>Certain anti-takeover provisions of delaware law and our amended and restated certificate of incorporation and bylaws</w:t>
      </w:r>
    </w:p>
    <w:p>
      <w:pPr>
        <w:spacing w:after="0" w:line="7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amended and restated certificate of incorporation provides that we will not be subject to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3" w:lineRule="exact"/>
        <w:rPr>
          <w:sz w:val="20"/>
          <w:szCs w:val="20"/>
          <w:color w:val="auto"/>
        </w:rPr>
      </w:pPr>
    </w:p>
    <w:p>
      <w:pPr>
        <w:ind w:left="220" w:right="580" w:hanging="212"/>
        <w:spacing w:after="0" w:line="239"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14"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9" w:right="3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40" w:hanging="212"/>
        <w:spacing w:after="0" w:line="239"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01"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02"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Our amended and restated certificate of incorporation provides that the sponsor, its members and its other affiliates, any of its respective direct or indirect transferees who hold at least 15% of our outstanding common stock after such transfer and any group as to which such persons are party to, do not constitute “interested stockholders” for purposes of this provision.</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2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created by the Exchange Act or any other claim for which the federal courts have exclusive jurisdiction. If an action is brought outside of Delaware, the stockholder bringing the suit will be deemed to have consented to service of process on such stockholder’s counsel. Unless we consent in writing to the selection of an alternative forum, the federal district courts of the United States shall be the exclusive forum for any action arising under the Securities Act. Although we believe this provision will benefit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28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amended and restated certificate of incorporation provides that the exclusive forum provision will be applicable to the fullest extent permitted by applicable law. Section 27 of the Exchange Act creates exclusive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320" w:top="459" w:right="3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2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or by either our Chief Executive Officer or our Chairman.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bylaws provide for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will also specify requirements as to the form and content of a stockholder’s notice. Our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2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Subsequent to the consummation of this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amended and restated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eligible for future sale</w:t>
      </w:r>
    </w:p>
    <w:p>
      <w:pPr>
        <w:spacing w:after="0" w:line="1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Immediately after the consummation of this offering (assuming no exercise of the underwriter’s over-allotment option), we will have 25,655,500 (or 29,465,500 if the underwriter’s over- allotment option is exercised in full)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shares of common stock outstanding. Of these shares, the 20,000,000 shares (or 23,000,000 shares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5,000,000 founder shares (or 5,750,000 shares if the underwriter’s over-allotment option is exercised in full), all 655,500 private placement shares (or 715,500 if the underwriter’s over-allotment option is exercised in full) are restricted securities under Rule 144, in that they were issued in private transactions not involving a public offering, and the shares of Class B common stock and private placement shares are subject to transfer restrictions as set forth elsewhere in this prospectus. These restricted securities will be entitled to registration rights as more fully described below under “— Registration and Stockholder Rights.”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Pursuant to Rule 144, a person who has beneficially owned restricted shares of our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Persons who have beneficially owned restricted shares of our common stock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3" w:lineRule="exact"/>
        <w:rPr>
          <w:sz w:val="20"/>
          <w:szCs w:val="20"/>
          <w:color w:val="auto"/>
        </w:rPr>
      </w:pPr>
    </w:p>
    <w:p>
      <w:pPr>
        <w:ind w:left="220" w:right="200" w:hanging="212"/>
        <w:spacing w:after="0" w:line="239"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256,555 shares immediately after this offering (or 294,655 if the underwriter’s over-allotment option is exercised in full); or</w:t>
      </w:r>
    </w:p>
    <w:p>
      <w:pPr>
        <w:spacing w:after="0" w:line="114" w:lineRule="exact"/>
        <w:rPr>
          <w:rFonts w:ascii="Arial" w:cs="Arial" w:eastAsia="Arial" w:hAnsi="Arial"/>
          <w:sz w:val="18"/>
          <w:szCs w:val="18"/>
          <w:color w:val="auto"/>
        </w:rPr>
      </w:pPr>
    </w:p>
    <w:p>
      <w:pPr>
        <w:ind w:left="220" w:right="220" w:hanging="212"/>
        <w:spacing w:after="0" w:line="239" w:lineRule="auto"/>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101"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Restrictions on the use of Rule 144 by shell companies or former shell companies</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13"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17" w:lineRule="exact"/>
        <w:rPr>
          <w:rFonts w:ascii="Arial" w:cs="Arial" w:eastAsia="Arial" w:hAnsi="Arial"/>
          <w:sz w:val="18"/>
          <w:szCs w:val="18"/>
          <w:color w:val="auto"/>
        </w:rPr>
      </w:pPr>
    </w:p>
    <w:p>
      <w:pPr>
        <w:ind w:left="220" w:right="40" w:hanging="212"/>
        <w:spacing w:after="0" w:line="299" w:lineRule="auto"/>
        <w:tabs>
          <w:tab w:leader="none" w:pos="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68" w:lineRule="exact"/>
        <w:rPr>
          <w:rFonts w:ascii="Arial" w:cs="Arial" w:eastAsia="Arial" w:hAnsi="Arial"/>
          <w:sz w:val="16"/>
          <w:szCs w:val="16"/>
          <w:color w:val="auto"/>
        </w:rPr>
      </w:pPr>
    </w:p>
    <w:p>
      <w:pPr>
        <w:ind w:left="220" w:right="20" w:hanging="212"/>
        <w:spacing w:after="0" w:line="239" w:lineRule="auto"/>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As a result, our initial stockholders will be able to sell their founder shares and private placement shares, as applicable, pursuant to Rule 144 without registration one year after we have completed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holders of the founder shares and private placement shares (and any Class A common stock that may be issued upon conversion of working capital loans) will be entitled to registration rights pursuant to a registration and stockholder rights agreement to be signed prior to or on the effective date of this offering. The holders of these securities are entitled to make up to three demands, excluding short form demands, that we register such securities. In addition, the holders will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 of securities</w:t>
      </w:r>
    </w:p>
    <w:p>
      <w:pPr>
        <w:spacing w:after="0" w:line="1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Class A common stock has been approved for listing on Nasdaq under the symbol “DYNS”. We expect that our Class A common stock will begin trading on Nasdaq on or promptly after the date of this prospectus.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 federal income tax considerations</w:t>
      </w:r>
    </w:p>
    <w:p>
      <w:pPr>
        <w:spacing w:after="0" w:line="157"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following is a discussion of material U.S. federal income tax consequences of the ownership and disposition of our shares of Class A common stock.</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discussion is limited to U.S. federal income tax considerations to you if you are a beneficial owner of our Class A common stock that is an initial purchaser of Class A common stock pursuant to this offering and you hold the Class A common stock as a capital asset under the U.S. Internal Revenue Code of 1986, as amended (the “Code”). This discussion assumes that any distributions made (or deemed made) by us on our Class A common stock and any consideration received (or deemed received) by you in consideration for the sale or other disposition of our Class A common stock will be in U.S. dollars. This discussion is a summary only and does not consider all aspects of U.S. federal income taxation that may be relevant to your particular circumstances with respect to your ownership and disposition of a share of Class A common stock if you are subject to special treatment under the U.S. federal income tax laws, including if you are:</w:t>
      </w:r>
    </w:p>
    <w:p>
      <w:pPr>
        <w:spacing w:after="0" w:line="110"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sponsor, founder, officer, or director;</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financial institution;</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dealer in securities or a trader electing mark-to-market tax accounting for your securities;</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government or agency or instrumentality thereof;</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regulated investment company;</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real estate investment trust;</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expatriate or former long-term resident of the United States.;</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insurance company;</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person holding the Class A common stock as part of a “straddle,” integrated transaction or similar transaction;</w:t>
      </w:r>
    </w:p>
    <w:p>
      <w:pPr>
        <w:ind w:left="220" w:hanging="212"/>
        <w:spacing w:after="0" w:line="234" w:lineRule="auto"/>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U.S. person whose functional currency is not the U.S. dollar; or</w:t>
      </w:r>
    </w:p>
    <w:p>
      <w:pPr>
        <w:ind w:left="220" w:hanging="212"/>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Moreover, the discussion below is based upon provisions of the Code, the Treasury regulations promulgated thereunder and administrative and judicial interpretations thereof, all as of the date hereof, which may be repealed, revoked, modified or subjected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any state, local or non-U.S. tax laws.</w:t>
      </w:r>
    </w:p>
    <w:p>
      <w:pPr>
        <w:spacing w:after="0" w:line="103"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non-U.S. taxing jurisdiction.</w:t>
      </w:r>
    </w:p>
    <w:p>
      <w:pPr>
        <w:spacing w:after="0" w:line="7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discussion does not consider the tax treatment of partnerships or other passthrough entities or persons who invest in our Class A common stock through those entities. If you are a partnership (or other entity or arrangement classified as a partnership or other passthrough entity for U.S. federal income tax purposes), the U.S. federal income tax treatment of a partner or member generally will depend on the status of the partner or member and your activities. If you are a partner or member of a partnership or other passthrough entity holding our Class A common stock, we urge you to consult your own tax advisor.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320" w:top="459" w:right="3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DISCUSSION IS ONLY A SUMMARY OF THE U.S. FEDERAL INCOME TAX CONSIDERATIONS ASSOCIATED WITH THE OWNERSHIP AND DISPOSITION OF OUR CLASS A COMMON STOCK. YOU ARE URGED TO CONSULT YOUR OWN TAX ADVISOR WITH RESPECT TO THE PARTICULAR TAX CONSEQUENCES TO YOU OF THE OWNERSHIP AND DISPOSITION OF OUR CLASS A COMMON STOCK, INCLUDING THE APPLICABILITY AND EFFECT OF ANY U.S. FEDERAL NON-INCOME, STATE, LOCAL, AND NON-U.S. TAX LAWS.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Personal holding company status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could be subject to a second level of U.S. federal income tax on a portion of our income if we were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directly or indirectly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were a PHC in a given taxable year, we would be subject to an additional PHC tax, currently 20%, on our undistributed PHC income, which generally includes our taxable income, subject to certain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holders</w:t>
      </w:r>
    </w:p>
    <w:p>
      <w:pPr>
        <w:spacing w:after="0" w:line="1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our shares of Class A common stock and are:</w:t>
      </w:r>
    </w:p>
    <w:p>
      <w:pPr>
        <w:spacing w:after="0" w:line="114"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8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i w:val="1"/>
          <w:iCs w:val="1"/>
          <w:color w:val="auto"/>
        </w:rPr>
        <w:t>Taxation of distributions</w:t>
      </w:r>
      <w:r>
        <w:rPr>
          <w:rFonts w:ascii="Arial" w:cs="Arial" w:eastAsia="Arial" w:hAnsi="Arial"/>
          <w:sz w:val="18"/>
          <w:szCs w:val="18"/>
          <w:color w:val="auto"/>
        </w:rPr>
        <w:t>. If we pay distributions in cash or other property (other than certain distributions of our stock or rights to acquire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with respect to shares of our Class A common stock, those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returns of capital that will be applied against and reduce (but not below zero) your adjusted tax basis in our Class A common stock. Any remaining excess will be treated as gain realized on the sale or other disposition of the Class A common stock and will be treated as described under “—Gain or Loss on Sale, Taxable Exchange or Other Taxable Disposition of Class A Common Stock” below.</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you are a taxable corporation, dividends that we pay generally will qualify for the dividends-received deduction if the requisite holding period is satisfied. With certain exceptions (including, but not limited to, dividends treated as investment income for purposes of investment interest deduction limitations), and provided certain holding period requirements are met, if you are a non-corporate U.S. holder, dividends that we pay may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dividends-received deduction or the preferential tax rate on qualified dividend income, as the case may be.</w:t>
      </w:r>
    </w:p>
    <w:p>
      <w:pPr>
        <w:spacing w:after="0" w:line="8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i w:val="1"/>
          <w:iCs w:val="1"/>
          <w:color w:val="auto"/>
        </w:rPr>
        <w:t>Gain or loss on sale, taxable exchange or other taxable disposition of Class A common stock</w:t>
      </w:r>
      <w:r>
        <w:rPr>
          <w:rFonts w:ascii="Arial" w:cs="Arial" w:eastAsia="Arial" w:hAnsi="Arial"/>
          <w:sz w:val="16"/>
          <w:szCs w:val="16"/>
          <w:color w:val="auto"/>
        </w:rPr>
        <w:t>. Upon a sale or other taxable disposition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which, in general, would include a redemption of Class A common stock that is treated as a sale of that stock as described below, and including as a result of a dissolution and liquidation in the event we do not consummate an initial business combination within the required time period, you generally will recognize capital gain or loss as described below. This capital gain or loss generally will be long-term capital gain or loss if your holding period for the Class A common stock so disposed of exceeds one year. Long-term capital gains recognized by non-corporate U.S. holders will be eligible to be taxed at reduced rates. The deductibility of capital losses is subject to limitations.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Generally, the amount of gain or loss recognized by you will equal the difference between (i) the sum of the amount of cash and the fair market value of any property received in the disposition and (ii) your adjusted tax basis in your Class A common stock so disposed of. Your adjusted tax basis in your Class A common stock generally will equal your acquisition cost increased by prior amounts received in redemption of Class A Common Stock that are treated as dividends under Section 302 (as described below in “—Redemption of Class A Common Stock”) and decreased by any prior distributions treated as returns of capital.</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6"/>
          <w:szCs w:val="16"/>
          <w:i w:val="1"/>
          <w:iCs w:val="1"/>
          <w:color w:val="auto"/>
        </w:rPr>
        <w:t>Redemption of Class A common stock</w:t>
      </w:r>
      <w:r>
        <w:rPr>
          <w:rFonts w:ascii="Arial" w:cs="Arial" w:eastAsia="Arial" w:hAnsi="Arial"/>
          <w:sz w:val="16"/>
          <w:szCs w:val="16"/>
          <w:color w:val="auto"/>
        </w:rPr>
        <w:t>. In the event that your Class A common stock is redeemed pursuant to the redemption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under the section of this prospectus entitled “Description of Securities—Common Stock” or if we purchase your Class A common stock in an open market transaction, the treatment of the transaction for U.S. federal income tax purposes will depend on whether the redemption qualifies as a sale of the Class A common stock under Section 302 of the Code. If the redemption qualifies as a sale of Class A common stock, it will be treated as described under “—Gain or Loss on Sale, Taxable Exchange or Other Taxable Disposition of Class A Common Stock” above. If the redemption does not qualify as a sale of Class A common stock, you will be treated as receiving a corporate distribution with the tax consequences described above under “—Taxation of Distributions.” Whether a redemption qualifies for sale treatment will depend largely on the total number of shares of our stock treated as held by you relative to all of our shares outstanding both before and after the redemption. The redemption of Class A common stock generally will be treated as a sale of the Class A common stock (rather than as a corporate distribution) if the redemption (i) is “substantially disproportionate” with respect to you, (ii) results in a “complete termination” of your interest in us, or (iii) is “not essentially equivalent to a dividend” with respect to you. These tests are explained more fully below.</w:t>
      </w:r>
    </w:p>
    <w:p>
      <w:pPr>
        <w:spacing w:after="0" w:line="28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determining whether any of the foregoing tests is satisfied, you take into account not only stock actually owned by you, but also stock constructively owned by you. You may constructively own, in addition to stock owned directly, stock owned by certain related individuals and entities in which you have an interest or that have an interest in you, as well as any stock you have a right to acquire by exercise of an option. In order to meet the substantially disproportionate test, the percentage of our outstanding voting stock actually and constructively owned by you immediately following the redemption of Class A common stock must, among other requirements, be less than 80% of the percentage of our outstanding voting stock actually and constructively owned by you immediately before the redemption. It is possible that prior to our initial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combination, the Class A common stock might not be treated as voting stock for this purpose and, consequently, this substantially disproportionate test may not be applicable. There will be a complete termination of your interest if either (i) all of the shares of our stock actually and constructively owned by you are redeemed or (ii) all of the shares of our stock actually owned by you are redeemed and you are eligible to waive, and effectively waive in accordance with specific rules, the attribution of stock owned by certain family members and you do not constructively own any other shares of our stock. The redemption of the Class A common stock will not be essentially equivalent to a dividend if the redemption or purchase by us results in a “meaningful reduction” of your proportionate interest in us. Whether the redemption will result in a meaningful reduction of your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You should consult your own tax advisor as to the tax consequences of a redemption.</w:t>
      </w:r>
    </w:p>
    <w:p>
      <w:pPr>
        <w:spacing w:after="0" w:line="10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“—Taxation of Distributions,” above. After the application of those rules, any remaining tax basis in the redeemed Class A common stock will be added to your adjusted tax basis in your remaining stock, or, if you have none, possibly to your adjusted tax basis in other stock constructively owned by you.</w:t>
      </w:r>
    </w:p>
    <w:p>
      <w:pPr>
        <w:spacing w:after="0" w:line="8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In general, information reporting requirements may apply to dividends paid to you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sale or other disposition of our shares of Class A common stock, unless you are an exempt recipient. Backup withholding may apply to these payments if you fail to provide a taxpayer identification number or a certification of exempt status or you have been notified by the IRS that you are subject to backup withholding (and that notification has not been withdrawn).</w:t>
      </w:r>
    </w:p>
    <w:p>
      <w:pPr>
        <w:spacing w:after="0" w:line="9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Any amounts withheld under the backup withholding rules will be allowed as a refund or a credit against your U.S. federal income tax liability, provided the required information is timely furnished to the IRS.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Non-U.S. holders</w:t>
      </w:r>
    </w:p>
    <w:p>
      <w:pPr>
        <w:spacing w:after="0" w:line="13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This section applies to you if you are a “Non-U.S. holder.” As used herein, you are a “Non-U.S. holder” if you are for U.S. federal income tax purposes a beneficial owner of our Class A common stock and:</w:t>
      </w:r>
    </w:p>
    <w:p>
      <w:pPr>
        <w:spacing w:after="0" w:line="114"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non-resident alien individual (other than one of certain former citizens and residents of the U.S. subject to U.S. tax as expatriates);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or trust that is not a U.S. holder as defined above.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You are not a Non-U.S. holder if you are an individual who is present in the United States for 183 days or more in the taxable year of disposition.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you are such an individual, you should consult your tax advisor regarding the U.S. federal income tax consequences of the disposition of our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8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Taxation of distributions</w:t>
      </w:r>
      <w:r>
        <w:rPr>
          <w:rFonts w:ascii="Arial" w:cs="Arial" w:eastAsia="Arial" w:hAnsi="Arial"/>
          <w:sz w:val="18"/>
          <w:szCs w:val="18"/>
          <w:color w:val="auto"/>
        </w:rPr>
        <w:t>. In general, any distributions we make to you on our Class A common stock, to the extent paid out of our current or</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earnings and profits (as determined under U.S. federal income tax principles), will constitute dividends for U.S. federal income tax purposes and, provided they are not effectively connected with your conduct of a trade or business within the United States, tax will be withheld from the gross amount of the dividend at a rate of 30%, unless you are eligible for a reduced rate of withholding tax under an applicable income tax treaty and provide proper certification of your eligibility for</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320" w:top="459" w:right="3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that reduced rate (usually on an IRS Form W-8BEN or W-8BEN-E). Any distribution not constituting a dividend will be treated first as reducing (but not below zero) your adjusted tax basis in your shares of our Class A common stock and, to the extent the distribution exceeds your adjusted tax basis, as gain realized from the sale or other disposition of the Class A common stock, which will be treated as described under “— Gain on Sale, Taxable Exchange or Other Taxable Disposition of Class A Common Stock” below. In addition, if we determine that we are likely to be classified as a “United States real property holding corporation” (see “—Gain on Sale, Taxable Exchange or Other Taxable Disposition of Class A Common Stock” below), we will endeavor to use reasonable efforts to determine if we must withhold 15% of any distribution that exceeds our current and accumulated earnings and profits.</w:t>
      </w:r>
    </w:p>
    <w:p>
      <w:pPr>
        <w:spacing w:after="0" w:line="10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withholding tax does not apply to dividends paid to you that are effectively connected with your conduct of a trade or business within the United States (and, if required by an applicable income tax treaty, are attributable to a U.S. permanent establishment or fixed base maintained by you), although you will generally be required to provide a properly executed IRS Form W-8ECI in order to claim an exemption from withholding. Instead, the effectively connected dividends will be subject to regular U.S. income tax as if you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8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Gain on sale, taxable exchange or other taxable disposition of Class A common stock</w:t>
      </w:r>
      <w:r>
        <w:rPr>
          <w:rFonts w:ascii="Arial" w:cs="Arial" w:eastAsia="Arial" w:hAnsi="Arial"/>
          <w:sz w:val="18"/>
          <w:szCs w:val="18"/>
          <w:color w:val="auto"/>
        </w:rPr>
        <w:t>. You generally will not be subject to U.S. federal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or withholding tax in respect of gain recognized on a sale, taxable exchange or other taxable disposition of our Class A common stock, which would include a dissolution and liquidation in the event we do not complete an initial business combination within 24 months from the closing of this offering, unless:</w:t>
      </w:r>
    </w:p>
    <w:p>
      <w:pPr>
        <w:spacing w:after="0" w:line="111" w:lineRule="exact"/>
        <w:rPr>
          <w:sz w:val="20"/>
          <w:szCs w:val="20"/>
          <w:color w:val="auto"/>
        </w:rPr>
      </w:pPr>
    </w:p>
    <w:p>
      <w:pPr>
        <w:ind w:left="220" w:hanging="212"/>
        <w:spacing w:after="0" w:line="239" w:lineRule="auto"/>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within the United States (and, under an applicable income tax treaty, is attributable to a U.S. permanent establishment or fixed base maintained by you); or</w:t>
      </w:r>
    </w:p>
    <w:p>
      <w:pPr>
        <w:spacing w:after="0" w:line="114" w:lineRule="exact"/>
        <w:rPr>
          <w:rFonts w:ascii="Arial" w:cs="Arial" w:eastAsia="Arial" w:hAnsi="Arial"/>
          <w:sz w:val="18"/>
          <w:szCs w:val="18"/>
          <w:color w:val="auto"/>
        </w:rPr>
      </w:pPr>
    </w:p>
    <w:p>
      <w:pPr>
        <w:ind w:left="220" w:right="20" w:hanging="212"/>
        <w:spacing w:after="0" w:line="236" w:lineRule="auto"/>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and the period that you held our Class A common stock, and, in the event that our Class A common stock is regularly traded on an established securities market at any time during the year of disposition, you have owned, actually or constructively, more than 5% of our Class A common stock at any time within the period described above. There can be no assurance that our Class A common stock will be treated as regularly traded on an established securities market for this purpose.</w:t>
      </w:r>
    </w:p>
    <w:p>
      <w:pPr>
        <w:spacing w:after="0" w:line="103"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you were a U.S. taxpayer. Any gains described in the first bullet point above if you are a foreign corporation may also be subject to an additional “branch profits tax” at a 30% rate (or lower treaty rate).</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the second bullet point above applies to you, gain recognized on the sale, exchange or other disposition of our Class A common stock will be subject to tax at generally applicable U.S. federal income tax rates. In addition, a buyer of our Class A common stock from you may be required to withhold U.S. federal income tax at a rate of 15% of the amount realized upon the disposition. We will be classified as a United States real property holding corporation if the fair market value of our “United States real property interests” equals or exceeds 50% of the sum of the fair market values of our worldwide real property interests and our other assets used or held for use in a trade or business, as determined for U.S. federal income tax purposes. We cannot determine whether we will be a “United States real property holding corporation” in the future until we complete an initial business combination.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320" w:top="459" w:right="3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Redemption of Class A common stock</w:t>
      </w:r>
      <w:r>
        <w:rPr>
          <w:rFonts w:ascii="Arial" w:cs="Arial" w:eastAsia="Arial" w:hAnsi="Arial"/>
          <w:sz w:val="18"/>
          <w:szCs w:val="18"/>
          <w:color w:val="auto"/>
        </w:rPr>
        <w:t>. The characterization for U.S. federal income tax purposes of the redemption of your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pursuant to the redemption provisions described in the section of this prospectus entitled “Description of Securities—Common Stock” generally will correspond to the U.S. federal income tax characterization of a redemption of a U.S. holder’s Class A common stock, as described under “U.S. Holders—Redemption of Class A Common Stock” above, and the consequences of the redemption to you will be as described above under “—Taxation of Distributions” or “—Gain on Sale, Taxable Exchange or Other Taxable Disposition of Class A Common Stock,” as applicable.</w:t>
      </w:r>
    </w:p>
    <w:p>
      <w:pPr>
        <w:spacing w:after="0" w:line="8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 Information returns will be filed with the IRS in connection with payments of dividends,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be filed in connection with the proceeds from a sale or other disposition of our shares of Class A common stock. You may have to comply with certification procedures to establish that you are not a U.S. person in order to avoid backup withholding and certain information reporting requirements. The certification procedures required to claim a reduced rate of withholding under a treaty will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124"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Provisions commonly referred to as “FATCA” impose withholding of 30% on payments of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dispositions of our shares of Class A common stock. Foreign financial institutions located in jurisdictions that have an intergovernmental agreement with the United States governing FATCA may be subject to different rules. Under certain circumstances, you may be eligible for refunds or credits of such withholding taxes, although you may be required to file a U.S. federal income tax return in order to claim such refunds or credits if you are not otherwise required to do so. You should consult your tax advisor regarding the effects of FATCA on your investment in our Class A common stock.</w:t>
      </w: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80"/>
          </w:cols>
          <w:pgMar w:left="320" w:top="459" w:right="3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Under the terms and subject to the conditions contained in an underwriting agreement dated , 2021, we have agreed to sell to the underwriter named below, for whom J.P. Morgan Securities LLC is acting as the representative, the following respective numbers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4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Number of</w:t>
            </w:r>
          </w:p>
        </w:tc>
      </w:tr>
      <w:tr>
        <w:trPr>
          <w:trHeight w:val="203"/>
        </w:trPr>
        <w:tc>
          <w:tcPr>
            <w:tcW w:w="6260" w:type="dxa"/>
            <w:vAlign w:val="bottom"/>
          </w:tcPr>
          <w:p>
            <w:pPr>
              <w:spacing w:after="0"/>
              <w:rPr>
                <w:sz w:val="17"/>
                <w:szCs w:val="17"/>
                <w:color w:val="auto"/>
              </w:rPr>
            </w:pPr>
          </w:p>
        </w:tc>
        <w:tc>
          <w:tcPr>
            <w:tcW w:w="49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shares</w:t>
            </w:r>
          </w:p>
        </w:tc>
      </w:tr>
      <w:tr>
        <w:trPr>
          <w:trHeight w:val="203"/>
        </w:trPr>
        <w:tc>
          <w:tcPr>
            <w:tcW w:w="6260" w:type="dxa"/>
            <w:vAlign w:val="bottom"/>
          </w:tcPr>
          <w:p>
            <w:pPr>
              <w:spacing w:after="0"/>
              <w:rPr>
                <w:sz w:val="17"/>
                <w:szCs w:val="17"/>
                <w:color w:val="auto"/>
              </w:rPr>
            </w:pPr>
          </w:p>
        </w:tc>
        <w:tc>
          <w:tcPr>
            <w:tcW w:w="49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of Class A</w:t>
            </w:r>
          </w:p>
        </w:tc>
      </w:tr>
      <w:tr>
        <w:trPr>
          <w:trHeight w:val="203"/>
        </w:trPr>
        <w:tc>
          <w:tcPr>
            <w:tcW w:w="6260" w:type="dxa"/>
            <w:vAlign w:val="bottom"/>
          </w:tcPr>
          <w:p>
            <w:pPr>
              <w:spacing w:after="0"/>
              <w:rPr>
                <w:sz w:val="17"/>
                <w:szCs w:val="17"/>
                <w:color w:val="auto"/>
              </w:rPr>
            </w:pPr>
          </w:p>
        </w:tc>
        <w:tc>
          <w:tcPr>
            <w:tcW w:w="49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Common</w:t>
            </w:r>
          </w:p>
        </w:tc>
      </w:tr>
      <w:tr>
        <w:trPr>
          <w:trHeight w:val="221"/>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4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Stock</w:t>
            </w:r>
          </w:p>
        </w:tc>
      </w:tr>
      <w:tr>
        <w:trPr>
          <w:trHeight w:val="48"/>
        </w:trPr>
        <w:tc>
          <w:tcPr>
            <w:tcW w:w="6260" w:type="dxa"/>
            <w:vAlign w:val="bottom"/>
          </w:tcPr>
          <w:p>
            <w:pPr>
              <w:spacing w:after="0"/>
              <w:rPr>
                <w:sz w:val="4"/>
                <w:szCs w:val="4"/>
                <w:color w:val="auto"/>
              </w:rPr>
            </w:pPr>
          </w:p>
        </w:tc>
        <w:tc>
          <w:tcPr>
            <w:tcW w:w="4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J.P. Morgan Securities LLC</w:t>
            </w:r>
          </w:p>
        </w:tc>
        <w:tc>
          <w:tcPr>
            <w:tcW w:w="4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8"/>
                <w:szCs w:val="18"/>
                <w:color w:val="auto"/>
              </w:rPr>
            </w:pPr>
          </w:p>
        </w:tc>
      </w:tr>
    </w:tbl>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underwriting agreement provides that the underwriter is obligated to purchase all the shares in this offering if any are purchased, other than those shares covered by the over-allotment option described below.</w:t>
      </w:r>
    </w:p>
    <w:p>
      <w:pPr>
        <w:spacing w:after="0" w:line="101"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have granted to the underwriter a 45-day option from the date of this prospectus to purchase on a pro rata basis up to 3,000,000 additional shares at the initial public offering price, less the underwriting discounts and commissions. The option may be exercised only to cover any over-allotments of shares.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 proposes to offer the shares initially at the public offering price on the cover page of this prospectus and to selling group</w:t>
      </w:r>
    </w:p>
    <w:p>
      <w:pPr>
        <w:spacing w:after="0"/>
        <w:tabs>
          <w:tab w:leader="none" w:pos="4440" w:val="left"/>
        </w:tabs>
        <w:rPr>
          <w:sz w:val="20"/>
          <w:szCs w:val="20"/>
          <w:color w:val="auto"/>
        </w:rPr>
      </w:pPr>
      <w:r>
        <w:rPr>
          <w:rFonts w:ascii="Arial" w:cs="Arial" w:eastAsia="Arial" w:hAnsi="Arial"/>
          <w:sz w:val="18"/>
          <w:szCs w:val="18"/>
          <w:color w:val="auto"/>
        </w:rPr>
        <w:t>members at that price less a selling concession of $</w:t>
      </w:r>
      <w:r>
        <w:rPr>
          <w:sz w:val="20"/>
          <w:szCs w:val="20"/>
          <w:color w:val="auto"/>
        </w:rPr>
        <w:tab/>
      </w:r>
      <w:r>
        <w:rPr>
          <w:rFonts w:ascii="Arial" w:cs="Arial" w:eastAsia="Arial" w:hAnsi="Arial"/>
          <w:sz w:val="16"/>
          <w:szCs w:val="16"/>
          <w:color w:val="auto"/>
        </w:rPr>
        <w:t>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Per share(1)</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Total(1)</w:t>
            </w:r>
          </w:p>
        </w:tc>
      </w:tr>
      <w:tr>
        <w:trPr>
          <w:trHeight w:val="177"/>
        </w:trPr>
        <w:tc>
          <w:tcPr>
            <w:tcW w:w="5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w w:val="98"/>
              </w:rPr>
              <w:t>Without</w:t>
            </w:r>
          </w:p>
        </w:tc>
        <w:tc>
          <w:tcPr>
            <w:tcW w:w="5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With</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top w:val="single" w:sz="8" w:color="auto"/>
            </w:tcBorders>
          </w:tcPr>
          <w:p>
            <w:pPr>
              <w:jc w:val="right"/>
              <w:ind w:right="92"/>
              <w:spacing w:after="0" w:line="177" w:lineRule="exact"/>
              <w:rPr>
                <w:sz w:val="20"/>
                <w:szCs w:val="20"/>
                <w:color w:val="auto"/>
              </w:rPr>
            </w:pPr>
            <w:r>
              <w:rPr>
                <w:rFonts w:ascii="Arial" w:cs="Arial" w:eastAsia="Arial" w:hAnsi="Arial"/>
                <w:sz w:val="18"/>
                <w:szCs w:val="18"/>
                <w:b w:val="1"/>
                <w:bCs w:val="1"/>
                <w:color w:val="auto"/>
              </w:rPr>
              <w:t>Without</w:t>
            </w:r>
          </w:p>
        </w:tc>
        <w:tc>
          <w:tcPr>
            <w:tcW w:w="11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With</w:t>
            </w:r>
          </w:p>
        </w:tc>
        <w:tc>
          <w:tcPr>
            <w:tcW w:w="60" w:type="dxa"/>
            <w:vAlign w:val="bottom"/>
          </w:tcPr>
          <w:p>
            <w:pPr>
              <w:spacing w:after="0"/>
              <w:rPr>
                <w:sz w:val="15"/>
                <w:szCs w:val="15"/>
                <w:color w:val="auto"/>
              </w:rPr>
            </w:pPr>
          </w:p>
        </w:tc>
      </w:tr>
      <w:tr>
        <w:trPr>
          <w:trHeight w:val="202"/>
        </w:trPr>
        <w:tc>
          <w:tcPr>
            <w:tcW w:w="5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over-</w:t>
            </w:r>
          </w:p>
        </w:tc>
        <w:tc>
          <w:tcPr>
            <w:tcW w:w="52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over-</w:t>
            </w:r>
          </w:p>
        </w:tc>
        <w:tc>
          <w:tcPr>
            <w:tcW w:w="180" w:type="dxa"/>
            <w:vAlign w:val="bottom"/>
          </w:tcPr>
          <w:p>
            <w:pPr>
              <w:spacing w:after="0"/>
              <w:rPr>
                <w:sz w:val="17"/>
                <w:szCs w:val="17"/>
                <w:color w:val="auto"/>
              </w:rPr>
            </w:pPr>
          </w:p>
        </w:tc>
        <w:tc>
          <w:tcPr>
            <w:tcW w:w="118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over-</w:t>
            </w: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over-</w:t>
            </w:r>
          </w:p>
        </w:tc>
      </w:tr>
      <w:tr>
        <w:trPr>
          <w:trHeight w:val="221"/>
        </w:trPr>
        <w:tc>
          <w:tcPr>
            <w:tcW w:w="5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allotment</w:t>
            </w: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allotment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allotment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allotment</w:t>
            </w: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Underwriting Discounts and Commissions paid by us</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0.55</w:t>
            </w:r>
          </w:p>
        </w:tc>
        <w:tc>
          <w:tcPr>
            <w:tcW w:w="5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0.55</w:t>
            </w:r>
          </w:p>
        </w:tc>
        <w:tc>
          <w:tcPr>
            <w:tcW w:w="1360" w:type="dxa"/>
            <w:vAlign w:val="bottom"/>
            <w:gridSpan w:val="2"/>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$ 11,000,000</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$ 12,650,000</w:t>
            </w:r>
          </w:p>
        </w:tc>
        <w:tc>
          <w:tcPr>
            <w:tcW w:w="60" w:type="dxa"/>
            <w:vAlign w:val="bottom"/>
            <w:shd w:val="clear" w:color="auto" w:fill="CCEEFF"/>
          </w:tcPr>
          <w:p>
            <w:pPr>
              <w:spacing w:after="0"/>
              <w:rPr>
                <w:sz w:val="17"/>
                <w:szCs w:val="17"/>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60" w:hanging="332"/>
        <w:spacing w:after="0" w:line="245" w:lineRule="auto"/>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Includes $0.35 per share, or $7,000,000 (or $8,050,000 if the over-allotment option is exercised in full) in the aggregate, payable to the underwriter for deferred underwriting commissions to be placed in a trust account located in the United States as described herein. The deferred commissions will be released to the underwriter only on completion of an initial business combination, in an amount equal to $0.35 multiplied by the number of shares of Class A common stock sold as part of the shares in this offering, as described in this prospectus.</w:t>
      </w:r>
    </w:p>
    <w:p>
      <w:pPr>
        <w:spacing w:after="0" w:line="248" w:lineRule="exact"/>
        <w:rPr>
          <w:sz w:val="20"/>
          <w:szCs w:val="20"/>
          <w:color w:val="auto"/>
        </w:rPr>
      </w:pPr>
    </w:p>
    <w:p>
      <w:pPr>
        <w:ind w:right="560"/>
        <w:spacing w:after="0" w:line="299" w:lineRule="auto"/>
        <w:rPr>
          <w:sz w:val="20"/>
          <w:szCs w:val="20"/>
          <w:color w:val="auto"/>
        </w:rPr>
      </w:pPr>
      <w:r>
        <w:rPr>
          <w:rFonts w:ascii="Arial" w:cs="Arial" w:eastAsia="Arial" w:hAnsi="Arial"/>
          <w:sz w:val="16"/>
          <w:szCs w:val="16"/>
          <w:color w:val="auto"/>
        </w:rPr>
        <w:t>We estimate that our out-of-pocket expenses for this offering will be approximately $1,455,000, excluding underwriting discounts and commissions. We have agreed to pay for the FINRA-related fees and expenses of the underwriter’s legal counsel, not to exceed $25,000.</w:t>
      </w:r>
    </w:p>
    <w:p>
      <w:pPr>
        <w:spacing w:after="0" w:line="5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our sponsor and our officers and directors have agreed that we and they will not, subject to certain exceptions, for a period of 180 days after the date of this prospectus, (i) offer, pledge, hedge, sell, contract to sell, sell any option or contract to purchase, purchase any option or contract to sell, grant any option, right or warrant to purchase, lend, or otherwise transfer or dispose of, directly or indirectly, or file with, or submit to, the SEC a registration statement under the Securities Act relating to any shares of common stock, founder shares, or any securities convertible into, or exercisable, or exchangeable for, any common stock, founder shares, or publicly disclose the intention to undertake any of the foregoing, or</w:t>
      </w:r>
    </w:p>
    <w:p>
      <w:pPr>
        <w:spacing w:after="0" w:line="1" w:lineRule="exact"/>
        <w:rPr>
          <w:sz w:val="20"/>
          <w:szCs w:val="20"/>
          <w:color w:val="auto"/>
        </w:rPr>
      </w:pPr>
    </w:p>
    <w:p>
      <w:pPr>
        <w:jc w:val="both"/>
        <w:ind w:right="20" w:firstLine="8"/>
        <w:spacing w:after="0" w:line="236" w:lineRule="auto"/>
        <w:tabs>
          <w:tab w:leader="none" w:pos="2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in whole or in part, any of the economic consequences of ownership of any shares of common stock, founder shares, or any such other securities, whether any such transaction described in clause (i) or (ii) above is to be settled by delivery of shares or such other securities, in cash or otherwise, without the prior written consent of J.P. Morgan, except, in each case, that we may (1) issue and sell the private placement shares; (2) issue and sell the additional shares to cover our underwriter’s over-allotment option (if any); (3) register with the SEC pursuant to an agreement to be entered into concurrently with the issuance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sale of the securities in this offering, the resale of the founder shares, the private placement shares and shares that may be issued upon conversion of working capital loans; and (4) issue securities in connection with our initial business combination. However, the foregoing shall not apply to the forfeiture of any founder shares pursuant to their terms or any transfer of founder shares to current or future independent director of the company (as long as such current or future independent director is subject to the terms of the letter agreement applicable to the initial stockholders with respect to such founder shares at the time of such transfer; and as long as, to the extent any Section 16 reporting obligation is triggered as a result of such transfer, any related Section 16 filing includes a practical explanation of the transfer). J.P. Morgan in its sole discretion may release any of the securities subject to these lock-up agreements at any time without notice.</w:t>
      </w:r>
    </w:p>
    <w:p>
      <w:pPr>
        <w:spacing w:after="0" w:line="10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Our initial stockholders have agreed not to transfer, assign or sell any of their founder shares until the earlier to occur of: (A) one year after the completion of our initial business combination or (B) subsequent to our initial business combination, (x) if the last reported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Class A common stock for cash, securities or other property (except as described under the section of this prospectus entitled “Principal Stockholders—Restrictions on Transfers of Founder Shares and Private Placement Shares”). Any permitted transferees would be subject to the same restrictions and other agreements of our initial stockholders with respect to any founder shares.</w:t>
      </w:r>
    </w:p>
    <w:p>
      <w:pPr>
        <w:spacing w:after="0" w:line="106"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private placement shares (including the Class A common stock issuable upon exercise of the private placement shares) will not be transferable, assignable or salable until 30 days after the completion of our initial business combination (except with respect to permitted transferees as described herein under “Principal Stockholders— Restrictions on Transfers of Founder Shares and Private Placement Shares”).</w:t>
      </w:r>
    </w:p>
    <w:p>
      <w:pPr>
        <w:spacing w:after="0" w:line="6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have agreed to indemnify the underwriter against certain liabilities under the Securities Act, or contribute to payments that the underwriter may be required to make in that respect.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expect our Class A common stock to be listed on Nasdaq, under the symbol “DYNS”.</w:t>
      </w:r>
    </w:p>
    <w:p>
      <w:pPr>
        <w:spacing w:after="0" w:line="104"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shares was determined by negotiations between us and the representatives.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funds and accounts advised by T. Rowe Price Associates, Inc. and certain funds and accounts managed by each of Counterpoint Global (Morgan Stanley Investment Management), D1 Capital Partners Master L.P. and aMoon Fund have indicated an interest in purchasing, severally, an aggregate of approximately $100,000,000 in shares of our Class A common stock in this offering at the initial public offering price. However, because indications of interest are not binding agreements or commitments to purchase, the underwriters may determine to sell more, fewer or no shares in this offering to any or all of these investors, or any or all of these investors may determine to purchase more, fewer or no shares in this offering. The underwriters will receive the same underwriting discount on any shares purchased by these investors as they will on any other shares sold to the public in this offering.</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determination of our per share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Class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common stock will sell in the public market after this offering will not be lower than the initial public offering price or that an active trading market in our Class A common stock will develop and continue after this offering.</w:t>
      </w:r>
    </w:p>
    <w:p>
      <w:pPr>
        <w:spacing w:after="0" w:line="10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trustee and the underwriter have agreed that: (1) they will forfeit any rights or claims to their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stockholders.</w:t>
      </w:r>
    </w:p>
    <w:p>
      <w:pPr>
        <w:spacing w:after="0" w:line="103"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In connection with this offering, the underwriter may engage in stabilizing transactions, over-allotment transactions, syndicate covering transactions and penalty bids in accordance with Regulation M under the Exchange Act.</w:t>
      </w:r>
    </w:p>
    <w:p>
      <w:pPr>
        <w:spacing w:after="0" w:line="114"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17" w:lineRule="exact"/>
        <w:rPr>
          <w:rFonts w:ascii="Arial" w:cs="Arial" w:eastAsia="Arial" w:hAnsi="Arial"/>
          <w:sz w:val="18"/>
          <w:szCs w:val="18"/>
          <w:color w:val="auto"/>
        </w:rPr>
      </w:pPr>
    </w:p>
    <w:p>
      <w:pPr>
        <w:ind w:left="220" w:right="120" w:hanging="212"/>
        <w:spacing w:after="0" w:line="236"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Over-allotment involves sales by the underwriter of shares in excess of the number of shares the underwriter is obligated to purchase, which creates a syndicate short position. The short position may be either a covered short position or a naked short position. In a covered short position, the number of shares over-allotted by the underwriter is not greater than the number of shares that they may purchase in the over-allotment option. In a naked short position, the number of shares involved is greater than the number of shares in the over-allotment option. The underwriter may close out any covered short position by either exercising its over-allotment option and/or purchasing shares in the open market.</w:t>
      </w:r>
    </w:p>
    <w:p>
      <w:pPr>
        <w:spacing w:after="0" w:line="115" w:lineRule="exact"/>
        <w:rPr>
          <w:rFonts w:ascii="Arial" w:cs="Arial" w:eastAsia="Arial" w:hAnsi="Arial"/>
          <w:sz w:val="18"/>
          <w:szCs w:val="18"/>
          <w:color w:val="auto"/>
        </w:rPr>
      </w:pPr>
    </w:p>
    <w:p>
      <w:pPr>
        <w:ind w:left="220" w:hanging="212"/>
        <w:spacing w:after="0" w:line="236"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shares in the open market after the distribution has been completed in order to cover syndicate short positions. In determining the source of shares to close out the short position, the underwriter will consider, among other things, the price of shares available for purchase in the open market as compared to the price at which they may purchase shares through the over-allotment option. If the underwriter sells more shares than could be covered by the over-allotment option,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this offering.</w:t>
      </w:r>
    </w:p>
    <w:p>
      <w:pPr>
        <w:spacing w:after="0" w:line="114" w:lineRule="exact"/>
        <w:rPr>
          <w:rFonts w:ascii="Arial" w:cs="Arial" w:eastAsia="Arial" w:hAnsi="Arial"/>
          <w:sz w:val="18"/>
          <w:szCs w:val="18"/>
          <w:color w:val="auto"/>
        </w:rPr>
      </w:pPr>
    </w:p>
    <w:p>
      <w:pPr>
        <w:ind w:left="220" w:right="540" w:hanging="212"/>
        <w:spacing w:after="0" w:line="239"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shares originally sold by the syndicate member are purchased in a stabilizing or syndicate covering transaction to cover syndicate short positions.</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shares or preventing or retarding a decline in the market price of the shares. As a result, the price of our shares may be higher than the price that might otherwise exist in the open market. These transactions may be effected on Nasdaq or otherwise and, if commenced, may be discontinued at any time.</w:t>
      </w:r>
    </w:p>
    <w:p>
      <w:pPr>
        <w:spacing w:after="0" w:line="10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have not entered into any understanding or arrangement to engage, and are under no contractual obligation to engage, the underwriter to provide any services for us after this offering, but we may do so at our discretion. However, the underwriter for this offering (or its affiliates)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We may also pay the underwriter for this offering (or its affiliates) a finder’s fee or other compensation for services rendered to us in connection with the completion of the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business combination contemplated in this prospectus. Any compensation paid to the underwriter for this offering (or its affiliates) for services provided to us after this offering will be fair and reasonable and determined at that time in an arm’s length negotiation. Any such compensation that is paid to, or any arrangement with respect to the payment of such compensation that is entered into with, such underwriter (or its affiliates) within 60 days from the date of this prospectus, may be considered by FINRA to be compensation with respect to this offering unless otherwise excluded from such characterization under applicable FINRA rules. Because the underwriter for this offering is entitled to the deferred portion of its underwriting compensation only if an initial business combination is completed within the specified timeframe, and any additional compensation to such underwriter (or its affiliates) for the other services described above may also be conditioned on closing of a business combination transaction, the underwriter (and its affiliates) may have a potential conflict of interest in connection with the provision of such services.</w:t>
      </w:r>
    </w:p>
    <w:p>
      <w:pPr>
        <w:spacing w:after="0" w:line="10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underwriter and its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 or selling group members, if any, participating in this offering and the underwriter participating in this offering may distribute prospectuses electronically. The representatives may agree to allocate a number of shares to underwriter and selling group members for sale to their online brokerage account holders. Internet distributions will be allocated by the underwriter and selling group members that will make internet distributions on the same basis as other allocations.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shares are offered for sale in the United States, Europe, Asia and other jurisdictions where it is lawful to make such offers.</w:t>
      </w:r>
    </w:p>
    <w:p>
      <w:pPr>
        <w:spacing w:after="0" w:line="10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underwriter has represented and agreed that it has not offered, sold or delivered and will not offer, sell or deliver any of the shares directly or indirectly, or distribute this prospectus or any other offering material relating to the shares, in or from any jurisdiction except under circumstances that will result in compliance with the applicable laws and regulations thereof and that will not impose any obligations on us except as set forth in the underwriting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Notices to certain international prospective investors</w:t>
      </w:r>
    </w:p>
    <w:p>
      <w:pPr>
        <w:spacing w:after="0" w:line="1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These securities are being offered for sale in the United States and certain jurisdictions outside the United States in which such offer and sale is permitted.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0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0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2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75"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 offer or invitation to subscribe for these securities may be made to the public in the Cayman Islands.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6" w:lineRule="exact"/>
        <w:rPr>
          <w:sz w:val="20"/>
          <w:szCs w:val="20"/>
          <w:color w:val="auto"/>
        </w:rPr>
      </w:pPr>
    </w:p>
    <w:p>
      <w:pPr>
        <w:ind w:left="440" w:hanging="432"/>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440" w:hanging="432"/>
        <w:spacing w:after="0" w:line="239"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14" w:lineRule="exact"/>
        <w:rPr>
          <w:rFonts w:ascii="Arial" w:cs="Arial" w:eastAsia="Arial" w:hAnsi="Arial"/>
          <w:sz w:val="18"/>
          <w:szCs w:val="18"/>
          <w:color w:val="auto"/>
        </w:rPr>
      </w:pPr>
    </w:p>
    <w:p>
      <w:pPr>
        <w:ind w:left="440" w:hanging="432"/>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0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w:t>
      </w:r>
    </w:p>
    <w:p>
      <w:pPr>
        <w:spacing w:after="0" w:line="10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relation to the United Kingdom, no shares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16" w:lineRule="exact"/>
        <w:rPr>
          <w:sz w:val="20"/>
          <w:szCs w:val="20"/>
          <w:color w:val="auto"/>
        </w:rPr>
      </w:pPr>
    </w:p>
    <w:p>
      <w:pPr>
        <w:ind w:left="440" w:hanging="432"/>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17" w:lineRule="exact"/>
        <w:rPr>
          <w:rFonts w:ascii="Arial" w:cs="Arial" w:eastAsia="Arial" w:hAnsi="Arial"/>
          <w:sz w:val="18"/>
          <w:szCs w:val="18"/>
          <w:color w:val="auto"/>
        </w:rPr>
      </w:pPr>
    </w:p>
    <w:p>
      <w:pPr>
        <w:ind w:left="440" w:right="100" w:hanging="432"/>
        <w:spacing w:after="0" w:line="239"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114" w:lineRule="exact"/>
        <w:rPr>
          <w:rFonts w:ascii="Arial" w:cs="Arial" w:eastAsia="Arial" w:hAnsi="Arial"/>
          <w:sz w:val="18"/>
          <w:szCs w:val="18"/>
          <w:color w:val="auto"/>
        </w:rPr>
      </w:pPr>
    </w:p>
    <w:p>
      <w:pPr>
        <w:ind w:left="440" w:hanging="432"/>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(the “FSMA”),</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01" w:lineRule="exact"/>
        <w:rPr>
          <w:sz w:val="20"/>
          <w:szCs w:val="20"/>
          <w:color w:val="auto"/>
        </w:rPr>
      </w:pPr>
    </w:p>
    <w:p>
      <w:pPr>
        <w:ind w:right="1000"/>
        <w:spacing w:after="0" w:line="23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the United Kingdom means the communication in any form and by any means of sufficient information on the terms of the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60"/>
          </w:cols>
          <w:pgMar w:left="320" w:top="459"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440" w:right="160" w:hanging="432"/>
        <w:spacing w:after="0" w:line="238"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any shares in circumstances in which Section 21(1) of the FSMA does not apply to the issuer; and</w:t>
      </w:r>
    </w:p>
    <w:p>
      <w:pPr>
        <w:spacing w:after="0" w:line="113" w:lineRule="exact"/>
        <w:rPr>
          <w:rFonts w:ascii="Arial" w:cs="Arial" w:eastAsia="Arial" w:hAnsi="Arial"/>
          <w:sz w:val="18"/>
          <w:szCs w:val="18"/>
          <w:color w:val="auto"/>
        </w:rPr>
      </w:pPr>
    </w:p>
    <w:p>
      <w:pPr>
        <w:ind w:left="440" w:right="240" w:hanging="432"/>
        <w:spacing w:after="0" w:line="239"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shares in, from or otherwise involving the United Kingdom.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France</w:t>
      </w:r>
    </w:p>
    <w:p>
      <w:pPr>
        <w:spacing w:after="0" w:line="12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Neither this prospectus nor any other offering material relating to the securities described in this prospectus has been submitted to the clearance procedures of the Autorité des Marchés Financiers or by the competent authority of another member state of the European Economic Area and notified to the Autorité des Marchés Financiers.</w:t>
      </w:r>
    </w:p>
    <w:p>
      <w:pPr>
        <w:spacing w:after="0" w:line="10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securities have not been offered or sold and will not be offered or sold, directly or indirectly, to the public in France. Neither this prospectus nor any other offering material relating to the securities has been or will be:</w:t>
      </w:r>
    </w:p>
    <w:p>
      <w:pPr>
        <w:spacing w:after="0" w:line="114"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17" w:lineRule="exact"/>
        <w:rPr>
          <w:rFonts w:ascii="Arial" w:cs="Arial" w:eastAsia="Arial" w:hAnsi="Arial"/>
          <w:sz w:val="18"/>
          <w:szCs w:val="18"/>
          <w:color w:val="auto"/>
        </w:rPr>
      </w:pPr>
    </w:p>
    <w:p>
      <w:pPr>
        <w:ind w:left="220" w:right="220" w:hanging="212"/>
        <w:spacing w:after="0" w:line="239" w:lineRule="auto"/>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securities to the public in France. Such offers, sales and distributions will be made in France only:</w:t>
      </w:r>
    </w:p>
    <w:p>
      <w:pPr>
        <w:spacing w:after="0" w:line="114" w:lineRule="exact"/>
        <w:rPr>
          <w:rFonts w:ascii="Arial" w:cs="Arial" w:eastAsia="Arial" w:hAnsi="Arial"/>
          <w:sz w:val="18"/>
          <w:szCs w:val="18"/>
          <w:color w:val="auto"/>
        </w:rPr>
      </w:pPr>
    </w:p>
    <w:p>
      <w:pPr>
        <w:jc w:val="both"/>
        <w:ind w:left="220" w:right="100" w:hanging="212"/>
        <w:spacing w:after="0" w:line="238" w:lineRule="auto"/>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2" w:lineRule="exact"/>
        <w:rPr>
          <w:rFonts w:ascii="Arial" w:cs="Arial" w:eastAsia="Arial" w:hAnsi="Arial"/>
          <w:sz w:val="18"/>
          <w:szCs w:val="18"/>
          <w:color w:val="auto"/>
        </w:rPr>
      </w:pPr>
    </w:p>
    <w:p>
      <w:pPr>
        <w:ind w:left="220" w:hanging="212"/>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L.411-2-II-1°-or-2°-or </w:t>
      </w:r>
      <w:r>
        <w:rPr>
          <w:rFonts w:ascii="Arial" w:cs="Arial" w:eastAsia="Arial" w:hAnsi="Arial"/>
          <w:sz w:val="20"/>
          <w:szCs w:val="20"/>
          <w:color w:val="auto"/>
        </w:rPr>
        <w:t>3° of the French Code monétaire et financier and article 211-2 of</w:t>
      </w:r>
    </w:p>
    <w:p>
      <w:pPr>
        <w:spacing w:after="0" w:line="31" w:lineRule="exact"/>
        <w:rPr>
          <w:sz w:val="20"/>
          <w:szCs w:val="20"/>
          <w:color w:val="auto"/>
        </w:rPr>
      </w:pPr>
    </w:p>
    <w:p>
      <w:pPr>
        <w:ind w:left="220" w:right="80"/>
        <w:spacing w:after="0" w:line="236" w:lineRule="auto"/>
        <w:rPr>
          <w:sz w:val="20"/>
          <w:szCs w:val="20"/>
          <w:color w:val="auto"/>
        </w:rPr>
      </w:pPr>
      <w:r>
        <w:rPr>
          <w:rFonts w:ascii="Arial" w:cs="Arial" w:eastAsia="Arial" w:hAnsi="Arial"/>
          <w:sz w:val="22"/>
          <w:szCs w:val="22"/>
          <w:color w:val="auto"/>
        </w:rPr>
        <w:t>the General Regulations (Règlement Général) of the Autorité des Marchés Financiers, does not constitute a public offer (appel public à l’épargne).</w:t>
      </w:r>
    </w:p>
    <w:p>
      <w:pPr>
        <w:spacing w:after="0" w:line="10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securities may be resold directly or indirectly, only in compliance with Articles L.411-1, L.411-2, L.412-1 and L.621-8 through L.621-8-3 of the French Code monétaire et financier.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459" w:right="3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Kong) other than with respect to securities which are or are intended to be disposed of only to persons outside Hong Kong or only to “professional investors” as defined in the SFO and any rules made thereunder.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in Section 4A of the Securities and Futures Act (Chapter</w:t>
      </w:r>
    </w:p>
    <w:p>
      <w:pPr>
        <w:jc w:val="both"/>
        <w:ind w:right="40" w:firstLine="8"/>
        <w:spacing w:after="0" w:line="237" w:lineRule="auto"/>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17" w:lineRule="exact"/>
        <w:rPr>
          <w:sz w:val="20"/>
          <w:szCs w:val="20"/>
          <w:color w:val="auto"/>
        </w:rPr>
      </w:pPr>
    </w:p>
    <w:p>
      <w:pPr>
        <w:ind w:left="440" w:hanging="432"/>
        <w:spacing w:after="0" w:line="239"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4" w:lineRule="exact"/>
        <w:rPr>
          <w:rFonts w:ascii="Arial" w:cs="Arial" w:eastAsia="Arial" w:hAnsi="Arial"/>
          <w:sz w:val="18"/>
          <w:szCs w:val="18"/>
          <w:color w:val="auto"/>
        </w:rPr>
      </w:pPr>
    </w:p>
    <w:p>
      <w:pPr>
        <w:ind w:left="440" w:right="80" w:hanging="432"/>
        <w:spacing w:after="0" w:line="275" w:lineRule="auto"/>
        <w:tabs>
          <w:tab w:leader="none" w:pos="4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8" w:lineRule="exact"/>
        <w:rPr>
          <w:rFonts w:ascii="Arial" w:cs="Arial" w:eastAsia="Arial" w:hAnsi="Arial"/>
          <w:sz w:val="16"/>
          <w:szCs w:val="16"/>
          <w:color w:val="auto"/>
        </w:rPr>
      </w:pPr>
    </w:p>
    <w:p>
      <w:pPr>
        <w:ind w:left="1000" w:right="760" w:hanging="547"/>
        <w:spacing w:after="0" w:line="239" w:lineRule="auto"/>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14" w:lineRule="exact"/>
        <w:rPr>
          <w:rFonts w:ascii="Arial" w:cs="Arial" w:eastAsia="Arial" w:hAnsi="Arial"/>
          <w:sz w:val="18"/>
          <w:szCs w:val="18"/>
          <w:color w:val="auto"/>
        </w:rPr>
      </w:pPr>
    </w:p>
    <w:p>
      <w:pPr>
        <w:ind w:left="1000" w:hanging="547"/>
        <w:spacing w:after="0"/>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547"/>
        <w:spacing w:after="0"/>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547"/>
        <w:spacing w:after="0"/>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00" w:right="100" w:hanging="547"/>
        <w:spacing w:after="0" w:line="239" w:lineRule="auto"/>
        <w:tabs>
          <w:tab w:leader="none" w:pos="1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Notification under Section 309B(1) of the SFA—The securities shall be prescribed capital markets products (as defined in the Securities and Futures (Capital Markets Products) Regulations 2018) and Excluded Investment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60"/>
        <w:spacing w:after="0" w:line="239" w:lineRule="auto"/>
        <w:rPr>
          <w:sz w:val="20"/>
          <w:szCs w:val="20"/>
          <w:color w:val="auto"/>
        </w:rPr>
      </w:pPr>
      <w:r>
        <w:rPr>
          <w:rFonts w:ascii="Arial" w:cs="Arial" w:eastAsia="Arial" w:hAnsi="Arial"/>
          <w:sz w:val="18"/>
          <w:szCs w:val="18"/>
          <w:color w:val="auto"/>
        </w:rPr>
        <w:t>Products (as defined in MAS Notice SFA 04-N12: Notice on the Sale of Investment Products and MAS Notice FAA-N16: Notice on Recommendations on Investment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Davis Polk &amp; Wardwell LLP has passed upon the validity of the securities offered hereby on behalf of us. Certain legal matters will be passed upon on behalf of the underwriter by Simpson Thacher &amp; Bartlett LLP.</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financial statements of Dynamics Special Purpose Corp., as of March 8, 2021, and for the period from March 1, 2021 (inception) through March 8, 2021 appearing in this prospectus have been audited by Marcum LLP, independent registered public accounting firm, as set forth in their report thereon (which contains an explanatory paragraph relating to substantial doubt about the ability of Dynamics Special Purpose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Index to financial statements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69">
              <w:r>
                <w:rPr>
                  <w:rFonts w:ascii="Arial" w:cs="Arial" w:eastAsia="Arial" w:hAnsi="Arial"/>
                  <w:sz w:val="18"/>
                  <w:szCs w:val="18"/>
                  <w:color w:val="0000EE"/>
                  <w:w w:val="97"/>
                </w:rPr>
                <w:t>Report of Independent Registered Public Accounting Firm</w:t>
              </w:r>
            </w:hyperlink>
          </w:p>
        </w:tc>
        <w:tc>
          <w:tcPr>
            <w:tcW w:w="6700" w:type="dxa"/>
            <w:vAlign w:val="bottom"/>
          </w:tcPr>
          <w:p>
            <w:pPr>
              <w:ind w:left="6440"/>
              <w:spacing w:after="0"/>
              <w:rPr>
                <w:sz w:val="20"/>
                <w:szCs w:val="20"/>
                <w:color w:val="auto"/>
              </w:rPr>
            </w:pPr>
            <w:r>
              <w:rPr>
                <w:rFonts w:ascii="Arial" w:cs="Arial" w:eastAsia="Arial" w:hAnsi="Arial"/>
                <w:sz w:val="18"/>
                <w:szCs w:val="18"/>
                <w:color w:val="auto"/>
                <w:w w:val="88"/>
              </w:rPr>
              <w:t>F-2</w:t>
            </w:r>
          </w:p>
        </w:tc>
      </w:tr>
      <w:tr>
        <w:trPr>
          <w:trHeight w:val="183"/>
        </w:trPr>
        <w:tc>
          <w:tcPr>
            <w:tcW w:w="4500" w:type="dxa"/>
            <w:vAlign w:val="bottom"/>
            <w:gridSpan w:val="6"/>
          </w:tcPr>
          <w:p>
            <w:pPr>
              <w:spacing w:after="0" w:line="182" w:lineRule="exact"/>
              <w:rPr>
                <w:rFonts w:ascii="Arial" w:cs="Arial" w:eastAsia="Arial" w:hAnsi="Arial"/>
                <w:sz w:val="18"/>
                <w:szCs w:val="18"/>
                <w:color w:val="0000EE"/>
              </w:rPr>
            </w:pPr>
            <w:hyperlink w:anchor="page171">
              <w:r>
                <w:rPr>
                  <w:rFonts w:ascii="Arial" w:cs="Arial" w:eastAsia="Arial" w:hAnsi="Arial"/>
                  <w:sz w:val="18"/>
                  <w:szCs w:val="18"/>
                  <w:color w:val="0000EE"/>
                </w:rPr>
                <w:t>Balance Sheet</w:t>
              </w:r>
            </w:hyperlink>
          </w:p>
        </w:tc>
        <w:tc>
          <w:tcPr>
            <w:tcW w:w="6700" w:type="dxa"/>
            <w:vAlign w:val="bottom"/>
          </w:tcPr>
          <w:p>
            <w:pPr>
              <w:ind w:left="6440"/>
              <w:spacing w:after="0" w:line="182" w:lineRule="exact"/>
              <w:rPr>
                <w:sz w:val="20"/>
                <w:szCs w:val="20"/>
                <w:color w:val="auto"/>
              </w:rPr>
            </w:pPr>
            <w:r>
              <w:rPr>
                <w:rFonts w:ascii="Arial" w:cs="Arial" w:eastAsia="Arial" w:hAnsi="Arial"/>
                <w:sz w:val="18"/>
                <w:szCs w:val="18"/>
                <w:color w:val="auto"/>
                <w:w w:val="88"/>
              </w:rPr>
              <w:t>F-4</w:t>
            </w:r>
          </w:p>
        </w:tc>
      </w:tr>
      <w:tr>
        <w:trPr>
          <w:trHeight w:val="20"/>
        </w:trPr>
        <w:tc>
          <w:tcPr>
            <w:tcW w:w="11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83"/>
        </w:trPr>
        <w:tc>
          <w:tcPr>
            <w:tcW w:w="192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72">
              <w:r>
                <w:rPr>
                  <w:rFonts w:ascii="Arial" w:cs="Arial" w:eastAsia="Arial" w:hAnsi="Arial"/>
                  <w:sz w:val="18"/>
                  <w:szCs w:val="18"/>
                  <w:color w:val="0000EE"/>
                  <w:w w:val="97"/>
                </w:rPr>
                <w:t>Statement of Operations</w:t>
              </w:r>
            </w:hyperlink>
          </w:p>
        </w:tc>
        <w:tc>
          <w:tcPr>
            <w:tcW w:w="2580" w:type="dxa"/>
            <w:vAlign w:val="bottom"/>
            <w:gridSpan w:val="4"/>
          </w:tcPr>
          <w:p>
            <w:pPr>
              <w:spacing w:after="0"/>
              <w:rPr>
                <w:sz w:val="15"/>
                <w:szCs w:val="15"/>
                <w:color w:val="auto"/>
              </w:rPr>
            </w:pPr>
          </w:p>
        </w:tc>
        <w:tc>
          <w:tcPr>
            <w:tcW w:w="6700" w:type="dxa"/>
            <w:vAlign w:val="bottom"/>
          </w:tcPr>
          <w:p>
            <w:pPr>
              <w:ind w:left="6440"/>
              <w:spacing w:after="0" w:line="182" w:lineRule="exact"/>
              <w:rPr>
                <w:sz w:val="20"/>
                <w:szCs w:val="20"/>
                <w:color w:val="auto"/>
              </w:rPr>
            </w:pPr>
            <w:r>
              <w:rPr>
                <w:rFonts w:ascii="Arial" w:cs="Arial" w:eastAsia="Arial" w:hAnsi="Arial"/>
                <w:sz w:val="18"/>
                <w:szCs w:val="18"/>
                <w:color w:val="auto"/>
                <w:w w:val="88"/>
              </w:rPr>
              <w:t>F-5</w:t>
            </w:r>
          </w:p>
        </w:tc>
      </w:tr>
      <w:tr>
        <w:trPr>
          <w:trHeight w:val="183"/>
        </w:trPr>
        <w:tc>
          <w:tcPr>
            <w:tcW w:w="4500" w:type="dxa"/>
            <w:vAlign w:val="bottom"/>
            <w:gridSpan w:val="6"/>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Statement of Changes in Stockholder’s Equity</w:t>
              </w:r>
            </w:hyperlink>
          </w:p>
        </w:tc>
        <w:tc>
          <w:tcPr>
            <w:tcW w:w="6700" w:type="dxa"/>
            <w:vAlign w:val="bottom"/>
          </w:tcPr>
          <w:p>
            <w:pPr>
              <w:ind w:left="6440"/>
              <w:spacing w:after="0" w:line="182" w:lineRule="exact"/>
              <w:rPr>
                <w:sz w:val="20"/>
                <w:szCs w:val="20"/>
                <w:color w:val="auto"/>
              </w:rPr>
            </w:pPr>
            <w:r>
              <w:rPr>
                <w:rFonts w:ascii="Arial" w:cs="Arial" w:eastAsia="Arial" w:hAnsi="Arial"/>
                <w:sz w:val="18"/>
                <w:szCs w:val="18"/>
                <w:color w:val="auto"/>
                <w:w w:val="88"/>
              </w:rPr>
              <w:t>F-6</w:t>
            </w:r>
          </w:p>
        </w:tc>
      </w:tr>
      <w:tr>
        <w:trPr>
          <w:trHeight w:val="183"/>
        </w:trPr>
        <w:tc>
          <w:tcPr>
            <w:tcW w:w="35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Statement of Cash Flows</w:t>
              </w:r>
            </w:hyperlink>
          </w:p>
        </w:tc>
        <w:tc>
          <w:tcPr>
            <w:tcW w:w="920" w:type="dxa"/>
            <w:vAlign w:val="bottom"/>
          </w:tcPr>
          <w:p>
            <w:pPr>
              <w:spacing w:after="0"/>
              <w:rPr>
                <w:sz w:val="15"/>
                <w:szCs w:val="15"/>
                <w:color w:val="auto"/>
              </w:rPr>
            </w:pPr>
          </w:p>
        </w:tc>
        <w:tc>
          <w:tcPr>
            <w:tcW w:w="6700" w:type="dxa"/>
            <w:vAlign w:val="bottom"/>
          </w:tcPr>
          <w:p>
            <w:pPr>
              <w:ind w:left="6440"/>
              <w:spacing w:after="0" w:line="182" w:lineRule="exact"/>
              <w:rPr>
                <w:sz w:val="20"/>
                <w:szCs w:val="20"/>
                <w:color w:val="auto"/>
              </w:rPr>
            </w:pPr>
            <w:r>
              <w:rPr>
                <w:rFonts w:ascii="Arial" w:cs="Arial" w:eastAsia="Arial" w:hAnsi="Arial"/>
                <w:sz w:val="18"/>
                <w:szCs w:val="18"/>
                <w:color w:val="auto"/>
                <w:w w:val="88"/>
              </w:rPr>
              <w:t>F-7</w:t>
            </w:r>
          </w:p>
        </w:tc>
      </w:tr>
      <w:tr>
        <w:trPr>
          <w:trHeight w:val="20"/>
        </w:trPr>
        <w:tc>
          <w:tcPr>
            <w:tcW w:w="19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83"/>
        </w:trPr>
        <w:tc>
          <w:tcPr>
            <w:tcW w:w="4500" w:type="dxa"/>
            <w:vAlign w:val="bottom"/>
            <w:gridSpan w:val="6"/>
          </w:tcPr>
          <w:p>
            <w:pPr>
              <w:spacing w:after="0" w:line="182" w:lineRule="exact"/>
              <w:rPr>
                <w:rFonts w:ascii="Arial" w:cs="Arial" w:eastAsia="Arial" w:hAnsi="Arial"/>
                <w:sz w:val="18"/>
                <w:szCs w:val="18"/>
                <w:color w:val="0000EE"/>
              </w:rPr>
            </w:pPr>
            <w:hyperlink w:anchor="page175">
              <w:r>
                <w:rPr>
                  <w:rFonts w:ascii="Arial" w:cs="Arial" w:eastAsia="Arial" w:hAnsi="Arial"/>
                  <w:sz w:val="18"/>
                  <w:szCs w:val="18"/>
                  <w:color w:val="0000EE"/>
                </w:rPr>
                <w:t>Notes to Financial Statements</w:t>
              </w:r>
            </w:hyperlink>
          </w:p>
        </w:tc>
        <w:tc>
          <w:tcPr>
            <w:tcW w:w="6700" w:type="dxa"/>
            <w:vAlign w:val="bottom"/>
          </w:tcPr>
          <w:p>
            <w:pPr>
              <w:ind w:left="6440"/>
              <w:spacing w:after="0" w:line="182" w:lineRule="exact"/>
              <w:rPr>
                <w:sz w:val="20"/>
                <w:szCs w:val="20"/>
                <w:color w:val="auto"/>
              </w:rPr>
            </w:pPr>
            <w:r>
              <w:rPr>
                <w:rFonts w:ascii="Arial" w:cs="Arial" w:eastAsia="Arial" w:hAnsi="Arial"/>
                <w:sz w:val="18"/>
                <w:szCs w:val="18"/>
                <w:color w:val="auto"/>
                <w:w w:val="88"/>
              </w:rPr>
              <w:t>F-8</w:t>
            </w:r>
          </w:p>
        </w:tc>
      </w:tr>
      <w:tr>
        <w:trPr>
          <w:trHeight w:val="369"/>
        </w:trPr>
        <w:tc>
          <w:tcPr>
            <w:tcW w:w="11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700" w:type="dxa"/>
            <w:vAlign w:val="bottom"/>
          </w:tcPr>
          <w:p>
            <w:pPr>
              <w:ind w:left="100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200"/>
          </w:cols>
          <w:pgMar w:left="320" w:top="459" w:right="3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Index to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 of</w:t>
      </w:r>
    </w:p>
    <w:p>
      <w:pPr>
        <w:spacing w:after="0"/>
        <w:rPr>
          <w:sz w:val="20"/>
          <w:szCs w:val="20"/>
          <w:color w:val="auto"/>
        </w:rPr>
      </w:pPr>
      <w:r>
        <w:rPr>
          <w:rFonts w:ascii="Arial" w:cs="Arial" w:eastAsia="Arial" w:hAnsi="Arial"/>
          <w:sz w:val="18"/>
          <w:szCs w:val="18"/>
          <w:color w:val="auto"/>
        </w:rPr>
        <w:t>Dynamics Special Purpose Corp.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have audited the accompanying balance sheet of Dynamics Special Purpose Corp. (the “Company”) as of March 8, 2021, the related statements of operations, changes in stockholder’s equity and cash flows for the period from March 1, 2021 (inception) through March 8, 2021, and the related notes (collectively referred to as the “financial statements”). In our opinion, the financial statements present fairly, in all material respects, the financial position of the Company as of March 8, 2021, and the results of its operations and its cash flows for the period from March 1, 2021 (inception) through March 8, 2021,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more fully described in Note 1 to the financial statements, the Company’s business plan is dependent upon its completion of the proposed initial public offering described in Note 3 to the financial statements. The Company has a working capital deficiency as of March 8, 2021 and lacks the financial resources it needs to sustain operations for a reasonable period of time, which is considered to be one year from the issuance date of the financial statements. These conditions raise substantial doubt about the Company’s ability to continue as a going concern. Management’s plans with regard to these matters are also described in Notes 1 and 3.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rPr>
          <w:sz w:val="20"/>
          <w:szCs w:val="20"/>
          <w:color w:val="auto"/>
        </w:rPr>
      </w:pPr>
      <w:r>
        <w:rPr>
          <w:rFonts w:ascii="Arial" w:cs="Arial" w:eastAsia="Arial" w:hAnsi="Arial"/>
          <w:sz w:val="18"/>
          <w:szCs w:val="18"/>
          <w:color w:val="auto"/>
        </w:rPr>
        <w:t>April 2, 2021</w:t>
      </w:r>
    </w:p>
    <w:p>
      <w:pPr>
        <w:spacing w:after="0" w:line="14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800"/>
          </w:cols>
          <w:pgMar w:left="320" w:top="459" w:right="7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Balance sheet</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tcPr>
          <w:p>
            <w:pPr>
              <w:ind w:left="220"/>
              <w:spacing w:after="0" w:line="202" w:lineRule="exact"/>
              <w:rPr>
                <w:sz w:val="20"/>
                <w:szCs w:val="20"/>
                <w:color w:val="auto"/>
              </w:rPr>
            </w:pPr>
            <w:r>
              <w:rPr>
                <w:rFonts w:ascii="Arial" w:cs="Arial" w:eastAsia="Arial" w:hAnsi="Arial"/>
                <w:sz w:val="18"/>
                <w:szCs w:val="18"/>
                <w:color w:val="auto"/>
              </w:rPr>
              <w:t>Deferred offering costs</w:t>
            </w:r>
          </w:p>
        </w:tc>
        <w:tc>
          <w:tcPr>
            <w:tcW w:w="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174,129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0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174,129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3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10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Accrued offering costs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137,629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tcPr>
          <w:p>
            <w:pPr>
              <w:ind w:left="440"/>
              <w:spacing w:after="0" w:line="202" w:lineRule="exact"/>
              <w:rPr>
                <w:sz w:val="20"/>
                <w:szCs w:val="20"/>
                <w:color w:val="auto"/>
              </w:rPr>
            </w:pPr>
            <w:r>
              <w:rPr>
                <w:rFonts w:ascii="Arial" w:cs="Arial" w:eastAsia="Arial" w:hAnsi="Arial"/>
                <w:sz w:val="18"/>
                <w:szCs w:val="18"/>
                <w:color w:val="auto"/>
              </w:rPr>
              <w:t>Due to related party</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74"/>
        </w:trPr>
        <w:tc>
          <w:tcPr>
            <w:tcW w:w="10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150,279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0320" w:type="dxa"/>
            <w:vAlign w:val="bottom"/>
          </w:tcPr>
          <w:p>
            <w:pPr>
              <w:spacing w:after="0"/>
              <w:rPr>
                <w:sz w:val="20"/>
                <w:szCs w:val="20"/>
                <w:color w:val="auto"/>
              </w:rPr>
            </w:pPr>
            <w:r>
              <w:rPr>
                <w:rFonts w:ascii="Arial" w:cs="Arial" w:eastAsia="Arial" w:hAnsi="Arial"/>
                <w:sz w:val="18"/>
                <w:szCs w:val="18"/>
                <w:b w:val="1"/>
                <w:bCs w:val="1"/>
                <w:color w:val="auto"/>
              </w:rPr>
              <w:t>Commitments (Note 6)</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0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tcPr>
          <w:p>
            <w:pPr>
              <w:ind w:left="220"/>
              <w:spacing w:after="0" w:line="202" w:lineRule="exact"/>
              <w:rPr>
                <w:sz w:val="20"/>
                <w:szCs w:val="20"/>
                <w:color w:val="auto"/>
              </w:rPr>
            </w:pPr>
            <w:r>
              <w:rPr>
                <w:rFonts w:ascii="Arial" w:cs="Arial" w:eastAsia="Arial" w:hAnsi="Arial"/>
                <w:sz w:val="18"/>
                <w:szCs w:val="18"/>
                <w:color w:val="auto"/>
              </w:rPr>
              <w:t>Class A common stock, $0.0001 par value; 100,000,000 shares authorized; none issued and outstanding</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Class B common stock, $0.0001 par value; 10,000,000 shares authorized; 5,750,000 issued and outstanding(1)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24,425</w:t>
            </w: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0"/>
        </w:trPr>
        <w:tc>
          <w:tcPr>
            <w:tcW w:w="10320" w:type="dxa"/>
            <w:vAlign w:val="bottom"/>
          </w:tcPr>
          <w:p>
            <w:pPr>
              <w:ind w:left="2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0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174,129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Includes up to 750,000 shares of Class B common stock subject to forfeiture if the over-allotment option is not exercised in full or in part by the underwriter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Statement of operations</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 the period from March 1, 2021 (inception) through March 8,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9"/>
        </w:trPr>
        <w:tc>
          <w:tcPr>
            <w:tcW w:w="10240" w:type="dxa"/>
            <w:vAlign w:val="bottom"/>
          </w:tcPr>
          <w:p>
            <w:pPr>
              <w:ind w:left="22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0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basic and diluted(1)</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40" w:type="dxa"/>
            <w:vAlign w:val="bottom"/>
            <w:tcBorders>
              <w:bottom w:val="single" w:sz="8" w:color="auto"/>
            </w:tcBorders>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Excludes up to 750,000 shares of Class B common stock subject to forfeiture if the over-allotment option is not exercised in full or in part by the underwriter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Statement of changes in stockholder’s equity</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 the period from March 1, 2021 (inception) through</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 common</w:t>
            </w:r>
          </w:p>
        </w:tc>
        <w:tc>
          <w:tcPr>
            <w:tcW w:w="15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Additional</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r>
      <w:tr>
        <w:trPr>
          <w:trHeight w:val="203"/>
        </w:trPr>
        <w:tc>
          <w:tcPr>
            <w:tcW w:w="47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stock</w:t>
            </w:r>
          </w:p>
        </w:tc>
        <w:tc>
          <w:tcPr>
            <w:tcW w:w="620" w:type="dxa"/>
            <w:vAlign w:val="bottom"/>
          </w:tcPr>
          <w:p>
            <w:pPr>
              <w:spacing w:after="0"/>
              <w:rPr>
                <w:sz w:val="17"/>
                <w:szCs w:val="17"/>
                <w:color w:val="auto"/>
              </w:rPr>
            </w:pPr>
          </w:p>
        </w:tc>
        <w:tc>
          <w:tcPr>
            <w:tcW w:w="880" w:type="dxa"/>
            <w:vAlign w:val="bottom"/>
          </w:tcPr>
          <w:p>
            <w:pPr>
              <w:jc w:val="right"/>
              <w:ind w:right="132"/>
              <w:spacing w:after="0" w:line="182" w:lineRule="exact"/>
              <w:rPr>
                <w:sz w:val="20"/>
                <w:szCs w:val="20"/>
                <w:color w:val="auto"/>
              </w:rPr>
            </w:pPr>
            <w:r>
              <w:rPr>
                <w:rFonts w:ascii="Arial" w:cs="Arial" w:eastAsia="Arial" w:hAnsi="Arial"/>
                <w:sz w:val="18"/>
                <w:szCs w:val="18"/>
                <w:b w:val="1"/>
                <w:bCs w:val="1"/>
                <w:color w:val="auto"/>
              </w:rPr>
              <w:t>paid-in</w:t>
            </w:r>
          </w:p>
        </w:tc>
        <w:tc>
          <w:tcPr>
            <w:tcW w:w="1580" w:type="dxa"/>
            <w:vAlign w:val="bottom"/>
            <w:gridSpan w:val="2"/>
          </w:tcPr>
          <w:p>
            <w:pPr>
              <w:ind w:left="220"/>
              <w:spacing w:after="0" w:line="182" w:lineRule="exact"/>
              <w:rPr>
                <w:sz w:val="20"/>
                <w:szCs w:val="20"/>
                <w:color w:val="auto"/>
              </w:rPr>
            </w:pPr>
            <w:r>
              <w:rPr>
                <w:rFonts w:ascii="Arial" w:cs="Arial" w:eastAsia="Arial" w:hAnsi="Arial"/>
                <w:sz w:val="18"/>
                <w:szCs w:val="18"/>
                <w:b w:val="1"/>
                <w:bCs w:val="1"/>
                <w:color w:val="auto"/>
              </w:rPr>
              <w:t>Accumulated</w:t>
            </w:r>
          </w:p>
        </w:tc>
        <w:tc>
          <w:tcPr>
            <w:tcW w:w="1460" w:type="dxa"/>
            <w:vAlign w:val="bottom"/>
            <w:gridSpan w:val="3"/>
          </w:tcPr>
          <w:p>
            <w:pPr>
              <w:jc w:val="right"/>
              <w:ind w:right="100"/>
              <w:spacing w:after="0" w:line="182" w:lineRule="exact"/>
              <w:rPr>
                <w:sz w:val="20"/>
                <w:szCs w:val="20"/>
                <w:color w:val="auto"/>
              </w:rPr>
            </w:pPr>
            <w:r>
              <w:rPr>
                <w:rFonts w:ascii="Arial" w:cs="Arial" w:eastAsia="Arial" w:hAnsi="Arial"/>
                <w:sz w:val="18"/>
                <w:szCs w:val="18"/>
                <w:b w:val="1"/>
                <w:bCs w:val="1"/>
                <w:color w:val="auto"/>
              </w:rPr>
              <w:t>stockholder’s</w:t>
            </w:r>
          </w:p>
        </w:tc>
      </w:tr>
      <w:tr>
        <w:trPr>
          <w:trHeight w:val="223"/>
        </w:trPr>
        <w:tc>
          <w:tcPr>
            <w:tcW w:w="4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capital</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deficit</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equity</w:t>
            </w:r>
          </w:p>
        </w:tc>
      </w:tr>
      <w:tr>
        <w:trPr>
          <w:trHeight w:val="48"/>
        </w:trPr>
        <w:tc>
          <w:tcPr>
            <w:tcW w:w="4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March 1, 2021 (inception)</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Issuance of Class B common stock to Sponsor(1)</w:t>
            </w: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5,750,000</w:t>
            </w:r>
          </w:p>
        </w:tc>
        <w:tc>
          <w:tcPr>
            <w:tcW w:w="3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62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24,425</w:t>
            </w:r>
          </w:p>
        </w:tc>
        <w:tc>
          <w:tcPr>
            <w:tcW w:w="540" w:type="dxa"/>
            <w:vAlign w:val="bottom"/>
          </w:tcPr>
          <w:p>
            <w:pPr>
              <w:spacing w:after="0"/>
              <w:rPr>
                <w:sz w:val="17"/>
                <w:szCs w:val="17"/>
                <w:color w:val="auto"/>
              </w:rPr>
            </w:pP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25,000</w:t>
            </w:r>
          </w:p>
        </w:tc>
        <w:tc>
          <w:tcPr>
            <w:tcW w:w="100" w:type="dxa"/>
            <w:vAlign w:val="bottom"/>
          </w:tcPr>
          <w:p>
            <w:pPr>
              <w:spacing w:after="0"/>
              <w:rPr>
                <w:sz w:val="17"/>
                <w:szCs w:val="17"/>
                <w:color w:val="auto"/>
              </w:rPr>
            </w:pPr>
          </w:p>
        </w:tc>
      </w:tr>
      <w:tr>
        <w:trPr>
          <w:trHeight w:val="203"/>
        </w:trPr>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(1,150)</w:t>
            </w:r>
          </w:p>
        </w:tc>
        <w:tc>
          <w:tcPr>
            <w:tcW w:w="5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(1,150)</w:t>
            </w:r>
          </w:p>
        </w:tc>
      </w:tr>
      <w:tr>
        <w:trPr>
          <w:trHeight w:val="28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March 8, 2021</w:t>
            </w: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5,750,000</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24,425</w:t>
            </w:r>
          </w:p>
        </w:tc>
        <w:tc>
          <w:tcPr>
            <w:tcW w:w="5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(1,150)</w:t>
            </w: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23,850</w:t>
            </w:r>
          </w:p>
        </w:tc>
        <w:tc>
          <w:tcPr>
            <w:tcW w:w="100" w:type="dxa"/>
            <w:vAlign w:val="bottom"/>
          </w:tcPr>
          <w:p>
            <w:pPr>
              <w:spacing w:after="0"/>
              <w:rPr>
                <w:sz w:val="24"/>
                <w:szCs w:val="24"/>
                <w:color w:val="auto"/>
              </w:rPr>
            </w:pPr>
          </w:p>
        </w:tc>
      </w:tr>
    </w:tbl>
    <w:p>
      <w:pPr>
        <w:spacing w:after="0" w:line="67"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Includes up to 750,000 shares of Class B common stock subject to forfeiture if the over-allotment option is not exercised in full or in part by the underwriter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Statement of cash flows</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 the period from March 1, 2021 (inception) through 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Operating costs paid in advance by related party</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320" w:type="dxa"/>
            <w:vAlign w:val="bottom"/>
          </w:tcPr>
          <w:p>
            <w:pPr>
              <w:ind w:left="4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0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Change in Cash</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10320" w:type="dxa"/>
            <w:vAlign w:val="bottom"/>
          </w:tcPr>
          <w:p>
            <w:pPr>
              <w:spacing w:after="0" w:line="202" w:lineRule="exact"/>
              <w:rPr>
                <w:sz w:val="20"/>
                <w:szCs w:val="20"/>
                <w:color w:val="auto"/>
              </w:rPr>
            </w:pPr>
            <w:r>
              <w:rPr>
                <w:rFonts w:ascii="Arial" w:cs="Arial" w:eastAsia="Arial" w:hAnsi="Arial"/>
                <w:sz w:val="18"/>
                <w:szCs w:val="18"/>
                <w:color w:val="auto"/>
              </w:rPr>
              <w:t>Cash—Beginning of period</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0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Cash—End of period</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032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3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costs included in accrued offering costs</w:t>
            </w: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137,629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20" w:type="dxa"/>
            <w:vAlign w:val="bottom"/>
          </w:tcPr>
          <w:p>
            <w:pPr>
              <w:spacing w:after="0" w:line="196" w:lineRule="exact"/>
              <w:rPr>
                <w:sz w:val="20"/>
                <w:szCs w:val="20"/>
                <w:color w:val="auto"/>
              </w:rPr>
            </w:pPr>
            <w:r>
              <w:rPr>
                <w:rFonts w:ascii="Arial" w:cs="Arial" w:eastAsia="Arial" w:hAnsi="Arial"/>
                <w:sz w:val="18"/>
                <w:szCs w:val="18"/>
                <w:color w:val="auto"/>
              </w:rPr>
              <w:t>Deferred offering costs paid by Sponsor in exchange for issuance of Class B common stock</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10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offering costs included in due to related party</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
        </w:trPr>
        <w:tc>
          <w:tcPr>
            <w:tcW w:w="10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Description of organization, business operations and going concern</w:t>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Dynamics Special Purpose Corp. (the “Company”) is a blank check company incorporated in Delaware on March 1, 2021. The Company was formed for the purpose of entering into a merger, capital stock exchange, asset acquisition, stock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As of March 8, 2021, the Company had not commenced any operations. All activity for the period from March 1, 2021 (inception) through</w:t>
      </w:r>
    </w:p>
    <w:p>
      <w:pPr>
        <w:ind w:right="20"/>
        <w:spacing w:after="0" w:line="237" w:lineRule="auto"/>
        <w:rPr>
          <w:sz w:val="20"/>
          <w:szCs w:val="20"/>
          <w:color w:val="auto"/>
        </w:rPr>
      </w:pPr>
      <w:r>
        <w:rPr>
          <w:rFonts w:ascii="Arial" w:cs="Arial" w:eastAsia="Arial" w:hAnsi="Arial"/>
          <w:sz w:val="18"/>
          <w:szCs w:val="18"/>
          <w:color w:val="auto"/>
        </w:rPr>
        <w:t>March 8, 2021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20,000,000 shares of Class A common stock (the “Public Shares”) at $10.00 per share (or 23,000,000 shares if the underwriter’s over-allotment option is exercised in full), which is discussed in Note 3, and the sale of 655,500 shares of Class A common stock (or 715,500 shares of Class A common stock if the underwriter’s over-allotment option is exercised in full) (the “Private Placement Shares”), at a price of $10.00 per Private Placement Share, in a private placement to Dynamics Sponsor LLC (the “Sponsor”), that will close simultaneously with the Proposed Public Offering.</w:t>
      </w:r>
    </w:p>
    <w:p>
      <w:pPr>
        <w:spacing w:after="0" w:line="10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the Private Placement Shares, although substantially all 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value of the Trust Account (as defined below) (excluding the deferred underwriting commissions and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Public Share sold in the Proposed Public Offering, including the proceeds from the sale of the Private Placement Shares, will be held in a trust account (“Trust Account”), located in the United States and invested only in U.S. government securities with a maturity of 185 days or less or in money market funds meeting certain conditions under Rule 2a-7 under the Investment Company Act which invest only in direct U.S. government treasury obligations, as determined by the Company, until the earlier of: (i) the completion of a Business Combination and (ii) the distribution of the funds held in the Trust Account, as described below.</w:t>
      </w:r>
    </w:p>
    <w:p>
      <w:pPr>
        <w:spacing w:after="0" w:line="282"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The Company will provide its stockholders with the opportunity to redeem all or a portion of their Public Shares upon the completion of a Business Combination either (i) in connection with a stockholder meeting called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459"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approve the Business Combination or (ii) by means of a tender offer. The decision as to whether the Company will seek stockholder approval of a Business Combination or conduct a tender offer will be made by the Company, solely in its discretion, subject to applicable law and stock exchange listing requirements. The stockholders will be entitled to redeem their shares for a pro rata portion of the amount held in the Trust Account (initially anticipated to be $10.00 per share), calculated as of two business days prior to the completion of a Business Combination, including any pro rata interest earned on the funds held in the Trust Account and not previously released to the Company to pay its tax obligations. The shares of Class A common stock will be recorded at redemption value and classified as temporary equity upon the completion of the Proposed Public Offering, in accordance with the Financial Accounting Standards Board’s (“FASB”) Accounting Standards Codification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w:t>
      </w:r>
    </w:p>
    <w:p>
      <w:pPr>
        <w:spacing w:after="0" w:line="10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will proceed with a Business Combination if the Company has net tangible assets of at least $5,000,001 upon consummation of such Business Combination and a majority of the shares voted are voted in favor of the Business Combination. If a stockholder vote is not required under applicable law or stock exchange listing requirements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Securities and Exchange Commission (“SEC”), and file tender offer documents with the SEC prior to completing a Business Combination. If the Company seeks stockholder approval in connection with a Business Combination, the holders of the Founder Shares (as defined in Note 5) have agreed to vote their Founder Shares and any Public Shares purchased in or after the Proposed Public Offering in favor of approving a Business Combination and to waive their redemption rights with respect to any such shares in connection with a stockholder vote to approve a Business Combination. Additionally, each public stockholder may elect to redeem their public shares without voting, and if they do vote, irrespective of whether they vote for or against the proposed Business Combination.</w:t>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0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initial stockholders have agreed to waive (a) their redemption rights with respect to any Founder Shares and Public Shares they hold in connection with the completion of an initial Business Combination, (b) their redemption rights with respect to any Founder Shares, Private Placement Shares and Public Shares they hold in connection with a stockholder vote to approve an amendment to the Amended and Restated Certificate of Incorporation to modify the substance or timing of the Company’s obligation to allow redemption in connection with an initial Business Combination or to redeem 100% of the Public Shares if the Company has not consummated an initial Business Combination within 24 months from the closing of the Proposed Public Offering or with respect to any other provisions relating to stockholders’ rights or pre-initial Business Combination activity and (c) their rights to liquidating distributions from the Trust Account with respect to any Founder Shares and Private Placement Shares they hold if the Company fails to complete an initial Business Combination within 24 months from the closing of the Proposed Public Offering. However, if the initial stockholders acquire Public Shares in or after the Proposed Public Offering, such Public Shares will be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21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entitled to liquidating distributions from the Trust Account if the Company fails to complete a Business Combination within the Combination Period (as defined below).</w:t>
      </w:r>
    </w:p>
    <w:p>
      <w:pPr>
        <w:spacing w:after="0" w:line="1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will have until 24 months from the closing of the Proposed Public Offering (the “Combination Period”) to complete a Business Combination. If the Company is unable to complete a Business Combination within the Combination Period, the Company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the Company to pay its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board of directors, dissolve and liquidate, subject in each case to the Company’s obligations under Delaware law to provide for claims of creditors and the requirements of other applicable law.</w:t>
      </w:r>
    </w:p>
    <w:p>
      <w:pPr>
        <w:spacing w:after="0" w:line="10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underwriter has agreed to waive its rights to its deferred underwriting commission (see Note 6)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Public Share ($10.00).</w:t>
      </w:r>
    </w:p>
    <w:p>
      <w:pPr>
        <w:spacing w:after="0" w:line="10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order to protect the amounts in the Trust Account, the Sponsor has agreed that it will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(i) $10.00 per Public Share or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(other than the Company’s independent registered accounting firm), prospective target businesses or other entities with which the Company does business, execute agreements with the Company waiving any right, title, interest or claim of any kind in or to monies held in the Trust Account.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At March 8, 2021 the Company had no cash and a working capital deficit of $150,279. Further, the Company expects to continue to incur significant costs in pursuit of its financing and acquisition plans. These conditions raise substantial doubt about the Company’s ability to continue as a going concern. Management plans to address this uncertainty through the Proposed Public Offering. There is no assurance that the Company’s plans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212" w:lineRule="exact"/>
        <w:rPr>
          <w:sz w:val="20"/>
          <w:szCs w:val="20"/>
          <w:color w:val="auto"/>
        </w:rPr>
      </w:pPr>
    </w:p>
    <w:p>
      <w:pPr>
        <w:ind w:right="40"/>
        <w:spacing w:after="0" w:line="360" w:lineRule="auto"/>
        <w:rPr>
          <w:sz w:val="20"/>
          <w:szCs w:val="20"/>
          <w:color w:val="auto"/>
        </w:rPr>
      </w:pPr>
      <w:r>
        <w:rPr>
          <w:rFonts w:ascii="Arial" w:cs="Arial" w:eastAsia="Arial" w:hAnsi="Arial"/>
          <w:sz w:val="18"/>
          <w:szCs w:val="18"/>
          <w:color w:val="auto"/>
        </w:rPr>
        <w:t xml:space="preserve">to raise capital will be successful. The financial statements do not include any adjustments that might result from the outcome of this uncertainty. </w:t>
      </w:r>
      <w:r>
        <w:rPr>
          <w:rFonts w:ascii="Arial" w:cs="Arial" w:eastAsia="Arial" w:hAnsi="Arial"/>
          <w:sz w:val="18"/>
          <w:szCs w:val="18"/>
          <w:b w:val="1"/>
          <w:bCs w:val="1"/>
          <w:i w:val="1"/>
          <w:iCs w:val="1"/>
          <w:color w:val="auto"/>
        </w:rPr>
        <w:t>Risks and uncertainties</w:t>
      </w:r>
    </w:p>
    <w:p>
      <w:pPr>
        <w:ind w:right="60"/>
        <w:spacing w:after="0" w:line="236" w:lineRule="auto"/>
        <w:rPr>
          <w:sz w:val="20"/>
          <w:szCs w:val="20"/>
          <w:color w:val="auto"/>
        </w:rPr>
      </w:pPr>
      <w:r>
        <w:rPr>
          <w:rFonts w:ascii="Arial" w:cs="Arial" w:eastAsia="Arial" w:hAnsi="Arial"/>
          <w:sz w:val="18"/>
          <w:szCs w:val="18"/>
          <w:color w:val="auto"/>
        </w:rPr>
        <w:t>Management continues to evaluate the impact of the COVID-19 pandemic on the healthcare industry and the life sciences subsector in which it seeks to consummate a Business Combination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(“U.S. GAAP”) and pursuant to the rules and regulations of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contingent assets and liabilities at the date of the financial statements and the reported amounts of expenses during the reporting period.</w:t>
      </w:r>
    </w:p>
    <w:p>
      <w:pPr>
        <w:spacing w:after="0" w:line="10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8,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a planned public offering and that will be charged to stockholder’s equity upon the completion of a planned public offering. Should a planned public offering prove to be unsuccessful, these deferred costs, as well as additional expenses to be incurred, will be charged to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The Company follows the asset and liability method of accounting for income taxes under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7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8,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02" w:lineRule="exact"/>
        <w:rPr>
          <w:sz w:val="20"/>
          <w:szCs w:val="20"/>
          <w:color w:val="auto"/>
        </w:rPr>
      </w:pPr>
    </w:p>
    <w:p>
      <w:pPr>
        <w:ind w:right="1060"/>
        <w:spacing w:after="0" w:line="360" w:lineRule="auto"/>
        <w:rPr>
          <w:sz w:val="20"/>
          <w:szCs w:val="20"/>
          <w:color w:val="auto"/>
        </w:rPr>
      </w:pPr>
      <w:r>
        <w:rPr>
          <w:rFonts w:ascii="Arial" w:cs="Arial" w:eastAsia="Arial" w:hAnsi="Arial"/>
          <w:sz w:val="18"/>
          <w:szCs w:val="18"/>
          <w:color w:val="auto"/>
        </w:rPr>
        <w:t xml:space="preserve">The provision for income taxes was deemed to be de minimis for the period from March 1, 2021 (inception) through March 8, 2021. </w:t>
      </w:r>
      <w:r>
        <w:rPr>
          <w:rFonts w:ascii="Arial" w:cs="Arial" w:eastAsia="Arial" w:hAnsi="Arial"/>
          <w:sz w:val="18"/>
          <w:szCs w:val="18"/>
          <w:b w:val="1"/>
          <w:bCs w:val="1"/>
          <w:i w:val="1"/>
          <w:iCs w:val="1"/>
          <w:color w:val="auto"/>
        </w:rPr>
        <w:t>Net loss per common share</w:t>
      </w:r>
    </w:p>
    <w:p>
      <w:pPr>
        <w:spacing w:after="0" w:line="239" w:lineRule="auto"/>
        <w:rPr>
          <w:sz w:val="20"/>
          <w:szCs w:val="20"/>
          <w:color w:val="auto"/>
        </w:rPr>
      </w:pPr>
      <w:r>
        <w:rPr>
          <w:rFonts w:ascii="Arial" w:cs="Arial" w:eastAsia="Arial" w:hAnsi="Arial"/>
          <w:sz w:val="18"/>
          <w:szCs w:val="18"/>
          <w:color w:val="auto"/>
        </w:rPr>
        <w:t>Net loss per share is computed by dividing net loss by the weighted average number of common shares outstanding during the period. Weighted average shares were reduced for the effect of an aggregate of 750,000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459" w:right="3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21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shares of common stock that are subject to forfeiture if the over-allotment option is not exercised by the underwriter (see Note 6). At March 8,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6" w:lineRule="exact"/>
        <w:rPr>
          <w:sz w:val="20"/>
          <w:szCs w:val="20"/>
          <w:color w:val="auto"/>
        </w:rPr>
      </w:pPr>
    </w:p>
    <w:p>
      <w:pPr>
        <w:ind w:right="380"/>
        <w:spacing w:after="0" w:line="322" w:lineRule="auto"/>
        <w:rPr>
          <w:sz w:val="20"/>
          <w:szCs w:val="20"/>
          <w:color w:val="auto"/>
        </w:rPr>
      </w:pPr>
      <w:r>
        <w:rPr>
          <w:rFonts w:ascii="Arial" w:cs="Arial" w:eastAsia="Arial" w:hAnsi="Arial"/>
          <w:sz w:val="16"/>
          <w:szCs w:val="16"/>
          <w:color w:val="auto"/>
        </w:rPr>
        <w:t xml:space="preserve">The fair value of the Company’s assets and liabilities, which qualify as financial instruments under FASB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approximates the carrying amounts represented in the accompanying balance sheet, primarily due to their short-term nature.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2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Proposed public offering</w:t>
      </w:r>
    </w:p>
    <w:p>
      <w:pPr>
        <w:spacing w:after="0" w:line="13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Pursuant to the Proposed Public Offering, the Company will offer for sale 20,000,000 shares of Class A common stock (or 23,000,000 shares of Class A common stock if the underwriter’s over-allotment option is exercised in full) at a purchase price of $10.00 per share.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Private placement</w:t>
      </w:r>
    </w:p>
    <w:p>
      <w:pPr>
        <w:spacing w:after="0" w:line="1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Sponsor has agreed to purchase an aggregate of 655,500 Private Placement Shares (or 715,500 Private Placement Shares if the underwriter’s over-allotment option is exercised in full) at a price of $10.00 per Private Placement Share, from the Company in a private placement that will occur simultaneously with the closing of the Proposed Public Offering. A portion of the proceeds from the sale of the Private Placement Shares will be added to the net proceeds from the Proposed Public Offering held in the Trust Account. If the Company does not complete a Business Combination within the Combination Period, the proceeds from the sale of the Private Placement Shares held in the Trust Account will be used to fund the redemption of the Public Shares (subject to the requirements of applicable law) .</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Related party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On March 8, 2021, the Sponsor was issued 5,750,000 shares (the “Founder Shares”) of Class B common stock for an aggregate price of</w:t>
      </w:r>
    </w:p>
    <w:p>
      <w:pPr>
        <w:spacing w:after="0" w:line="237" w:lineRule="auto"/>
        <w:rPr>
          <w:sz w:val="20"/>
          <w:szCs w:val="20"/>
          <w:color w:val="auto"/>
        </w:rPr>
      </w:pPr>
      <w:r>
        <w:rPr>
          <w:rFonts w:ascii="Arial" w:cs="Arial" w:eastAsia="Arial" w:hAnsi="Arial"/>
          <w:sz w:val="18"/>
          <w:szCs w:val="18"/>
          <w:color w:val="auto"/>
        </w:rPr>
        <w:t>$25,000. The Founder Shares include an aggregate of up to 750,000 shares of Class B common stock subject to forfeiture by the Sponsor to the extent that the underwriter’s over-allotment option is not exercised in full or in part, so that the Sponsor will own, on an as-converted basis, 20% of the Company’s issued and outstanding shares after the Proposed Public Offering (excluding the private placement shares) (assuming the Sponsor does not purchase any Public Shares in the Proposed Public Offering).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2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On March 8, 2021, the Sponsor agreed to loan the Company an aggregate of up to $300,000 to cover expenses related to the Proposed Public Offering pursuant to an unsecured promissory note (the “Promissory Note”).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This loan is non-interest bearing and payable on the earlier of (i) December 31, 2021 or (ii) the consummation of the Proposed Public Offering.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of March 8, 2021, there were no borrowings outstanding under the Promissory Note.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2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Company intends to enter into an agreement with the Sponsor to pay it a total of $10,000 per month for office space, administrative and support services. Upon the completion of an initial Business Combination, the Company will cease paying these monthly fees.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2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held in the Trust Account released to the Company. Otherwise, the Working Capital Loans would be repaid only out of funds held outside the Trust Account. In the event that a Business Combination is not completed,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Up to $2,000,000 of such Working Capital Loans may be convertible into shares at a price of $10.00 per share at the option of the lender. The share would be identical to the Private Placement Shares.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Commitments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 agreement</w:t>
      </w:r>
    </w:p>
    <w:p>
      <w:pPr>
        <w:spacing w:after="0" w:line="12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holders of the Founder Shares, Private Placement Shares and any Class A common stock issuable upon conversion of the Working Capital Loans will be entitled to registration rights pursuant to a registration and stockholder rights agreement to be signed prior to or on the effective date of the Proposed Public Offering. The holders of these securities are entitled to make up to three demands, excluding short form demands, that the Company register such securities. In addition, the holders will have certain “piggy-back” registration rights with respect to registration statements filed subsequent to the completion of an initial Business Combination. The Company will bear the expenses incurred in connection with the filing of any such registration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2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Company will grant the underwriter a 45-day option from the date of the Proposed Public Offering to purchase up to 3,000,000 additional shares of Class A common stock to cover over-allotments, if any, at the Proposed Public Offering price less the underwriting discounts and commissions.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underwriter will be entitled to a cash underwriting discount of $0.20 per share, or $4,000,000 in the aggregate (or $4,600,000 in the aggregate if the underwriter’s over-allotment option is exercised in full), payable upon the closing of the Proposed Public Offering. In addition, the underwriter will be entitled to a deferred fee of $0.35 per share, or $7,000,000 in the aggregate (or $8,050,000 in the aggregate if the underwriter’s over-allotment option is exercised in full). The deferred fee will become payable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underwriter from the amounts held in the Trust Account solely in the event that the Company completes a Business Combination, subject to the terms of the underwriting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Stockholder’s equity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As of March 8, 2021, the Company had no authorized, issued, or outstanding shares of preferred stock. The Company intends to file an amended and restated Certificate of Incorporation prior to the closing date of the Proposed Public Offering such that the Company will be authorized to issue 1,000,000 shares of preferred stock with a par value of $0.0001 per share, with such designations, voting and other rights and preferences as may be determined from time to time by the Company’s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2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Company is authorized to issue 100,000,000 shares of Class A common stock with a par value of $0.0001 per share. As of March 8, 2021, there were no shares of Class A common stock issued or outstanding.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Company is authorized to issue 10,000,000 shares of Class B common stock with a par value of $0.0001 per share. As of March 8, 2021, there were 5,750,000 shares of Class B common stock outstanding. Of the 5,750,000 shares of Class B common stock outstanding, up to 750,000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the Proposed Public Offering (excluding the private placement shares).</w:t>
      </w:r>
    </w:p>
    <w:p>
      <w:pPr>
        <w:spacing w:after="0" w:line="103" w:lineRule="exact"/>
        <w:rPr>
          <w:sz w:val="20"/>
          <w:szCs w:val="20"/>
          <w:color w:val="auto"/>
        </w:rPr>
      </w:pPr>
    </w:p>
    <w:p>
      <w:pPr>
        <w:jc w:val="both"/>
        <w:ind w:right="600"/>
        <w:spacing w:after="0" w:line="238"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stockholders, including any vote in connection with an initial Business Combination.</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shares of Class B common stock will automatically convert into shares of Class A common stock at the time of an initial Business Combination on a one-for-one basis (subject to adjustment for stock splits, stock dividends, reorganizations, recapitalizations and the like), and subject to further adjustment. In the case that additional shares of Class A common stock, or equity-linked securities, are issued or deemed issued in excess of the amounts offered in the Proposed Public Offering and related to the closing of an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(i) the total number of all shares of common stock outstanding upon the completion of the Proposed Public Offering (excluding the private placement shares), plus (ii) all shares of Class A common stock and equity-linked securities issued or deemed issued in connection with an initial Business Combination (excluding any shares of Class A common stock or equity-linked securities issued, or to be issued, to any seller in an initial Business Combination and any Private Placement Shares issued to the Sponsor or its affiliates upon conversion of Working Capital Loans).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Dynamics Special Purpose Corp.</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Subsequent events</w:t>
      </w:r>
    </w:p>
    <w:p>
      <w:pPr>
        <w:spacing w:after="0" w:line="13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financial statements were issued. Based on this review, other than as described below, the Company did not identify any subsequent events that would have required adjustment or disclosure in the financial statements. In April 2021, the Company borrowed $250,000 under the Promissory Note.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40"/>
        <w:spacing w:after="0"/>
        <w:rPr>
          <w:sz w:val="20"/>
          <w:szCs w:val="20"/>
          <w:color w:val="auto"/>
        </w:rPr>
      </w:pPr>
      <w:r>
        <w:rPr>
          <w:rFonts w:ascii="Arial" w:cs="Arial" w:eastAsia="Arial" w:hAnsi="Arial"/>
          <w:sz w:val="32"/>
          <w:szCs w:val="32"/>
          <w:b w:val="1"/>
          <w:bCs w:val="1"/>
          <w:i w:val="1"/>
          <w:iCs w:val="1"/>
          <w:color w:val="auto"/>
        </w:rPr>
        <w:t>$200,000,000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Arial" w:cs="Arial" w:eastAsia="Arial" w:hAnsi="Arial"/>
          <w:sz w:val="43"/>
          <w:szCs w:val="43"/>
          <w:b w:val="1"/>
          <w:bCs w:val="1"/>
          <w:color w:val="auto"/>
        </w:rPr>
        <w:t>Dynamics Special Purpose Corp.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20"/>
        <w:spacing w:after="0"/>
        <w:rPr>
          <w:sz w:val="20"/>
          <w:szCs w:val="20"/>
          <w:color w:val="auto"/>
        </w:rPr>
      </w:pPr>
      <w:r>
        <w:rPr>
          <w:rFonts w:ascii="Arial" w:cs="Arial" w:eastAsia="Arial" w:hAnsi="Arial"/>
          <w:sz w:val="43"/>
          <w:szCs w:val="43"/>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2021</w:t>
      </w:r>
    </w:p>
    <w:p>
      <w:pPr>
        <w:spacing w:after="0" w:line="190"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b w:val="1"/>
          <w:bCs w:val="1"/>
          <w:color w:val="auto"/>
        </w:rPr>
        <w:t>Until</w:t>
      </w:r>
      <w:r>
        <w:rPr>
          <w:sz w:val="20"/>
          <w:szCs w:val="20"/>
          <w:color w:val="auto"/>
        </w:rPr>
        <w:tab/>
      </w:r>
      <w:r>
        <w:rPr>
          <w:rFonts w:ascii="Arial" w:cs="Arial" w:eastAsia="Arial" w:hAnsi="Arial"/>
          <w:sz w:val="16"/>
          <w:szCs w:val="16"/>
          <w:b w:val="1"/>
          <w:bCs w:val="1"/>
          <w:color w:val="auto"/>
        </w:rPr>
        <w:t>, 2021 (25 days after the date of this prospectus), all dealers that buy, sell or trade our securities, whether or not</w:t>
      </w:r>
    </w:p>
    <w:p>
      <w:pPr>
        <w:spacing w:after="0" w:line="4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b w:val="1"/>
          <w:bCs w:val="1"/>
          <w:color w:val="auto"/>
        </w:rPr>
        <w:t>participating in this offering, may be required to deliver a prospectus. This is in addition to the dealers’ obligation to deliver a prospectus when acting as underwriter and with respect to its unsold allotments or subscriptions.</w:t>
      </w:r>
    </w:p>
    <w:p>
      <w:pPr>
        <w:sectPr>
          <w:pgSz w:w="11900" w:h="16838" w:orient="portrait"/>
          <w:cols w:equalWidth="0" w:num="1">
            <w:col w:w="10720"/>
          </w:cols>
          <w:pgMar w:left="320" w:top="459" w:right="8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Information not required in prospectus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4"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63,000</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SEC/FINRA expenses</w:t>
            </w:r>
          </w:p>
        </w:tc>
        <w:tc>
          <w:tcPr>
            <w:tcW w:w="3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60,093</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Travel and road show</w:t>
            </w:r>
          </w:p>
        </w:tc>
        <w:tc>
          <w:tcPr>
            <w:tcW w:w="3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listing expenses</w:t>
            </w:r>
          </w:p>
        </w:tc>
        <w:tc>
          <w:tcPr>
            <w:tcW w:w="3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75,000</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Director and officer insurance</w:t>
            </w:r>
          </w:p>
        </w:tc>
        <w:tc>
          <w:tcPr>
            <w:tcW w:w="3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3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40,000</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3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46,907</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1,455,000</w:t>
            </w:r>
          </w:p>
        </w:tc>
        <w:tc>
          <w:tcPr>
            <w:tcW w:w="60" w:type="dxa"/>
            <w:vAlign w:val="bottom"/>
            <w:shd w:val="clear" w:color="auto" w:fill="CCEEFF"/>
          </w:tcPr>
          <w:p>
            <w:pPr>
              <w:spacing w:after="0"/>
              <w:rPr>
                <w:sz w:val="17"/>
                <w:szCs w:val="17"/>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Section 145 of the DGCL concerning indemnification of officers, directors, employees and agents is set forth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17" w:lineRule="exact"/>
        <w:rPr>
          <w:sz w:val="20"/>
          <w:szCs w:val="20"/>
          <w:color w:val="auto"/>
        </w:rPr>
      </w:pPr>
    </w:p>
    <w:p>
      <w:pPr>
        <w:ind w:left="440" w:right="100" w:hanging="432"/>
        <w:spacing w:after="0" w:line="235" w:lineRule="auto"/>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9" w:lineRule="exact"/>
        <w:rPr>
          <w:rFonts w:ascii="Arial" w:cs="Arial" w:eastAsia="Arial" w:hAnsi="Arial"/>
          <w:sz w:val="18"/>
          <w:szCs w:val="18"/>
          <w:color w:val="auto"/>
        </w:rPr>
      </w:pPr>
    </w:p>
    <w:p>
      <w:pPr>
        <w:ind w:left="440" w:right="20" w:hanging="432"/>
        <w:spacing w:after="0" w:line="237" w:lineRule="auto"/>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80"/>
        <w:spacing w:after="0" w:line="269" w:lineRule="auto"/>
        <w:rPr>
          <w:sz w:val="20"/>
          <w:szCs w:val="20"/>
          <w:color w:val="auto"/>
        </w:rPr>
      </w:pPr>
      <w:r>
        <w:rPr>
          <w:rFonts w:ascii="Arial" w:cs="Arial" w:eastAsia="Arial" w:hAnsi="Arial"/>
          <w:sz w:val="16"/>
          <w:szCs w:val="16"/>
          <w:color w:val="auto"/>
        </w:rPr>
        <w:t>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5" w:lineRule="exact"/>
        <w:rPr>
          <w:sz w:val="20"/>
          <w:szCs w:val="20"/>
          <w:color w:val="auto"/>
        </w:rPr>
      </w:pPr>
    </w:p>
    <w:p>
      <w:pPr>
        <w:ind w:left="440" w:right="180" w:hanging="432"/>
        <w:spacing w:after="0" w:line="237" w:lineRule="auto"/>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3" w:lineRule="exact"/>
        <w:rPr>
          <w:rFonts w:ascii="Arial" w:cs="Arial" w:eastAsia="Arial" w:hAnsi="Arial"/>
          <w:sz w:val="18"/>
          <w:szCs w:val="18"/>
          <w:color w:val="auto"/>
        </w:rPr>
      </w:pPr>
    </w:p>
    <w:p>
      <w:pPr>
        <w:ind w:left="440" w:right="60" w:hanging="432"/>
        <w:spacing w:after="0" w:line="236" w:lineRule="auto"/>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14" w:lineRule="exact"/>
        <w:rPr>
          <w:rFonts w:ascii="Arial" w:cs="Arial" w:eastAsia="Arial" w:hAnsi="Arial"/>
          <w:sz w:val="18"/>
          <w:szCs w:val="18"/>
          <w:color w:val="auto"/>
        </w:rPr>
      </w:pPr>
    </w:p>
    <w:p>
      <w:pPr>
        <w:ind w:left="440" w:right="100" w:hanging="432"/>
        <w:spacing w:after="0" w:line="236" w:lineRule="auto"/>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15" w:lineRule="exact"/>
        <w:rPr>
          <w:rFonts w:ascii="Arial" w:cs="Arial" w:eastAsia="Arial" w:hAnsi="Arial"/>
          <w:sz w:val="18"/>
          <w:szCs w:val="18"/>
          <w:color w:val="auto"/>
        </w:rPr>
      </w:pPr>
    </w:p>
    <w:p>
      <w:pPr>
        <w:ind w:left="440" w:hanging="432"/>
        <w:spacing w:after="0" w:line="236" w:lineRule="auto"/>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3" w:lineRule="exact"/>
        <w:rPr>
          <w:rFonts w:ascii="Arial" w:cs="Arial" w:eastAsia="Arial" w:hAnsi="Arial"/>
          <w:sz w:val="18"/>
          <w:szCs w:val="18"/>
          <w:color w:val="auto"/>
        </w:rPr>
      </w:pPr>
    </w:p>
    <w:p>
      <w:pPr>
        <w:ind w:left="440" w:right="140" w:hanging="432"/>
        <w:spacing w:after="0" w:line="237" w:lineRule="auto"/>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160"/>
        <w:spacing w:after="0" w:line="239" w:lineRule="auto"/>
        <w:rPr>
          <w:sz w:val="20"/>
          <w:szCs w:val="20"/>
          <w:color w:val="auto"/>
        </w:rPr>
      </w:pPr>
      <w:r>
        <w:rPr>
          <w:rFonts w:ascii="Arial" w:cs="Arial" w:eastAsia="Arial" w:hAnsi="Arial"/>
          <w:sz w:val="18"/>
          <w:szCs w:val="18"/>
          <w:color w:val="auto"/>
        </w:rPr>
        <w:t>any such capacity, or arising out of such person’s status as such, whether or not the corporation would have the power to indemnify such person against such liability under this section.</w:t>
      </w:r>
    </w:p>
    <w:p>
      <w:pPr>
        <w:spacing w:after="0" w:line="114" w:lineRule="exact"/>
        <w:rPr>
          <w:sz w:val="20"/>
          <w:szCs w:val="20"/>
          <w:color w:val="auto"/>
        </w:rPr>
      </w:pPr>
    </w:p>
    <w:p>
      <w:pPr>
        <w:ind w:left="440" w:right="140" w:hanging="432"/>
        <w:spacing w:after="0" w:line="236" w:lineRule="auto"/>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14" w:lineRule="exact"/>
        <w:rPr>
          <w:rFonts w:ascii="Arial" w:cs="Arial" w:eastAsia="Arial" w:hAnsi="Arial"/>
          <w:sz w:val="18"/>
          <w:szCs w:val="18"/>
          <w:color w:val="auto"/>
        </w:rPr>
      </w:pPr>
    </w:p>
    <w:p>
      <w:pPr>
        <w:ind w:left="440" w:right="40" w:hanging="432"/>
        <w:spacing w:after="0" w:line="271" w:lineRule="auto"/>
        <w:tabs>
          <w:tab w:leader="none" w:pos="4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89" w:lineRule="exact"/>
        <w:rPr>
          <w:rFonts w:ascii="Arial" w:cs="Arial" w:eastAsia="Arial" w:hAnsi="Arial"/>
          <w:sz w:val="16"/>
          <w:szCs w:val="16"/>
          <w:color w:val="auto"/>
        </w:rPr>
      </w:pPr>
    </w:p>
    <w:p>
      <w:pPr>
        <w:ind w:left="440" w:right="80" w:hanging="432"/>
        <w:spacing w:after="0" w:line="238" w:lineRule="auto"/>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3" w:lineRule="exact"/>
        <w:rPr>
          <w:rFonts w:ascii="Arial" w:cs="Arial" w:eastAsia="Arial" w:hAnsi="Arial"/>
          <w:sz w:val="18"/>
          <w:szCs w:val="18"/>
          <w:color w:val="auto"/>
        </w:rPr>
      </w:pPr>
    </w:p>
    <w:p>
      <w:pPr>
        <w:ind w:left="440" w:hanging="432"/>
        <w:spacing w:after="0" w:line="238" w:lineRule="auto"/>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00"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8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60"/>
        <w:spacing w:after="0" w:line="299" w:lineRule="auto"/>
        <w:rPr>
          <w:sz w:val="20"/>
          <w:szCs w:val="20"/>
          <w:color w:val="auto"/>
        </w:rPr>
      </w:pPr>
      <w:r>
        <w:rPr>
          <w:rFonts w:ascii="Arial" w:cs="Arial" w:eastAsia="Arial" w:hAnsi="Arial"/>
          <w:sz w:val="16"/>
          <w:szCs w:val="16"/>
          <w:color w:val="auto"/>
        </w:rPr>
        <w:t>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material provisions inconsistent therewith, will (unless otherwise required by law) be prospective only, except to the extent such amendment or change in law permits us to further limit or eliminate the liability of directors on a retroactive basis.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right to indemnification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0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Any repeal or amendment of provisions of our amended and restated certificate of incorporation affecting indemnification rights, whether by our stockholders or by changes in law, or the adoption of any other material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than those specifically covered by our amended and restated certificate of incorporation.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459" w:right="3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bylaws include provisions relating to advancement of expenses and indemnification rights consistent with those to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02"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material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03"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filed as Exhibit 10.6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0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Pursuant to the form of underwriting agreement filed as Exhibit 1.1 to this registration statement, we have agreed to indemnify the underwriter and the underwriter has agreed to indemnify us against certain civil liabilities that may be incurred in connection with this offering, including certain liabilities under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On March 8, 2021, Dynamics Sponsor LLC, our sponsor, purchased from us an aggregate of 5,750,000 shares of Class B common stock, or founder shares, for an aggregate purchase price of $25,000, or approximately $0.004 per share, in a private placement.</w:t>
      </w:r>
    </w:p>
    <w:p>
      <w:pPr>
        <w:spacing w:after="0" w:line="10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our sponsor has committed to purchase an aggregate of 655,500 shares of Class A common stock (or 715,500 shares of Class A common stock if the underwriter’s over-allotment option is exercised in full), at $10.00 per share ($6,555,000 in the aggregate, or $7,155,000 if the underwriter’s over-allotment option is exercised in full).</w:t>
      </w:r>
    </w:p>
    <w:p>
      <w:pPr>
        <w:spacing w:after="0" w:line="100"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This purchase will take place on a private placement basis concurrently with the completion of our initial public offering. This issuance will be made pursuant to the exemption from registration contained in Section 4(a)(2) of the Securities Act.</w:t>
      </w:r>
    </w:p>
    <w:p>
      <w:pPr>
        <w:spacing w:after="0" w:line="101"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Our sponsor is an accredited investor for purposes of Rule 501 of Regulation D. No underwriting discounts or commissions were paid with respect to such sales.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29" w:lineRule="exact"/>
        <w:rPr>
          <w:sz w:val="20"/>
          <w:szCs w:val="20"/>
          <w:color w:val="auto"/>
        </w:rPr>
      </w:pPr>
    </w:p>
    <w:p>
      <w:pPr>
        <w:ind w:left="440" w:hanging="432"/>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following exhibits are filed as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5"/>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040" w:type="dxa"/>
            <w:vAlign w:val="bottom"/>
            <w:tcBorders>
              <w:bottom w:val="single" w:sz="8" w:color="auto"/>
            </w:tcBorders>
            <w:gridSpan w:val="17"/>
          </w:tcPr>
          <w:p>
            <w:pPr>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1.1</w:t>
            </w:r>
          </w:p>
        </w:tc>
        <w:tc>
          <w:tcPr>
            <w:tcW w:w="10040" w:type="dxa"/>
            <w:vAlign w:val="bottom"/>
            <w:gridSpan w:val="17"/>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Form of Underwriting Agreement</w:t>
              </w:r>
            </w:hyperlink>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20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236">
              <w:r>
                <w:rPr>
                  <w:rFonts w:ascii="Arial" w:cs="Arial" w:eastAsia="Arial" w:hAnsi="Arial"/>
                  <w:sz w:val="18"/>
                  <w:szCs w:val="18"/>
                  <w:color w:val="0000EE"/>
                  <w:w w:val="96"/>
                </w:rPr>
                <w:t>Certificate of Incorporation</w:t>
              </w:r>
            </w:hyperlink>
          </w:p>
        </w:tc>
        <w:tc>
          <w:tcPr>
            <w:tcW w:w="480" w:type="dxa"/>
            <w:vAlign w:val="bottom"/>
            <w:tcBorders>
              <w:top w:val="single" w:sz="8" w:color="0000EE"/>
            </w:tcBorders>
            <w:gridSpan w:val="2"/>
          </w:tcPr>
          <w:p>
            <w:pPr>
              <w:spacing w:after="0"/>
              <w:rPr>
                <w:sz w:val="21"/>
                <w:szCs w:val="21"/>
                <w:color w:val="auto"/>
              </w:rPr>
            </w:pPr>
          </w:p>
        </w:tc>
        <w:tc>
          <w:tcPr>
            <w:tcW w:w="7500" w:type="dxa"/>
            <w:vAlign w:val="bottom"/>
            <w:gridSpan w:val="12"/>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46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39">
              <w:r>
                <w:rPr>
                  <w:rFonts w:ascii="Arial" w:cs="Arial" w:eastAsia="Arial" w:hAnsi="Arial"/>
                  <w:sz w:val="18"/>
                  <w:szCs w:val="18"/>
                  <w:color w:val="0000EE"/>
                  <w:w w:val="96"/>
                </w:rPr>
                <w:t>Form of Amended and Restated Certificate of Incorporation</w:t>
              </w:r>
            </w:hyperlink>
          </w:p>
        </w:tc>
        <w:tc>
          <w:tcPr>
            <w:tcW w:w="5440" w:type="dxa"/>
            <w:vAlign w:val="bottom"/>
            <w:gridSpan w:val="9"/>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0000EE"/>
            </w:tcBorders>
          </w:tcPr>
          <w:p>
            <w:pPr>
              <w:spacing w:after="0"/>
              <w:rPr>
                <w:rFonts w:ascii="Arial" w:cs="Arial" w:eastAsia="Arial" w:hAnsi="Arial"/>
                <w:sz w:val="18"/>
                <w:szCs w:val="18"/>
                <w:color w:val="0000EE"/>
                <w:w w:val="94"/>
              </w:rPr>
            </w:pPr>
            <w:hyperlink w:anchor="page259">
              <w:r>
                <w:rPr>
                  <w:rFonts w:ascii="Arial" w:cs="Arial" w:eastAsia="Arial" w:hAnsi="Arial"/>
                  <w:sz w:val="18"/>
                  <w:szCs w:val="18"/>
                  <w:color w:val="0000EE"/>
                  <w:w w:val="94"/>
                </w:rPr>
                <w:t>Bylaws</w:t>
              </w:r>
            </w:hyperlink>
          </w:p>
        </w:tc>
        <w:tc>
          <w:tcPr>
            <w:tcW w:w="9480" w:type="dxa"/>
            <w:vAlign w:val="bottom"/>
            <w:gridSpan w:val="16"/>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4.1</w:t>
            </w:r>
          </w:p>
        </w:tc>
        <w:tc>
          <w:tcPr>
            <w:tcW w:w="10040" w:type="dxa"/>
            <w:vAlign w:val="bottom"/>
            <w:gridSpan w:val="17"/>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Specimen Class A Common Stock Certificate</w:t>
              </w:r>
            </w:hyperlink>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5.1</w:t>
            </w:r>
          </w:p>
        </w:tc>
        <w:tc>
          <w:tcPr>
            <w:tcW w:w="3500" w:type="dxa"/>
            <w:vAlign w:val="bottom"/>
            <w:tcBorders>
              <w:top w:val="single" w:sz="8" w:color="0000EE"/>
            </w:tcBorders>
            <w:gridSpan w:val="7"/>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Opinion of Davis Polk &amp; Wardwell LLP</w:t>
              </w:r>
            </w:hyperlink>
          </w:p>
        </w:tc>
        <w:tc>
          <w:tcPr>
            <w:tcW w:w="6540" w:type="dxa"/>
            <w:vAlign w:val="bottom"/>
            <w:gridSpan w:val="10"/>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10.1</w:t>
            </w:r>
          </w:p>
        </w:tc>
        <w:tc>
          <w:tcPr>
            <w:tcW w:w="1000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290">
              <w:r>
                <w:rPr>
                  <w:rFonts w:ascii="Arial" w:cs="Arial" w:eastAsia="Arial" w:hAnsi="Arial"/>
                  <w:sz w:val="18"/>
                  <w:szCs w:val="18"/>
                  <w:color w:val="0000EE"/>
                  <w:w w:val="97"/>
                </w:rPr>
                <w:t>Form of Letter Agreement among the Registrant, Dynamics Sponsor LLC, and each of the officers and directors of the Registrant</w:t>
              </w:r>
            </w:hyperlink>
          </w:p>
        </w:tc>
        <w:tc>
          <w:tcPr>
            <w:tcW w:w="40" w:type="dxa"/>
            <w:vAlign w:val="bottom"/>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10.2</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306">
              <w:r>
                <w:rPr>
                  <w:rFonts w:ascii="Arial" w:cs="Arial" w:eastAsia="Arial" w:hAnsi="Arial"/>
                  <w:sz w:val="18"/>
                  <w:szCs w:val="18"/>
                  <w:color w:val="0000EE"/>
                  <w:w w:val="97"/>
                </w:rPr>
                <w:t>Form of Investment Management Trust Agreement between Continental Stock Transfer &amp; Trust Company and the Registrant</w:t>
              </w:r>
            </w:hyperlink>
          </w:p>
        </w:tc>
        <w:tc>
          <w:tcPr>
            <w:tcW w:w="380" w:type="dxa"/>
            <w:vAlign w:val="bottom"/>
            <w:gridSpan w:val="2"/>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10.3</w:t>
            </w:r>
          </w:p>
        </w:tc>
        <w:tc>
          <w:tcPr>
            <w:tcW w:w="854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323">
              <w:r>
                <w:rPr>
                  <w:rFonts w:ascii="Arial" w:cs="Arial" w:eastAsia="Arial" w:hAnsi="Arial"/>
                  <w:sz w:val="18"/>
                  <w:szCs w:val="18"/>
                  <w:color w:val="0000EE"/>
                  <w:w w:val="97"/>
                </w:rPr>
                <w:t>Securities Subscription Agreement, dated March 8, 2021, between the Registrant and Dynamics Sponsor LLC</w:t>
              </w:r>
            </w:hyperlink>
          </w:p>
        </w:tc>
        <w:tc>
          <w:tcPr>
            <w:tcW w:w="1500" w:type="dxa"/>
            <w:vAlign w:val="bottom"/>
            <w:gridSpan w:val="3"/>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10.4</w:t>
            </w:r>
          </w:p>
        </w:tc>
        <w:tc>
          <w:tcPr>
            <w:tcW w:w="838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331">
              <w:r>
                <w:rPr>
                  <w:rFonts w:ascii="Arial" w:cs="Arial" w:eastAsia="Arial" w:hAnsi="Arial"/>
                  <w:sz w:val="18"/>
                  <w:szCs w:val="18"/>
                  <w:color w:val="0000EE"/>
                  <w:w w:val="97"/>
                </w:rPr>
                <w:t>Form of Private Placement Share Purchase Agreement between the Registrant and Dynamics Sponsor LLC</w:t>
              </w:r>
            </w:hyperlink>
          </w:p>
        </w:tc>
        <w:tc>
          <w:tcPr>
            <w:tcW w:w="1660" w:type="dxa"/>
            <w:vAlign w:val="bottom"/>
            <w:gridSpan w:val="4"/>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10.5</w:t>
            </w:r>
          </w:p>
        </w:tc>
        <w:tc>
          <w:tcPr>
            <w:tcW w:w="83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338">
              <w:r>
                <w:rPr>
                  <w:rFonts w:ascii="Arial" w:cs="Arial" w:eastAsia="Arial" w:hAnsi="Arial"/>
                  <w:sz w:val="18"/>
                  <w:szCs w:val="18"/>
                  <w:color w:val="0000EE"/>
                  <w:w w:val="97"/>
                </w:rPr>
                <w:t>Form of Registration and Stockholder Rights Agreement between the Registrant and certain securityholders</w:t>
              </w:r>
            </w:hyperlink>
          </w:p>
        </w:tc>
        <w:tc>
          <w:tcPr>
            <w:tcW w:w="1680" w:type="dxa"/>
            <w:vAlign w:val="bottom"/>
            <w:gridSpan w:val="5"/>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10.6</w:t>
            </w:r>
          </w:p>
        </w:tc>
        <w:tc>
          <w:tcPr>
            <w:tcW w:w="232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363">
              <w:r>
                <w:rPr>
                  <w:rFonts w:ascii="Arial" w:cs="Arial" w:eastAsia="Arial" w:hAnsi="Arial"/>
                  <w:sz w:val="18"/>
                  <w:szCs w:val="18"/>
                  <w:color w:val="0000EE"/>
                  <w:w w:val="96"/>
                </w:rPr>
                <w:t>Form of Indemnity Agreement</w:t>
              </w:r>
            </w:hyperlink>
          </w:p>
        </w:tc>
        <w:tc>
          <w:tcPr>
            <w:tcW w:w="7720" w:type="dxa"/>
            <w:vAlign w:val="bottom"/>
            <w:gridSpan w:val="13"/>
          </w:tcPr>
          <w:p>
            <w:pPr>
              <w:spacing w:after="0"/>
              <w:rPr>
                <w:sz w:val="21"/>
                <w:szCs w:val="2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10.7</w:t>
            </w:r>
          </w:p>
        </w:tc>
        <w:tc>
          <w:tcPr>
            <w:tcW w:w="10040" w:type="dxa"/>
            <w:vAlign w:val="bottom"/>
            <w:gridSpan w:val="17"/>
          </w:tcPr>
          <w:p>
            <w:pPr>
              <w:spacing w:after="0"/>
              <w:rPr>
                <w:rFonts w:ascii="Arial" w:cs="Arial" w:eastAsia="Arial" w:hAnsi="Arial"/>
                <w:sz w:val="18"/>
                <w:szCs w:val="18"/>
                <w:color w:val="0000EE"/>
              </w:rPr>
            </w:pPr>
            <w:hyperlink w:anchor="page379">
              <w:r>
                <w:rPr>
                  <w:rFonts w:ascii="Arial" w:cs="Arial" w:eastAsia="Arial" w:hAnsi="Arial"/>
                  <w:sz w:val="18"/>
                  <w:szCs w:val="18"/>
                  <w:color w:val="0000EE"/>
                </w:rPr>
                <w:t>Promissory Note issued in favor of Dynamics Sponsor LLC, dated March 8, 2021</w:t>
              </w:r>
            </w:hyperlink>
          </w:p>
        </w:tc>
      </w:tr>
      <w:tr>
        <w:trPr>
          <w:trHeight w:val="20"/>
        </w:trPr>
        <w:tc>
          <w:tcPr>
            <w:tcW w:w="120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00" w:type="dxa"/>
            <w:vAlign w:val="bottom"/>
            <w:gridSpan w:val="7"/>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10.8</w:t>
            </w:r>
          </w:p>
        </w:tc>
        <w:tc>
          <w:tcPr>
            <w:tcW w:w="10040" w:type="dxa"/>
            <w:vAlign w:val="bottom"/>
            <w:gridSpan w:val="17"/>
          </w:tcPr>
          <w:p>
            <w:pPr>
              <w:spacing w:after="0"/>
              <w:rPr>
                <w:rFonts w:ascii="Arial" w:cs="Arial" w:eastAsia="Arial" w:hAnsi="Arial"/>
                <w:sz w:val="18"/>
                <w:szCs w:val="18"/>
                <w:color w:val="0000EE"/>
              </w:rPr>
            </w:pPr>
            <w:hyperlink w:anchor="page383">
              <w:r>
                <w:rPr>
                  <w:rFonts w:ascii="Arial" w:cs="Arial" w:eastAsia="Arial" w:hAnsi="Arial"/>
                  <w:sz w:val="18"/>
                  <w:szCs w:val="18"/>
                  <w:color w:val="0000EE"/>
                </w:rPr>
                <w:t>Form of Administrative Services Agreement between the Registrant and Dynamics Sponsor LLC</w:t>
              </w:r>
            </w:hyperlink>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23.1</w:t>
            </w:r>
          </w:p>
        </w:tc>
        <w:tc>
          <w:tcPr>
            <w:tcW w:w="7460" w:type="dxa"/>
            <w:vAlign w:val="bottom"/>
            <w:tcBorders>
              <w:top w:val="single" w:sz="8" w:color="0000EE"/>
            </w:tcBorders>
            <w:gridSpan w:val="11"/>
          </w:tcPr>
          <w:p>
            <w:pPr>
              <w:spacing w:after="0"/>
              <w:rPr>
                <w:rFonts w:ascii="Arial" w:cs="Arial" w:eastAsia="Arial" w:hAnsi="Arial"/>
                <w:sz w:val="18"/>
                <w:szCs w:val="18"/>
                <w:color w:val="0000EE"/>
              </w:rPr>
            </w:pPr>
            <w:hyperlink w:anchor="page385">
              <w:r>
                <w:rPr>
                  <w:rFonts w:ascii="Arial" w:cs="Arial" w:eastAsia="Arial" w:hAnsi="Arial"/>
                  <w:sz w:val="18"/>
                  <w:szCs w:val="18"/>
                  <w:color w:val="0000EE"/>
                </w:rPr>
                <w:t>Consent of Marcum LLP</w:t>
              </w:r>
            </w:hyperlink>
          </w:p>
        </w:tc>
        <w:tc>
          <w:tcPr>
            <w:tcW w:w="2580" w:type="dxa"/>
            <w:vAlign w:val="bottom"/>
            <w:gridSpan w:val="6"/>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r>
      <w:tr>
        <w:trPr>
          <w:trHeight w:val="250"/>
        </w:trPr>
        <w:tc>
          <w:tcPr>
            <w:tcW w:w="1200" w:type="dxa"/>
            <w:vAlign w:val="bottom"/>
          </w:tcPr>
          <w:p>
            <w:pPr>
              <w:jc w:val="right"/>
              <w:ind w:right="512"/>
              <w:spacing w:after="0"/>
              <w:rPr>
                <w:sz w:val="20"/>
                <w:szCs w:val="20"/>
                <w:color w:val="auto"/>
              </w:rPr>
            </w:pPr>
            <w:r>
              <w:rPr>
                <w:rFonts w:ascii="Arial" w:cs="Arial" w:eastAsia="Arial" w:hAnsi="Arial"/>
                <w:sz w:val="18"/>
                <w:szCs w:val="18"/>
                <w:color w:val="auto"/>
              </w:rPr>
              <w:t>23.2</w:t>
            </w:r>
          </w:p>
        </w:tc>
        <w:tc>
          <w:tcPr>
            <w:tcW w:w="10040" w:type="dxa"/>
            <w:vAlign w:val="bottom"/>
            <w:gridSpan w:val="17"/>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Consent of Davis Polk &amp; Wardwell LLP (included in Exhibit 5.1)</w:t>
              </w:r>
            </w:hyperlink>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4" w:lineRule="exact"/>
        <w:rPr>
          <w:sz w:val="20"/>
          <w:szCs w:val="20"/>
          <w:color w:val="auto"/>
        </w:rPr>
      </w:pPr>
    </w:p>
    <w:p>
      <w:pPr>
        <w:ind w:left="1200" w:hanging="793"/>
        <w:spacing w:after="0"/>
        <w:tabs>
          <w:tab w:leader="none" w:pos="1200" w:val="left"/>
        </w:tabs>
        <w:numPr>
          <w:ilvl w:val="1"/>
          <w:numId w:val="90"/>
        </w:numPr>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Power of Attorney (included on the signature page of this Registration Statement)</w:t>
        </w:r>
      </w:hyperlink>
    </w:p>
    <w:p>
      <w:pPr>
        <w:spacing w:after="0" w:line="126" w:lineRule="exact"/>
        <w:rPr>
          <w:rFonts w:ascii="Arial" w:cs="Arial" w:eastAsia="Arial" w:hAnsi="Arial"/>
          <w:sz w:val="18"/>
          <w:szCs w:val="18"/>
          <w:u w:val="single" w:color="auto"/>
          <w:color w:val="0000EE"/>
        </w:rPr>
      </w:pPr>
    </w:p>
    <w:p>
      <w:pPr>
        <w:ind w:left="440" w:hanging="432"/>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included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17. Undertakings.</w:t>
      </w:r>
    </w:p>
    <w:p>
      <w:pPr>
        <w:spacing w:after="0" w:line="147" w:lineRule="exact"/>
        <w:rPr>
          <w:sz w:val="20"/>
          <w:szCs w:val="20"/>
          <w:color w:val="auto"/>
        </w:rPr>
      </w:pPr>
    </w:p>
    <w:p>
      <w:pPr>
        <w:ind w:left="440" w:right="640" w:hanging="432"/>
        <w:spacing w:after="0" w:line="238" w:lineRule="auto"/>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40" w:right="280" w:hanging="432"/>
        <w:spacing w:after="0" w:line="235" w:lineRule="auto"/>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9" w:lineRule="exact"/>
        <w:rPr>
          <w:rFonts w:ascii="Arial" w:cs="Arial" w:eastAsia="Arial" w:hAnsi="Arial"/>
          <w:sz w:val="18"/>
          <w:szCs w:val="18"/>
          <w:color w:val="auto"/>
        </w:rPr>
      </w:pPr>
    </w:p>
    <w:p>
      <w:pPr>
        <w:ind w:left="440" w:hanging="432"/>
        <w:spacing w:after="0"/>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000" w:right="120" w:hanging="547"/>
        <w:spacing w:after="0" w:line="237"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3" w:lineRule="exact"/>
        <w:rPr>
          <w:rFonts w:ascii="Arial" w:cs="Arial" w:eastAsia="Arial" w:hAnsi="Arial"/>
          <w:sz w:val="18"/>
          <w:szCs w:val="18"/>
          <w:color w:val="auto"/>
        </w:rPr>
      </w:pPr>
    </w:p>
    <w:p>
      <w:pPr>
        <w:ind w:left="1000" w:right="40" w:hanging="547"/>
        <w:spacing w:after="0" w:line="238"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3" w:lineRule="exact"/>
        <w:rPr>
          <w:rFonts w:ascii="Arial" w:cs="Arial" w:eastAsia="Arial" w:hAnsi="Arial"/>
          <w:sz w:val="18"/>
          <w:szCs w:val="18"/>
          <w:color w:val="auto"/>
        </w:rPr>
      </w:pPr>
    </w:p>
    <w:p>
      <w:pPr>
        <w:ind w:left="1000" w:hanging="547"/>
        <w:spacing w:after="0" w:line="269" w:lineRule="auto"/>
        <w:tabs>
          <w:tab w:leader="none" w:pos="10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1" w:lineRule="exact"/>
        <w:rPr>
          <w:rFonts w:ascii="Arial" w:cs="Arial" w:eastAsia="Arial" w:hAnsi="Arial"/>
          <w:sz w:val="16"/>
          <w:szCs w:val="16"/>
          <w:color w:val="auto"/>
        </w:rPr>
      </w:pPr>
    </w:p>
    <w:p>
      <w:pPr>
        <w:ind w:left="1000" w:hanging="547"/>
        <w:spacing w:after="0" w:line="236" w:lineRule="auto"/>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6" w:lineRule="exact"/>
        <w:rPr>
          <w:rFonts w:ascii="Arial" w:cs="Arial" w:eastAsia="Arial" w:hAnsi="Arial"/>
          <w:sz w:val="18"/>
          <w:szCs w:val="18"/>
          <w:color w:val="auto"/>
        </w:rPr>
      </w:pPr>
    </w:p>
    <w:p>
      <w:pPr>
        <w:ind w:left="1440" w:right="120" w:hanging="433"/>
        <w:spacing w:after="0" w:line="239" w:lineRule="auto"/>
        <w:tabs>
          <w:tab w:leader="none" w:pos="14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14" w:lineRule="exact"/>
        <w:rPr>
          <w:rFonts w:ascii="Arial" w:cs="Arial" w:eastAsia="Arial" w:hAnsi="Arial"/>
          <w:sz w:val="18"/>
          <w:szCs w:val="18"/>
          <w:color w:val="auto"/>
        </w:rPr>
      </w:pPr>
    </w:p>
    <w:p>
      <w:pPr>
        <w:ind w:left="1440" w:hanging="433"/>
        <w:spacing w:after="0" w:line="239" w:lineRule="auto"/>
        <w:tabs>
          <w:tab w:leader="none" w:pos="14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14" w:lineRule="exact"/>
        <w:rPr>
          <w:rFonts w:ascii="Arial" w:cs="Arial" w:eastAsia="Arial" w:hAnsi="Arial"/>
          <w:sz w:val="18"/>
          <w:szCs w:val="18"/>
          <w:color w:val="auto"/>
        </w:rPr>
      </w:pPr>
    </w:p>
    <w:p>
      <w:pPr>
        <w:ind w:left="1440" w:right="180" w:hanging="433"/>
        <w:spacing w:after="0" w:line="239" w:lineRule="auto"/>
        <w:tabs>
          <w:tab w:leader="none" w:pos="14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4" w:lineRule="exact"/>
        <w:rPr>
          <w:rFonts w:ascii="Arial" w:cs="Arial" w:eastAsia="Arial" w:hAnsi="Arial"/>
          <w:sz w:val="18"/>
          <w:szCs w:val="18"/>
          <w:color w:val="auto"/>
        </w:rPr>
      </w:pPr>
    </w:p>
    <w:p>
      <w:pPr>
        <w:ind w:left="1440" w:hanging="433"/>
        <w:spacing w:after="0"/>
        <w:tabs>
          <w:tab w:leader="none" w:pos="144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20"/>
          </w:cols>
          <w:pgMar w:left="320" w:top="459" w:right="3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15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on the 20</w:t>
      </w:r>
      <w:r>
        <w:rPr>
          <w:rFonts w:ascii="Arial" w:cs="Arial" w:eastAsia="Arial" w:hAnsi="Arial"/>
          <w:sz w:val="11"/>
          <w:szCs w:val="11"/>
          <w:color w:val="auto"/>
        </w:rPr>
        <w:t>th</w:t>
      </w:r>
      <w:r>
        <w:rPr>
          <w:rFonts w:ascii="Arial" w:cs="Arial" w:eastAsia="Arial" w:hAnsi="Arial"/>
          <w:sz w:val="18"/>
          <w:szCs w:val="18"/>
          <w:color w:val="auto"/>
        </w:rPr>
        <w:t xml:space="preserve"> day of May, 2021.</w:t>
      </w:r>
    </w:p>
    <w:p>
      <w:pPr>
        <w:spacing w:after="0" w:line="9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Dynamics Special Purpose Corp.</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Mostafa Ronaghi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-4445</wp:posOffset>
            </wp:positionV>
            <wp:extent cx="26403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 Mostafa Ronaghi</w:t>
      </w:r>
    </w:p>
    <w:p>
      <w:pPr>
        <w:ind w:left="7120"/>
        <w:spacing w:after="0"/>
        <w:tabs>
          <w:tab w:leader="none" w:pos="7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Power of attorney</w:t>
      </w:r>
    </w:p>
    <w:p>
      <w:pPr>
        <w:spacing w:after="0" w:line="15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We, the undersigned directors and officers of Dynamics Special Purpose Corp. hereby severally constitute and appoint Mostafa Ronaghi and Mark Afrasiabi, each acting together or alone, his or her true and lawful attorneys-in-fact and agents, with full power of substitution and resubstitution, for such person and in his or her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spacing w:after="0" w:line="106"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Signature</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398"/>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May 20, 2021</w:t>
            </w:r>
          </w:p>
        </w:tc>
      </w:tr>
      <w:tr>
        <w:trPr>
          <w:trHeight w:val="226"/>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7"/>
              </w:rPr>
              <w:t>Omid Farokhzad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jc w:val="center"/>
              <w:ind w:right="132"/>
              <w:spacing w:after="0"/>
              <w:rPr>
                <w:sz w:val="20"/>
                <w:szCs w:val="20"/>
                <w:color w:val="auto"/>
              </w:rPr>
            </w:pPr>
            <w:r>
              <w:rPr>
                <w:rFonts w:ascii="Arial" w:cs="Arial" w:eastAsia="Arial" w:hAnsi="Arial"/>
                <w:sz w:val="18"/>
                <w:szCs w:val="18"/>
                <w:b w:val="1"/>
                <w:bCs w:val="1"/>
                <w:color w:val="auto"/>
                <w:w w:val="97"/>
              </w:rPr>
              <w:t>Executive Chair of the Board of Directors</w:t>
            </w: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02"/>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 Mostafa Ronaghi</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May 20, 2021</w:t>
            </w:r>
          </w:p>
        </w:tc>
      </w:tr>
      <w:tr>
        <w:trPr>
          <w:trHeight w:val="226"/>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7"/>
              </w:rPr>
              <w:t>Mostafa Ronaghi</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jc w:val="center"/>
              <w:ind w:right="132"/>
              <w:spacing w:after="0"/>
              <w:rPr>
                <w:sz w:val="20"/>
                <w:szCs w:val="20"/>
                <w:color w:val="auto"/>
              </w:rPr>
            </w:pPr>
            <w:r>
              <w:rPr>
                <w:rFonts w:ascii="Arial" w:cs="Arial" w:eastAsia="Arial" w:hAnsi="Arial"/>
                <w:sz w:val="18"/>
                <w:szCs w:val="18"/>
                <w:b w:val="1"/>
                <w:bCs w:val="1"/>
                <w:color w:val="auto"/>
                <w:w w:val="97"/>
              </w:rPr>
              <w:t>Chief Executive Officer and Director</w:t>
            </w: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02"/>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May 20, 2021</w:t>
            </w:r>
          </w:p>
        </w:tc>
      </w:tr>
      <w:tr>
        <w:trPr>
          <w:trHeight w:val="226"/>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6"/>
              </w:rPr>
              <w:t>Mark Afrasiabi</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jc w:val="center"/>
              <w:ind w:right="112"/>
              <w:spacing w:after="0"/>
              <w:rPr>
                <w:sz w:val="20"/>
                <w:szCs w:val="20"/>
                <w:color w:val="auto"/>
              </w:rPr>
            </w:pPr>
            <w:r>
              <w:rPr>
                <w:rFonts w:ascii="Arial" w:cs="Arial" w:eastAsia="Arial" w:hAnsi="Arial"/>
                <w:sz w:val="18"/>
                <w:szCs w:val="18"/>
                <w:b w:val="1"/>
                <w:bCs w:val="1"/>
                <w:color w:val="auto"/>
                <w:w w:val="97"/>
              </w:rPr>
              <w:t>Chief Financial Officer</w:t>
            </w: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02"/>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May 20, 2021</w:t>
            </w:r>
          </w:p>
        </w:tc>
      </w:tr>
      <w:tr>
        <w:trPr>
          <w:trHeight w:val="226"/>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7"/>
              </w:rPr>
              <w:t>David Epstein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jc w:val="center"/>
              <w:ind w:right="132"/>
              <w:spacing w:after="0"/>
              <w:rPr>
                <w:sz w:val="20"/>
                <w:szCs w:val="20"/>
                <w:color w:val="auto"/>
              </w:rPr>
            </w:pPr>
            <w:r>
              <w:rPr>
                <w:rFonts w:ascii="Arial" w:cs="Arial" w:eastAsia="Arial" w:hAnsi="Arial"/>
                <w:sz w:val="18"/>
                <w:szCs w:val="18"/>
                <w:b w:val="1"/>
                <w:bCs w:val="1"/>
                <w:color w:val="auto"/>
                <w:w w:val="98"/>
              </w:rPr>
              <w:t>Director</w:t>
            </w: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02"/>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May 20, 2021</w:t>
            </w:r>
          </w:p>
        </w:tc>
      </w:tr>
      <w:tr>
        <w:trPr>
          <w:trHeight w:val="226"/>
        </w:trPr>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7"/>
              </w:rPr>
              <w:t>Jay Flatley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jc w:val="center"/>
              <w:ind w:right="132"/>
              <w:spacing w:after="0"/>
              <w:rPr>
                <w:sz w:val="20"/>
                <w:szCs w:val="20"/>
                <w:color w:val="auto"/>
              </w:rPr>
            </w:pPr>
            <w:r>
              <w:rPr>
                <w:rFonts w:ascii="Arial" w:cs="Arial" w:eastAsia="Arial" w:hAnsi="Arial"/>
                <w:sz w:val="18"/>
                <w:szCs w:val="18"/>
                <w:b w:val="1"/>
                <w:bCs w:val="1"/>
                <w:color w:val="auto"/>
                <w:w w:val="98"/>
              </w:rPr>
              <w:t>Director</w:t>
            </w:r>
          </w:p>
        </w:tc>
        <w:tc>
          <w:tcPr>
            <w:tcW w:w="2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02"/>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May 20, 2021</w:t>
            </w:r>
          </w:p>
        </w:tc>
      </w:tr>
      <w:tr>
        <w:trPr>
          <w:trHeight w:val="223"/>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Deep Nishar</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8"/>
              </w:rPr>
              <w:t>Director</w:t>
            </w: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hanging="112"/>
        <w:spacing w:after="0"/>
        <w:tabs>
          <w:tab w:leader="none" w:pos="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 /s/ Mostafa Ronaghi</w:t>
      </w:r>
    </w:p>
    <w:p>
      <w:pPr>
        <w:spacing w:after="0" w:line="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Name: Mostafa Ronaghi</w:t>
      </w:r>
    </w:p>
    <w:p>
      <w:pPr>
        <w:ind w:left="460"/>
        <w:spacing w:after="0"/>
        <w:rPr>
          <w:rFonts w:ascii="Arial" w:cs="Arial" w:eastAsia="Arial" w:hAnsi="Arial"/>
          <w:sz w:val="18"/>
          <w:szCs w:val="18"/>
          <w:color w:val="auto"/>
        </w:rPr>
      </w:pPr>
      <w:r>
        <w:rPr>
          <w:rFonts w:ascii="Arial" w:cs="Arial" w:eastAsia="Arial" w:hAnsi="Arial"/>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-278765</wp:posOffset>
            </wp:positionV>
            <wp:extent cx="25546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0139"/>
          </w:cols>
          <w:pgMar w:left="320" w:top="459"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DYNAMICS SPECIAL PURPOSE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 Shares of Class A 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 of the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Dynamics Special Purpose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proposes to issue and sell to the several underwriters listed in Schedule 1 hereto (collectively,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for whom you are acting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an aggregate of 20,000,000 shares of the Company’s Class A common stock, par value $0.0001 per share (the “</w:t>
      </w:r>
      <w:r>
        <w:rPr>
          <w:rFonts w:ascii="Arial" w:cs="Arial" w:eastAsia="Arial" w:hAnsi="Arial"/>
          <w:sz w:val="18"/>
          <w:szCs w:val="18"/>
          <w:b w:val="1"/>
          <w:bCs w:val="1"/>
          <w:i w:val="1"/>
          <w:iCs w:val="1"/>
          <w:color w:val="auto"/>
        </w:rPr>
        <w:t>Underwritten Shares</w:t>
      </w:r>
      <w:r>
        <w:rPr>
          <w:rFonts w:ascii="Arial" w:cs="Arial" w:eastAsia="Arial" w:hAnsi="Arial"/>
          <w:sz w:val="18"/>
          <w:szCs w:val="18"/>
          <w:color w:val="auto"/>
        </w:rPr>
        <w:t>”) and, at the option of the Underwriters, up to an additional 3,000,000 shares of the Company’s Class A common stock (the “</w:t>
      </w:r>
      <w:r>
        <w:rPr>
          <w:rFonts w:ascii="Arial" w:cs="Arial" w:eastAsia="Arial" w:hAnsi="Arial"/>
          <w:sz w:val="18"/>
          <w:szCs w:val="18"/>
          <w:b w:val="1"/>
          <w:bCs w:val="1"/>
          <w:i w:val="1"/>
          <w:iCs w:val="1"/>
          <w:color w:val="auto"/>
        </w:rPr>
        <w:t>Option Shares</w:t>
      </w:r>
      <w:r>
        <w:rPr>
          <w:rFonts w:ascii="Arial" w:cs="Arial" w:eastAsia="Arial" w:hAnsi="Arial"/>
          <w:sz w:val="18"/>
          <w:szCs w:val="18"/>
          <w:color w:val="auto"/>
        </w:rPr>
        <w:t>”). The Underwritten Shares and the Option Shares are herein referred to as the “</w:t>
      </w: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To the extent that there are no additional Underwriters listed on Schedule 1 hereto other than you, the term “Representative” as used herein shall mean you, as Underwriter, and the term “Underwriters” shall mean either the singular or plural as the context requires.</w:t>
      </w:r>
    </w:p>
    <w:p>
      <w:pPr>
        <w:spacing w:after="0" w:line="19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Shares are expected to begin trading on or promptly after the date of the Prospectus (as defined below) (or if such date is not a business day (as defined below), the following business day).</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Company has entered into an Investment Management Trust Agreement, effective as of the date hereof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with Continental Stock Transfer &amp; Trust Company (“</w:t>
      </w:r>
      <w:r>
        <w:rPr>
          <w:rFonts w:ascii="Arial" w:cs="Arial" w:eastAsia="Arial" w:hAnsi="Arial"/>
          <w:sz w:val="18"/>
          <w:szCs w:val="18"/>
          <w:b w:val="1"/>
          <w:bCs w:val="1"/>
          <w:i w:val="1"/>
          <w:iCs w:val="1"/>
          <w:color w:val="auto"/>
        </w:rPr>
        <w:t>CST</w:t>
      </w:r>
      <w:r>
        <w:rPr>
          <w:rFonts w:ascii="Arial" w:cs="Arial" w:eastAsia="Arial" w:hAnsi="Arial"/>
          <w:sz w:val="18"/>
          <w:szCs w:val="18"/>
          <w:color w:val="auto"/>
        </w:rPr>
        <w:t>”),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in substantially the form filed as Exhibit 10.2 to the Registration Statement (as defined below), pursuant to which proceeds from the sale of the Private Placement Shares (as defined below) and proceeds of the Offering will be deposited and held in a trust account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 for the benefit of the Company, the Underwriters and the Public Stockholders (as defined below).</w:t>
      </w:r>
    </w:p>
    <w:p>
      <w:pPr>
        <w:spacing w:after="0" w:line="188" w:lineRule="exact"/>
        <w:rPr>
          <w:sz w:val="20"/>
          <w:szCs w:val="20"/>
          <w:color w:val="auto"/>
        </w:rPr>
      </w:pPr>
    </w:p>
    <w:p>
      <w:pPr>
        <w:jc w:val="both"/>
        <w:ind w:right="300" w:firstLine="440"/>
        <w:spacing w:after="0" w:line="301" w:lineRule="auto"/>
        <w:rPr>
          <w:sz w:val="20"/>
          <w:szCs w:val="20"/>
          <w:color w:val="auto"/>
        </w:rPr>
      </w:pPr>
      <w:r>
        <w:rPr>
          <w:rFonts w:ascii="Arial" w:cs="Arial" w:eastAsia="Arial" w:hAnsi="Arial"/>
          <w:sz w:val="16"/>
          <w:szCs w:val="16"/>
          <w:color w:val="auto"/>
        </w:rPr>
        <w:t>The Company has entered into a Securities Subscription Agreement, dated as of March 8, 2021 (the “</w:t>
      </w:r>
      <w:r>
        <w:rPr>
          <w:rFonts w:ascii="Arial" w:cs="Arial" w:eastAsia="Arial" w:hAnsi="Arial"/>
          <w:sz w:val="16"/>
          <w:szCs w:val="16"/>
          <w:b w:val="1"/>
          <w:bCs w:val="1"/>
          <w:i w:val="1"/>
          <w:iCs w:val="1"/>
          <w:color w:val="auto"/>
        </w:rPr>
        <w:t>Founder’s Purchase Agreement</w:t>
      </w:r>
      <w:r>
        <w:rPr>
          <w:rFonts w:ascii="Arial" w:cs="Arial" w:eastAsia="Arial" w:hAnsi="Arial"/>
          <w:sz w:val="16"/>
          <w:szCs w:val="16"/>
          <w:color w:val="auto"/>
        </w:rPr>
        <w:t>”), with Dynamics Sponsor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as filed as Exhibit 10.3, pursuant to which the Sponsor purchased an aggregate of 5,750,000 shares of the Company’s Class B common stock, par value $0.0001 per share (the “</w:t>
      </w: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 (including the Class A Common Stock issuable upon automatic conversion thereof, the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for an aggregate purchase</w:t>
      </w:r>
    </w:p>
    <w:p>
      <w:pPr>
        <w:sectPr>
          <w:pgSz w:w="11900" w:h="16838" w:orient="portrait"/>
          <w:cols w:equalWidth="0" w:num="1">
            <w:col w:w="11020"/>
          </w:cols>
          <w:pgMar w:left="440" w:top="121" w:right="439" w:bottom="1440" w:gutter="0" w:footer="0" w:header="0"/>
        </w:sectPr>
      </w:pPr>
    </w:p>
    <w:bookmarkStart w:id="194" w:name="page195"/>
    <w:bookmarkEnd w:id="19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of $25,000. Up to 750,000 Founder Shares are subject to forfeiture depending on the extent to which the Underwriters’ over-allotment option is exercised. The Founder Shares are substantially similar to the Shares, except as described in the Registration Statement, the Pricing Disclosure Package (as defined below) and the Prospectus.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has entered into a Private Placement Share Purchase Agreement, effective as of the date hereof (the “</w:t>
      </w:r>
      <w:r>
        <w:rPr>
          <w:rFonts w:ascii="Arial" w:cs="Arial" w:eastAsia="Arial" w:hAnsi="Arial"/>
          <w:sz w:val="18"/>
          <w:szCs w:val="18"/>
          <w:b w:val="1"/>
          <w:bCs w:val="1"/>
          <w:i w:val="1"/>
          <w:iCs w:val="1"/>
          <w:color w:val="auto"/>
        </w:rPr>
        <w:t>Share Purchase Agreement</w:t>
      </w:r>
      <w:r>
        <w:rPr>
          <w:rFonts w:ascii="Arial" w:cs="Arial" w:eastAsia="Arial" w:hAnsi="Arial"/>
          <w:sz w:val="18"/>
          <w:szCs w:val="18"/>
          <w:color w:val="auto"/>
        </w:rPr>
        <w:t>”), with the Sponsor, in substantially the form filed as Exhibit 10.4 to the Registration Statement, pursuant to which the Sponsor agreed to purchase an aggregate of 655,500 private placement shares (or up to 715,500 private placement shares if the over-allotment option is exercised in full) (the “</w:t>
      </w:r>
      <w:r>
        <w:rPr>
          <w:rFonts w:ascii="Arial" w:cs="Arial" w:eastAsia="Arial" w:hAnsi="Arial"/>
          <w:sz w:val="18"/>
          <w:szCs w:val="18"/>
          <w:b w:val="1"/>
          <w:bCs w:val="1"/>
          <w:i w:val="1"/>
          <w:iCs w:val="1"/>
          <w:color w:val="auto"/>
        </w:rPr>
        <w:t>Private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Placement Shares</w:t>
      </w:r>
      <w:r>
        <w:rPr>
          <w:rFonts w:ascii="Arial" w:cs="Arial" w:eastAsia="Arial" w:hAnsi="Arial"/>
          <w:sz w:val="18"/>
          <w:szCs w:val="18"/>
          <w:color w:val="auto"/>
        </w:rPr>
        <w:t>”), for $10.00 per Private Placement Share, or an aggregate price of $6,555,000 (or $7,155,000 if the Underwriters exercise their over-allotment option in full).</w:t>
      </w:r>
    </w:p>
    <w:p>
      <w:pPr>
        <w:spacing w:after="0" w:line="188"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Company has entered into a Registration and Stockholder Rights Agreement, effective as of the date hereof (the “</w:t>
      </w:r>
      <w:r>
        <w:rPr>
          <w:rFonts w:ascii="Arial" w:cs="Arial" w:eastAsia="Arial" w:hAnsi="Arial"/>
          <w:sz w:val="18"/>
          <w:szCs w:val="18"/>
          <w:b w:val="1"/>
          <w:bCs w:val="1"/>
          <w:i w:val="1"/>
          <w:i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with the Sponsor and the other parties thereto, in substantially the form filed as Exhibit 10.5 to the Registration Statement,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Company has granted certain registration rights in respect of the Private Placement Shares and the Class A Common Stock underlying the Founder Shares and certain shares (which will be substantially similar to the Private Placement Shares), if any, that may be issued upon conversion of working capital loans.</w:t>
      </w:r>
    </w:p>
    <w:p>
      <w:pPr>
        <w:spacing w:after="0" w:line="18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Company has caused to be duly executed and delivered a letter agreement, dated as of the date hereof (the “</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by and among the Company, the Sponsor and each of the Company’s officers, directors and director nominees, in substantially the form filed as Exhibit 10.1 to the Registration Statement.</w:t>
      </w:r>
    </w:p>
    <w:p>
      <w:pPr>
        <w:spacing w:after="0" w:line="184"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The Company has entered into an Administrative Services Agreement, dated as of the date hereof (the “</w:t>
      </w:r>
      <w:r>
        <w:rPr>
          <w:rFonts w:ascii="Arial" w:cs="Arial" w:eastAsia="Arial" w:hAnsi="Arial"/>
          <w:sz w:val="16"/>
          <w:szCs w:val="16"/>
          <w:b w:val="1"/>
          <w:bCs w:val="1"/>
          <w:i w:val="1"/>
          <w:iCs w:val="1"/>
          <w:color w:val="auto"/>
        </w:rPr>
        <w:t>Administrative Services Agreement</w:t>
      </w:r>
      <w:r>
        <w:rPr>
          <w:rFonts w:ascii="Arial" w:cs="Arial" w:eastAsia="Arial" w:hAnsi="Arial"/>
          <w:sz w:val="16"/>
          <w:szCs w:val="16"/>
          <w:color w:val="auto"/>
        </w:rPr>
        <w:t>” and, collectively with this Agreement, the Trust Agreement, the Founder’s Purchase Agreement, the Share Purchase Agreement, the Registration Rights Agreement and the Insider Letter, the “</w:t>
      </w:r>
      <w:r>
        <w:rPr>
          <w:rFonts w:ascii="Arial" w:cs="Arial" w:eastAsia="Arial" w:hAnsi="Arial"/>
          <w:sz w:val="16"/>
          <w:szCs w:val="16"/>
          <w:b w:val="1"/>
          <w:bCs w:val="1"/>
          <w:i w:val="1"/>
          <w:iCs w:val="1"/>
          <w:color w:val="auto"/>
        </w:rPr>
        <w:t>Transaction Documents</w:t>
      </w:r>
      <w:r>
        <w:rPr>
          <w:rFonts w:ascii="Arial" w:cs="Arial" w:eastAsia="Arial" w:hAnsi="Arial"/>
          <w:sz w:val="16"/>
          <w:szCs w:val="16"/>
          <w:color w:val="auto"/>
        </w:rPr>
        <w:t>”), with the Sponsor, in substantially the form filed as Exhibit 10.8 to the Registration Statement, pursuant to which the Company will, subject to the terms of the Administrative Services Agreement, pay to an affiliate of the Sponsor, an aggregate monthly fee of up to $10,000 for office space, utilities, secretarial and administrative support services from the date hereof until the earlier of (x) the consummation of an initial Business Combination (as defined below) and (y) the Liquidation (as defined below). As used herein, the term</w:t>
      </w:r>
    </w:p>
    <w:p>
      <w:pPr>
        <w:spacing w:after="0" w:line="4"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(as described more fully in the Prospectus) shall mean a merger, capital stock exchange, asset acquisition, stock purchase, reorganization or similar business combination with one or more businesses involving the Company.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Shares, as follows:</w:t>
      </w:r>
    </w:p>
    <w:p>
      <w:pPr>
        <w:spacing w:after="0" w:line="129" w:lineRule="exact"/>
        <w:rPr>
          <w:sz w:val="20"/>
          <w:szCs w:val="20"/>
          <w:color w:val="auto"/>
        </w:rPr>
      </w:pPr>
    </w:p>
    <w:p>
      <w:pPr>
        <w:ind w:right="360" w:firstLine="436"/>
        <w:spacing w:after="0" w:line="286" w:lineRule="auto"/>
        <w:tabs>
          <w:tab w:leader="none" w:pos="62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Registration Statement</w:t>
      </w:r>
      <w:r>
        <w:rPr>
          <w:rFonts w:ascii="Arial" w:cs="Arial" w:eastAsia="Arial" w:hAnsi="Arial"/>
          <w:sz w:val="17"/>
          <w:szCs w:val="17"/>
          <w:color w:val="auto"/>
        </w:rPr>
        <w:t>. The Company has prepared and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of 1933, as amended, and the rules and regulations of the Commission thereunder (collectively,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 registration statement (File No. 333-228494), including a prospectus, relating to the Shares.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95" w:name="page196"/>
    <w:bookmarkEnd w:id="19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as amended at the time it became effective, including the information, if any, deemed pursuant to Rule 430A, 430B or 430C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to be part of the registration statement at the time of its effectiveness (“</w:t>
      </w:r>
      <w:r>
        <w:rPr>
          <w:rFonts w:ascii="Arial" w:cs="Arial" w:eastAsia="Arial" w:hAnsi="Arial"/>
          <w:sz w:val="16"/>
          <w:szCs w:val="16"/>
          <w:b w:val="1"/>
          <w:bCs w:val="1"/>
          <w:i w:val="1"/>
          <w:iCs w:val="1"/>
          <w:color w:val="auto"/>
        </w:rPr>
        <w:t>Rule 430 Information</w:t>
      </w:r>
      <w:r>
        <w:rPr>
          <w:rFonts w:ascii="Arial" w:cs="Arial" w:eastAsia="Arial" w:hAnsi="Arial"/>
          <w:sz w:val="16"/>
          <w:szCs w:val="16"/>
          <w:color w:val="auto"/>
        </w:rPr>
        <w:t>”), is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As used herein, the term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means each prospectus included in such registration statement (and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amendments thereto) before effectiveness, any prospectus filed with the Commission pursuant to Rule 424(a) under the Securities Act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prospectus included in the Registration Statement at the time of its effectiveness that omits Rule 430 Information, and the term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means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prospectus in the form first used (or made available upon request of purchasers pursuant to Rule 173 under the Securities Act) in connection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confirmation of sales of the Shares. If the Company has filed an abbreviated registration statement pursuant to Rule 462(b) under the Securities Act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462 Registration Statement</w:t>
      </w:r>
      <w:r>
        <w:rPr>
          <w:rFonts w:ascii="Arial" w:cs="Arial" w:eastAsia="Arial" w:hAnsi="Arial"/>
          <w:sz w:val="17"/>
          <w:szCs w:val="17"/>
          <w:color w:val="auto"/>
        </w:rPr>
        <w:t>”), then any reference herein to the term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be deemed to include such Rule 462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w:t>
      </w:r>
    </w:p>
    <w:p>
      <w:pPr>
        <w:spacing w:after="0" w:line="21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w:t>
      </w:r>
      <w:r>
        <w:rPr>
          <w:rFonts w:ascii="Arial" w:cs="Arial" w:eastAsia="Arial" w:hAnsi="Arial"/>
          <w:sz w:val="18"/>
          <w:szCs w:val="18"/>
          <w:b w:val="1"/>
          <w:bCs w:val="1"/>
          <w:i w:val="1"/>
          <w:iCs w:val="1"/>
          <w:color w:val="auto"/>
        </w:rPr>
        <w:t>Pricing Disclosure Package</w:t>
      </w:r>
      <w:r>
        <w:rPr>
          <w:rFonts w:ascii="Arial" w:cs="Arial" w:eastAsia="Arial" w:hAnsi="Arial"/>
          <w:sz w:val="18"/>
          <w:szCs w:val="18"/>
          <w:color w:val="auto"/>
        </w:rPr>
        <w:t>”): a Preliminary Prospectus dated [•], 2021.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 [A/P].M., New York City time, on [•], 2021.</w:t>
      </w:r>
    </w:p>
    <w:p>
      <w:pPr>
        <w:spacing w:after="0" w:line="225" w:lineRule="exact"/>
        <w:rPr>
          <w:sz w:val="20"/>
          <w:szCs w:val="20"/>
          <w:color w:val="auto"/>
        </w:rPr>
      </w:pPr>
    </w:p>
    <w:p>
      <w:pPr>
        <w:ind w:left="620" w:hanging="184"/>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Purchase of the Shares</w:t>
      </w:r>
      <w:r>
        <w:rPr>
          <w:rFonts w:ascii="Arial" w:cs="Arial" w:eastAsia="Arial" w:hAnsi="Arial"/>
          <w:sz w:val="18"/>
          <w:szCs w:val="18"/>
          <w:color w:val="auto"/>
        </w:rPr>
        <w:t>.</w:t>
      </w:r>
    </w:p>
    <w:p>
      <w:pPr>
        <w:spacing w:after="0" w:line="225" w:lineRule="exact"/>
        <w:rPr>
          <w:sz w:val="20"/>
          <w:szCs w:val="20"/>
          <w:color w:val="auto"/>
        </w:rPr>
      </w:pPr>
    </w:p>
    <w:p>
      <w:pPr>
        <w:jc w:val="both"/>
        <w:ind w:right="40" w:firstLine="436"/>
        <w:spacing w:after="0" w:line="279" w:lineRule="auto"/>
        <w:tabs>
          <w:tab w:leader="none" w:pos="68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agrees to issue and sell the Underwritten Shares to the several Underwriters as provided in this underwriting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and each Underwriter, on the basis of the representations, warranties and agreements set forth herein and subject to the conditions set forth herein, agrees, severally and not jointly, to purchase at a price per Share of $9.80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from the Company the respective number of Underwritten Shares set forth opposite such Underwriter’s name in Schedule 1 hereto.</w:t>
      </w:r>
    </w:p>
    <w:p>
      <w:pPr>
        <w:spacing w:after="0" w:line="171" w:lineRule="exact"/>
        <w:rPr>
          <w:rFonts w:ascii="Arial" w:cs="Arial" w:eastAsia="Arial" w:hAnsi="Arial"/>
          <w:sz w:val="17"/>
          <w:szCs w:val="17"/>
          <w:color w:val="auto"/>
        </w:rPr>
      </w:pPr>
    </w:p>
    <w:p>
      <w:pPr>
        <w:ind w:right="60" w:firstLine="436"/>
        <w:spacing w:after="0" w:line="263"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Underwriters may exercise the option to purchase Option Shares at any time in whole, or from time to time in part, on or before the 45th day following the date of the Prospectus, by written notice from the Representative to the Company. Such notice shall set forth the aggregate number of Option Shares as to which the option is being exercised and the date and time when the Option Shares are to be delivered and paid for, which may be the same date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96" w:name="page197"/>
    <w:bookmarkEnd w:id="196"/>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as the Closing Date (as defined below) but shall not be earlier than the Closing Date nor later than the tenth full business day after the date of such notice (unless such time and date are postponed in accordance with the provisions of Section 10 hereof). Any such notice shall be given at least two business days prior to the date and time of delivery specified therein.</w:t>
      </w:r>
    </w:p>
    <w:p>
      <w:pPr>
        <w:spacing w:after="0" w:line="184" w:lineRule="exact"/>
        <w:rPr>
          <w:sz w:val="20"/>
          <w:szCs w:val="20"/>
          <w:color w:val="auto"/>
        </w:rPr>
      </w:pPr>
    </w:p>
    <w:p>
      <w:pPr>
        <w:ind w:right="40" w:firstLine="436"/>
        <w:spacing w:after="0" w:line="253" w:lineRule="auto"/>
        <w:tabs>
          <w:tab w:leader="none" w:pos="6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addition to the discount from the public offering price represented by the Purchase Price, the Company hereby agrees to pay to the Underwriters a deferred discount of $0.35 per Share (including both Underwritten Shares and Option Shares) purchased hereunder (the “</w:t>
      </w:r>
      <w:r>
        <w:rPr>
          <w:rFonts w:ascii="Arial" w:cs="Arial" w:eastAsia="Arial" w:hAnsi="Arial"/>
          <w:sz w:val="18"/>
          <w:szCs w:val="18"/>
          <w:b w:val="1"/>
          <w:bCs w:val="1"/>
          <w:i w:val="1"/>
          <w:iCs w:val="1"/>
          <w:color w:val="auto"/>
        </w:rPr>
        <w:t>Deferred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Discount</w:t>
      </w:r>
      <w:r>
        <w:rPr>
          <w:rFonts w:ascii="Arial" w:cs="Arial" w:eastAsia="Arial" w:hAnsi="Arial"/>
          <w:sz w:val="18"/>
          <w:szCs w:val="18"/>
          <w:color w:val="auto"/>
        </w:rPr>
        <w:t>”). The Deferred Discount will be paid directly to the Representative (subject to the provisions of Section 4(ii)), on behalf of the Underwriters,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Trustee from amounts on deposit in the Trust Account (without accrued interest) by wire transfer payable in same-day funds if and when the Company consummates an initial Business Combination. The Underwriters hereby agree that if no Business Combination is consummated within the time period provided in the Company’s Amended and Restated Certificate of Incorporation, as such time period may be extended, and the funds held under the Trust Agreement are distributed to the holders of the Shares sold pursuant to this Agreement (the “</w:t>
      </w:r>
      <w:r>
        <w:rPr>
          <w:rFonts w:ascii="Arial" w:cs="Arial" w:eastAsia="Arial" w:hAnsi="Arial"/>
          <w:sz w:val="18"/>
          <w:szCs w:val="18"/>
          <w:b w:val="1"/>
          <w:bCs w:val="1"/>
          <w:i w:val="1"/>
          <w:iCs w:val="1"/>
          <w:color w:val="auto"/>
        </w:rPr>
        <w:t>Public Stockholders</w:t>
      </w:r>
      <w:r>
        <w:rPr>
          <w:rFonts w:ascii="Arial" w:cs="Arial" w:eastAsia="Arial" w:hAnsi="Arial"/>
          <w:sz w:val="18"/>
          <w:szCs w:val="18"/>
          <w:color w:val="auto"/>
        </w:rPr>
        <w:t>”), (i) the Underwriters will forfeit any rights or claims to the Deferred Discount and (ii) the Trustee is authorized to distribute the Deferred Discount to the Public Stockholders on a pro rata basis.</w:t>
      </w:r>
    </w:p>
    <w:p>
      <w:pPr>
        <w:spacing w:after="0" w:line="196"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and initially to offer the Shares on the terms set forth in the Pricing Disclosure Package. The Company acknowledges and agrees that the Underwriters may offer and sell Shares to or through any affiliate of an Underwriter.</w:t>
      </w:r>
    </w:p>
    <w:p>
      <w:pPr>
        <w:spacing w:after="0" w:line="183" w:lineRule="exact"/>
        <w:rPr>
          <w:rFonts w:ascii="Arial" w:cs="Arial" w:eastAsia="Arial" w:hAnsi="Arial"/>
          <w:sz w:val="18"/>
          <w:szCs w:val="18"/>
          <w:color w:val="auto"/>
        </w:rPr>
      </w:pPr>
    </w:p>
    <w:p>
      <w:pPr>
        <w:ind w:firstLine="436"/>
        <w:spacing w:after="0" w:line="289" w:lineRule="auto"/>
        <w:tabs>
          <w:tab w:leader="none" w:pos="685"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the case of the Underwritten Shares, payment shall be made by wire transfer in immediately available funds to the account specified by the Company to the Representative, through the offices of Simpson Thacher &amp; Bartlett LLP, 425 Lexington Avenue, New York, NY 10017 at 10:00 A.M. New York City time on [•], 2021, or at such other time or place on the same or such other date, but not later than the fifth business day thereafter, as the Representative and the Company may agree upon in writing. In the case of the Option Shares, payment shall be made by wire transfer in immediately available funds to the account specified by the Company to the Representative on the date and at the time and place specified by the Representative in the written notice of the Underwriters’ election to purchase such Option Shares. The Company shall not be obligated to sell or deliver any of the Underwritten Shares or Option Shares, as applicable, except upon tender of payment by the Representative for all Underwritten Shares or Option Shares, as applicable. The time and date of such payment for the Underwritten Shares is referred to herein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and the time and date for such payment for the Option Shares, if other than the Closing Date, is herein referred to as the “</w:t>
      </w:r>
      <w:r>
        <w:rPr>
          <w:rFonts w:ascii="Arial" w:cs="Arial" w:eastAsia="Arial" w:hAnsi="Arial"/>
          <w:sz w:val="16"/>
          <w:szCs w:val="16"/>
          <w:b w:val="1"/>
          <w:bCs w:val="1"/>
          <w:i w:val="1"/>
          <w:iCs w:val="1"/>
          <w:color w:val="auto"/>
        </w:rPr>
        <w:t>Additional Closing Date.</w:t>
      </w:r>
      <w:r>
        <w:rPr>
          <w:rFonts w:ascii="Arial" w:cs="Arial" w:eastAsia="Arial" w:hAnsi="Arial"/>
          <w:sz w:val="16"/>
          <w:szCs w:val="16"/>
          <w:color w:val="auto"/>
        </w:rPr>
        <w:t>”</w:t>
      </w:r>
    </w:p>
    <w:p>
      <w:pPr>
        <w:spacing w:after="0" w:line="16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Payment for the Shares to be purchased on the Closing Date or the Additional Closing Date, as the case may be, shall be made against delivery to the Representative for the respective accounts of the several Underwriters of the Shares to be purchased on such date in definitive or book-entry form registered in such names and in such denominations as the Representative shall request in writing not later than two full business days prior to the Closing Date or the Additional Closing Date, as the case may be, with any transfer taxes payable in connection with the sale of such Shares duly paid by the Company. Delivery of the Shares shall be made through the facilities of The Depository Trust Company unless the Representative shall otherwise instruct.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7" w:name="page198"/>
    <w:bookmarkEnd w:id="197"/>
    <w:p>
      <w:pPr>
        <w:ind w:right="40" w:firstLine="436"/>
        <w:spacing w:after="0" w:line="290" w:lineRule="auto"/>
        <w:tabs>
          <w:tab w:leader="none" w:pos="665"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acknowledges and agrees that the Representative and the other Underwriters are acting solely in the capacity of an arm’s length contractual counterparty to the Company with respect to the Offering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 nor the other Underwriters shall have any responsibility or liability to the Company with respect thereto. Any review by the Representative and the other Underwriters of the Company, the transactions contemplated hereby or other matters relating to such transactions will be performed solely for the benefit of the Underwriters and shall not be on behalf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sz w:val="20"/>
          <w:szCs w:val="20"/>
          <w:color w:val="auto"/>
        </w:rPr>
      </w:pPr>
    </w:p>
    <w:p>
      <w:pPr>
        <w:ind w:right="120" w:firstLine="436"/>
        <w:spacing w:after="0" w:line="254" w:lineRule="auto"/>
        <w:tabs>
          <w:tab w:leader="none" w:pos="68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7(b) hereof.</w:t>
      </w:r>
    </w:p>
    <w:p>
      <w:pPr>
        <w:spacing w:after="0" w:line="191" w:lineRule="exact"/>
        <w:rPr>
          <w:rFonts w:ascii="Arial" w:cs="Arial" w:eastAsia="Arial" w:hAnsi="Arial"/>
          <w:sz w:val="18"/>
          <w:szCs w:val="18"/>
          <w:color w:val="auto"/>
        </w:rPr>
      </w:pPr>
    </w:p>
    <w:p>
      <w:pPr>
        <w:ind w:firstLine="436"/>
        <w:spacing w:after="0" w:line="290"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Pricing Disclosure Package as of the Applicable Time did not, and as of the Closing Date and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98" w:name="page199"/>
    <w:bookmarkEnd w:id="198"/>
    <w:p>
      <w:pPr>
        <w:ind w:left="4" w:firstLine="436"/>
        <w:spacing w:after="0" w:line="286" w:lineRule="auto"/>
        <w:tabs>
          <w:tab w:leader="none" w:pos="689" w:val="left"/>
        </w:tabs>
        <w:numPr>
          <w:ilvl w:val="1"/>
          <w:numId w:val="10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Issuer Free Writing Prospectus. </w:t>
      </w:r>
      <w:r>
        <w:rPr>
          <w:rFonts w:ascii="Arial" w:cs="Arial" w:eastAsia="Arial" w:hAnsi="Arial"/>
          <w:sz w:val="16"/>
          <w:szCs w:val="16"/>
          <w:color w:val="auto"/>
        </w:rPr>
        <w:t>Other than the Registration Statement, the Preliminary Prospectus and the Prospectus, the Company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its agents and representatives, other than the Underwriters in their capacity as such) has not prepared, made, used, authorized, approved or referred to and will not prepare, make, use, authorize, approve or refer to any “</w:t>
      </w:r>
      <w:r>
        <w:rPr>
          <w:rFonts w:ascii="Arial" w:cs="Arial" w:eastAsia="Arial" w:hAnsi="Arial"/>
          <w:sz w:val="16"/>
          <w:szCs w:val="16"/>
          <w:b w:val="1"/>
          <w:bCs w:val="1"/>
          <w:i w:val="1"/>
          <w:iCs w:val="1"/>
          <w:color w:val="auto"/>
        </w:rPr>
        <w:t>written communication</w:t>
      </w:r>
      <w:r>
        <w:rPr>
          <w:rFonts w:ascii="Arial" w:cs="Arial" w:eastAsia="Arial" w:hAnsi="Arial"/>
          <w:sz w:val="16"/>
          <w:szCs w:val="16"/>
          <w:color w:val="auto"/>
        </w:rPr>
        <w:t>” (as defined in Rule 405 under the Securities Act) that constitutes an offer to sell or solicitation of an offer to buy the Shares other than any document not constituting a prospectus pursuant to Section 2(a)(10)</w:t>
      </w:r>
    </w:p>
    <w:p>
      <w:pPr>
        <w:spacing w:after="0" w:line="1" w:lineRule="exact"/>
        <w:rPr>
          <w:rFonts w:ascii="Arial" w:cs="Arial" w:eastAsia="Arial" w:hAnsi="Arial"/>
          <w:sz w:val="16"/>
          <w:szCs w:val="16"/>
          <w:color w:val="auto"/>
        </w:rPr>
      </w:pPr>
    </w:p>
    <w:p>
      <w:pPr>
        <w:ind w:left="244" w:hanging="244"/>
        <w:spacing w:after="0"/>
        <w:tabs>
          <w:tab w:leader="none" w:pos="24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 the Securities Act or Rule 134 under the Securities Act.</w:t>
      </w:r>
    </w:p>
    <w:p>
      <w:pPr>
        <w:spacing w:after="0" w:line="210" w:lineRule="exact"/>
        <w:rPr>
          <w:rFonts w:ascii="Arial" w:cs="Arial" w:eastAsia="Arial" w:hAnsi="Arial"/>
          <w:sz w:val="18"/>
          <w:szCs w:val="18"/>
          <w:color w:val="auto"/>
        </w:rPr>
      </w:pPr>
    </w:p>
    <w:p>
      <w:pPr>
        <w:jc w:val="both"/>
        <w:ind w:left="4" w:right="200" w:firstLine="436"/>
        <w:spacing w:after="0" w:line="279" w:lineRule="auto"/>
        <w:tabs>
          <w:tab w:leader="none" w:pos="699" w:val="left"/>
        </w:tabs>
        <w:numPr>
          <w:ilvl w:val="1"/>
          <w:numId w:val="102"/>
        </w:numPr>
        <w:rPr>
          <w:rFonts w:ascii="Arial" w:cs="Arial" w:eastAsia="Arial" w:hAnsi="Arial"/>
          <w:sz w:val="17"/>
          <w:szCs w:val="17"/>
          <w:color w:val="auto"/>
        </w:rPr>
      </w:pPr>
      <w:r>
        <w:rPr>
          <w:rFonts w:ascii="Arial" w:cs="Arial" w:eastAsia="Arial" w:hAnsi="Arial"/>
          <w:sz w:val="17"/>
          <w:szCs w:val="17"/>
          <w:i w:val="1"/>
          <w:iCs w:val="1"/>
          <w:color w:val="auto"/>
        </w:rPr>
        <w:t>Form 8-A</w:t>
      </w:r>
      <w:r>
        <w:rPr>
          <w:rFonts w:ascii="Arial" w:cs="Arial" w:eastAsia="Arial" w:hAnsi="Arial"/>
          <w:sz w:val="17"/>
          <w:szCs w:val="17"/>
          <w:color w:val="auto"/>
        </w:rPr>
        <w:t>. The Company has filed with the Commission a Form 8-A (file number 001-[•]) providing for the registration under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of the Shares, which registration is currently effective on the date hereof. The Shares have been authorized for listing, subject to official notice of issuance and evidence of satisfactory distribution, on The Nasdaq Stock Market LLC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and the Company knows of no reason or set of facts that is likely to adversely affect such authorization.</w:t>
      </w:r>
    </w:p>
    <w:p>
      <w:pPr>
        <w:spacing w:after="0" w:line="171" w:lineRule="exact"/>
        <w:rPr>
          <w:rFonts w:ascii="Arial" w:cs="Arial" w:eastAsia="Arial" w:hAnsi="Arial"/>
          <w:sz w:val="17"/>
          <w:szCs w:val="17"/>
          <w:color w:val="auto"/>
        </w:rPr>
      </w:pPr>
    </w:p>
    <w:p>
      <w:pPr>
        <w:ind w:left="4" w:right="40" w:firstLine="436"/>
        <w:spacing w:after="0" w:line="257" w:lineRule="auto"/>
        <w:tabs>
          <w:tab w:leader="none" w:pos="689" w:val="left"/>
        </w:tabs>
        <w:numPr>
          <w:ilvl w:val="1"/>
          <w:numId w:val="102"/>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the initial confidential submission of the Registration Statement to the Commission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the first date on which the Company engaged directly or through any person authorized to act on its behalf in any Testing-the-Waters Communication) through the date hereof, the Company has been and is an “</w:t>
      </w:r>
      <w:r>
        <w:rPr>
          <w:rFonts w:ascii="Arial" w:cs="Arial" w:eastAsia="Arial" w:hAnsi="Arial"/>
          <w:sz w:val="18"/>
          <w:szCs w:val="18"/>
          <w:b w:val="1"/>
          <w:bCs w:val="1"/>
          <w:i w:val="1"/>
          <w:iCs w:val="1"/>
          <w:color w:val="auto"/>
        </w:rPr>
        <w:t>emerging growth company,</w:t>
      </w:r>
      <w:r>
        <w:rPr>
          <w:rFonts w:ascii="Arial" w:cs="Arial" w:eastAsia="Arial" w:hAnsi="Arial"/>
          <w:sz w:val="18"/>
          <w:szCs w:val="18"/>
          <w:color w:val="auto"/>
        </w:rPr>
        <w:t>” as defined in Section 2(a) of the Securities Act (an “</w:t>
      </w:r>
      <w:r>
        <w:rPr>
          <w:rFonts w:ascii="Arial" w:cs="Arial" w:eastAsia="Arial" w:hAnsi="Arial"/>
          <w:sz w:val="18"/>
          <w:szCs w:val="18"/>
          <w:b w:val="1"/>
          <w:bCs w:val="1"/>
          <w:i w:val="1"/>
          <w:i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or Rule 163B under the Securities Act.</w:t>
      </w:r>
    </w:p>
    <w:p>
      <w:pPr>
        <w:spacing w:after="0" w:line="187" w:lineRule="exact"/>
        <w:rPr>
          <w:rFonts w:ascii="Arial" w:cs="Arial" w:eastAsia="Arial" w:hAnsi="Arial"/>
          <w:sz w:val="18"/>
          <w:szCs w:val="18"/>
          <w:color w:val="auto"/>
        </w:rPr>
      </w:pPr>
    </w:p>
    <w:p>
      <w:pPr>
        <w:ind w:left="664" w:hanging="224"/>
        <w:spacing w:after="0"/>
        <w:tabs>
          <w:tab w:leader="none" w:pos="664" w:val="left"/>
        </w:tabs>
        <w:numPr>
          <w:ilvl w:val="1"/>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Testing-the-Waters Materials. </w:t>
      </w:r>
      <w:r>
        <w:rPr>
          <w:rFonts w:ascii="Arial" w:cs="Arial" w:eastAsia="Arial" w:hAnsi="Arial"/>
          <w:sz w:val="18"/>
          <w:szCs w:val="18"/>
          <w:color w:val="auto"/>
        </w:rPr>
        <w:t>The Company (i) has not alone engaged in any Testing-the-Waters Communications other than</w:t>
      </w:r>
    </w:p>
    <w:p>
      <w:pPr>
        <w:spacing w:after="0" w:line="23"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Testing-the-Waters Communications with the consent of the Representative with entities that are qualified institutional buyers within the meaning of Rule 144A under the Securities Act or institutions that are accredited investors within the meaning of Rule 501 under the Securities Act and (ii) has not authorized anyone other than the Representative to engage in Testing-the-Waters Communications. The Company reconfirms that the Representative has been authorized to act on its behalf in undertaking Testing-the-Waters Communications. The Company has not distributed or approved for distribution any Written Testing-the-Waters Communications other than those listed on Annex B hereto. “</w:t>
      </w:r>
      <w:r>
        <w:rPr>
          <w:rFonts w:ascii="Arial" w:cs="Arial" w:eastAsia="Arial" w:hAnsi="Arial"/>
          <w:sz w:val="17"/>
          <w:szCs w:val="17"/>
          <w:b w:val="1"/>
          <w:bCs w:val="1"/>
          <w:i w:val="1"/>
          <w:iCs w:val="1"/>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86" w:lineRule="exact"/>
        <w:rPr>
          <w:sz w:val="20"/>
          <w:szCs w:val="20"/>
          <w:color w:val="auto"/>
        </w:rPr>
      </w:pPr>
    </w:p>
    <w:p>
      <w:pPr>
        <w:ind w:left="4" w:right="140" w:firstLine="436"/>
        <w:spacing w:after="0" w:line="259" w:lineRule="auto"/>
        <w:tabs>
          <w:tab w:leader="none" w:pos="699"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and Prospectus. </w:t>
      </w:r>
      <w:r>
        <w:rPr>
          <w:rFonts w:ascii="Arial" w:cs="Arial" w:eastAsia="Arial" w:hAnsi="Arial"/>
          <w:sz w:val="18"/>
          <w:szCs w:val="18"/>
          <w:color w:val="auto"/>
        </w:rPr>
        <w:t>The Registration Statement has been declared effective by the Commission. No order suspending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99" w:name="page200"/>
    <w:bookmarkEnd w:id="199"/>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185" w:lineRule="exact"/>
        <w:rPr>
          <w:sz w:val="20"/>
          <w:szCs w:val="20"/>
          <w:color w:val="auto"/>
        </w:rPr>
      </w:pPr>
    </w:p>
    <w:p>
      <w:pPr>
        <w:ind w:firstLine="436"/>
        <w:spacing w:after="0" w:line="269"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included in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Disclosure Package and the Prospectus comply in all material respects with the applicable requirements of the Securities Act and present fairly the financial position of the Company as of the dates indicated and the results of their operations and the changes in their cash flows for the periods specified; such financial statements have been prepared in conformity with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in the United States applied on a consistent basis throughout the periods covered thereby, and any supporting schedules included in the Registration Statement present fairly the information required to be stated therein; and the other financial information included in the Registration Statement, the Pricing Disclosure Package and the Prospectus has been derived from the accounting records of the Company and presents fairly the information shown thereby; all disclosures included in the Registration Statement, the Pricing Disclosure Package and the Prospectus regarding “</w:t>
      </w:r>
      <w:r>
        <w:rPr>
          <w:rFonts w:ascii="Arial" w:cs="Arial" w:eastAsia="Arial" w:hAnsi="Arial"/>
          <w:sz w:val="17"/>
          <w:szCs w:val="17"/>
          <w:b w:val="1"/>
          <w:bCs w:val="1"/>
          <w:i w:val="1"/>
          <w:iCs w:val="1"/>
          <w:color w:val="auto"/>
        </w:rPr>
        <w:t>non-GAAP financial measures</w:t>
      </w:r>
      <w:r>
        <w:rPr>
          <w:rFonts w:ascii="Arial" w:cs="Arial" w:eastAsia="Arial" w:hAnsi="Arial"/>
          <w:sz w:val="17"/>
          <w:szCs w:val="17"/>
          <w:color w:val="auto"/>
        </w:rPr>
        <w:t>” (as such term is defined by the rules and regulations of Commission), if any, comply with Regulation G of the Exchange Act and Item 10 of Regulation S-K of the Securities Act, to the extent applicable.</w:t>
      </w:r>
    </w:p>
    <w:p>
      <w:pPr>
        <w:spacing w:after="0" w:line="185" w:lineRule="exact"/>
        <w:rPr>
          <w:rFonts w:ascii="Arial" w:cs="Arial" w:eastAsia="Arial" w:hAnsi="Arial"/>
          <w:sz w:val="17"/>
          <w:szCs w:val="17"/>
          <w:color w:val="auto"/>
        </w:rPr>
      </w:pPr>
    </w:p>
    <w:p>
      <w:pPr>
        <w:ind w:firstLine="436"/>
        <w:spacing w:after="0" w:line="288" w:lineRule="auto"/>
        <w:tabs>
          <w:tab w:leader="none" w:pos="655"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in the Registration 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Disclosure Package and the Prospectus, (i) there has not been any change in the capital stock of the Company, short-term debt or long-term debt of the Company,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(ii) the Company has not entered into any transaction or agreement (whether or not in the ordinary course of business) that is material to the Company or incurred any liability or obligation, direct or contingent, that is material to the Company; and (iii) the Company has not sustained any loss or interference with its business that is material to the Company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 (each of (i), (ii) and (iii),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00" w:name="page201"/>
    <w:bookmarkEnd w:id="200"/>
    <w:p>
      <w:pPr>
        <w:ind w:firstLine="436"/>
        <w:spacing w:after="0" w:line="293" w:lineRule="auto"/>
        <w:tabs>
          <w:tab w:leader="none" w:pos="655"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Organization and Good Standing. </w:t>
      </w:r>
      <w:r>
        <w:rPr>
          <w:rFonts w:ascii="Arial" w:cs="Arial" w:eastAsia="Arial" w:hAnsi="Arial"/>
          <w:sz w:val="16"/>
          <w:szCs w:val="16"/>
          <w:color w:val="auto"/>
        </w:rPr>
        <w:t>The Company has been duly organized and is validly existing and in good standing under the laws of its</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of organization, is duly qualified to do business and is in good standing in each jurisdiction in which its ownership or lease of property or the conduct of its business requires such qualification, and has all power and authority necessary to own or hold its properties and to conduct the business in which it is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or on the performance by the Company of its obligations under the Transaction Documents (a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firstLine="436"/>
        <w:spacing w:after="0" w:line="269" w:lineRule="auto"/>
        <w:tabs>
          <w:tab w:leader="none" w:pos="695"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Company has an authorized capitalization as set forth in the Registration Statement, the Pricing Disclosure Package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Prospectus under the heading “</w:t>
      </w:r>
      <w:r>
        <w:rPr>
          <w:rFonts w:ascii="Arial" w:cs="Arial" w:eastAsia="Arial" w:hAnsi="Arial"/>
          <w:sz w:val="17"/>
          <w:szCs w:val="17"/>
          <w:b w:val="1"/>
          <w:bCs w:val="1"/>
          <w:i w:val="1"/>
          <w:iCs w:val="1"/>
          <w:color w:val="auto"/>
        </w:rPr>
        <w:t>Capitalization</w:t>
      </w:r>
      <w:r>
        <w:rPr>
          <w:rFonts w:ascii="Arial" w:cs="Arial" w:eastAsia="Arial" w:hAnsi="Arial"/>
          <w:sz w:val="17"/>
          <w:szCs w:val="17"/>
          <w:color w:val="auto"/>
        </w:rPr>
        <w:t>”; all the outstanding shares of capital stock of the Company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The offers and sales of the outstanding securities of the Company were at all relevant times either registered under the Securities Act, the applicable state securities and blue sky laws or, based in part on the representations and warranties of the purchasers of such securities, exempt from such registration requirements.</w:t>
      </w:r>
    </w:p>
    <w:p>
      <w:pPr>
        <w:spacing w:after="0" w:line="181" w:lineRule="exact"/>
        <w:rPr>
          <w:rFonts w:ascii="Arial" w:cs="Arial" w:eastAsia="Arial" w:hAnsi="Arial"/>
          <w:sz w:val="17"/>
          <w:szCs w:val="17"/>
          <w:color w:val="auto"/>
        </w:rPr>
      </w:pPr>
    </w:p>
    <w:p>
      <w:pPr>
        <w:ind w:right="140" w:firstLine="436"/>
        <w:spacing w:after="0" w:line="259"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full right, power and authority to execute and deliver this Agreement and the other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and to perform its obligations hereunder and thereunder; and all action required to be taken for the due and proper authorization, execution and delivery by it of this Agreement and each of the other Transaction Documents and the consummation by it of the transactions contemplated hereby and thereby has been duly and validly taken.</w:t>
      </w:r>
    </w:p>
    <w:p>
      <w:pPr>
        <w:spacing w:after="0" w:line="186" w:lineRule="exact"/>
        <w:rPr>
          <w:rFonts w:ascii="Arial" w:cs="Arial" w:eastAsia="Arial" w:hAnsi="Arial"/>
          <w:sz w:val="18"/>
          <w:szCs w:val="18"/>
          <w:color w:val="auto"/>
        </w:rPr>
      </w:pPr>
    </w:p>
    <w:p>
      <w:pPr>
        <w:ind w:left="740" w:hanging="304"/>
        <w:spacing w:after="0"/>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to be issued and sold by the Company hereunder have been duly authorized by the Company and, when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and paid for as provided herein, will be duly and validly issued and delivered, will be fully paid and nonassessable, will constitute valid and legally binding obligations of the Company enforceable against the Company in accordance with their terms, except as enforceability may be limited by applicable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01" w:name="page202"/>
    <w:bookmarkEnd w:id="201"/>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bankruptcy, insolvency or similar laws affecting the enforcement of creditors’ rights generally or by equitable principles relating to enforceability, and will conform to the descriptions thereof in the Registration Statement, the Pricing Disclosure Package and the Prospectus. The issuance of the Shares is not subject to any preemptive or similar rights.</w:t>
      </w:r>
    </w:p>
    <w:p>
      <w:pPr>
        <w:spacing w:after="0" w:line="184" w:lineRule="exact"/>
        <w:rPr>
          <w:sz w:val="20"/>
          <w:szCs w:val="20"/>
          <w:color w:val="auto"/>
        </w:rPr>
      </w:pPr>
    </w:p>
    <w:p>
      <w:pPr>
        <w:ind w:right="40" w:firstLine="436"/>
        <w:spacing w:after="0" w:line="254"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The Private Placement Shares. </w:t>
      </w:r>
      <w:r>
        <w:rPr>
          <w:rFonts w:ascii="Arial" w:cs="Arial" w:eastAsia="Arial" w:hAnsi="Arial"/>
          <w:sz w:val="18"/>
          <w:szCs w:val="18"/>
          <w:color w:val="auto"/>
        </w:rPr>
        <w:t>The Private Placement Shares to be issued and sold by the Company under the Private Placement Share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 have been duly authorized by the Company and, when issued and delivered in the manner set forth in the Private Placement Share Purchase Agreement against payment therefor pursuant to the Private Placement Share Purchase Agreement, will be duly and validly issued and delivered, will constitute valid and legally binding obligations of the Company enforceable against the Company in accordance with their terms, except as enforceability may be limited by applicable bankruptcy, insolvency or similar laws affecting the enforcement of creditors’ rights generally or by equitable principles relating to enforceability, and will conform to the descriptions thereof in the Registration Statement, the Pricing Disclosure Package and the Prospectus.</w:t>
      </w:r>
    </w:p>
    <w:p>
      <w:pPr>
        <w:spacing w:after="0" w:line="194" w:lineRule="exact"/>
        <w:rPr>
          <w:rFonts w:ascii="Arial" w:cs="Arial" w:eastAsia="Arial" w:hAnsi="Arial"/>
          <w:sz w:val="18"/>
          <w:szCs w:val="18"/>
          <w:color w:val="auto"/>
        </w:rPr>
      </w:pPr>
    </w:p>
    <w:p>
      <w:pPr>
        <w:ind w:right="180" w:firstLine="436"/>
        <w:spacing w:after="0" w:line="257"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The Founder’s Purchase Agreement. </w:t>
      </w:r>
      <w:r>
        <w:rPr>
          <w:rFonts w:ascii="Arial" w:cs="Arial" w:eastAsia="Arial" w:hAnsi="Arial"/>
          <w:sz w:val="18"/>
          <w:szCs w:val="18"/>
          <w:color w:val="auto"/>
        </w:rPr>
        <w:t>The Founder’s Purchase Agreement has been duly authorized, executed and delivered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to the Company’s knowledge, the Sponsor, and constitutes a valid and legally binding obligation of the Company and, to the Company’s knowledge, the Sponsor, enforceable against the Company and, to the Company’s knowledge, the Sponsor in accordance with its terms, except as enforceability may be limited by applicable bankruptcy, insolvency or similar laws affecting the enforcement of creditors’ rights generally or by equitable principles relating to enforceability.</w:t>
      </w:r>
    </w:p>
    <w:p>
      <w:pPr>
        <w:spacing w:after="0" w:line="187" w:lineRule="exact"/>
        <w:rPr>
          <w:rFonts w:ascii="Arial" w:cs="Arial" w:eastAsia="Arial" w:hAnsi="Arial"/>
          <w:sz w:val="18"/>
          <w:szCs w:val="18"/>
          <w:color w:val="auto"/>
        </w:rPr>
      </w:pPr>
    </w:p>
    <w:p>
      <w:pPr>
        <w:ind w:firstLine="436"/>
        <w:spacing w:after="0" w:line="257"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The Share Purchase Agreement</w:t>
      </w:r>
      <w:r>
        <w:rPr>
          <w:rFonts w:ascii="Arial" w:cs="Arial" w:eastAsia="Arial" w:hAnsi="Arial"/>
          <w:sz w:val="18"/>
          <w:szCs w:val="18"/>
          <w:color w:val="auto"/>
        </w:rPr>
        <w:t>. The Share Purchase Agreement has been duly authorized, executed and delivered by the Company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knowledge, the Sponsor, and constitutes a valid and legally binding obligation of the Company and, to the Company’s knowledge, the Sponsor, enforceable against the Company and, to the Company’s knowledge, the Sponsor in accordance with its terms, except as enforceability may be limited by applicable bankruptcy, insolvency or similar laws affecting the enforcement of creditors’ rights generally or by equitable principles relating to enforceability.</w:t>
      </w:r>
    </w:p>
    <w:p>
      <w:pPr>
        <w:spacing w:after="0" w:line="187" w:lineRule="exact"/>
        <w:rPr>
          <w:rFonts w:ascii="Arial" w:cs="Arial" w:eastAsia="Arial" w:hAnsi="Arial"/>
          <w:sz w:val="18"/>
          <w:szCs w:val="18"/>
          <w:color w:val="auto"/>
        </w:rPr>
      </w:pPr>
    </w:p>
    <w:p>
      <w:pPr>
        <w:ind w:right="20" w:firstLine="436"/>
        <w:spacing w:after="0" w:line="259" w:lineRule="auto"/>
        <w:tabs>
          <w:tab w:leader="none" w:pos="66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The Registration Rights Agreement. </w:t>
      </w:r>
      <w:r>
        <w:rPr>
          <w:rFonts w:ascii="Arial" w:cs="Arial" w:eastAsia="Arial" w:hAnsi="Arial"/>
          <w:sz w:val="18"/>
          <w:szCs w:val="18"/>
          <w:color w:val="auto"/>
        </w:rPr>
        <w:t>The Registration Rights Agreement has been duly authorized, executed and delivered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constitutes a valid and legally binding obligation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86" w:lineRule="exact"/>
        <w:rPr>
          <w:rFonts w:ascii="Arial" w:cs="Arial" w:eastAsia="Arial" w:hAnsi="Arial"/>
          <w:sz w:val="18"/>
          <w:szCs w:val="18"/>
          <w:color w:val="auto"/>
        </w:rPr>
      </w:pPr>
    </w:p>
    <w:p>
      <w:pPr>
        <w:ind w:right="20" w:firstLine="436"/>
        <w:spacing w:after="0" w:line="255" w:lineRule="auto"/>
        <w:tabs>
          <w:tab w:leader="none" w:pos="67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The Insider Letter. </w:t>
      </w:r>
      <w:r>
        <w:rPr>
          <w:rFonts w:ascii="Arial" w:cs="Arial" w:eastAsia="Arial" w:hAnsi="Arial"/>
          <w:sz w:val="18"/>
          <w:szCs w:val="18"/>
          <w:color w:val="auto"/>
        </w:rPr>
        <w:t>The Insider Letter has been duly authorized, executed and delivered by the Company and, to the Company’s knowledge, the</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and each officer, director and director nominee of the Company, and constitutes a valid and legally binding obligation of the Company and, to the Company’s knowledge, the Sponsor and each officer, director and director nominee of the Company, enforceable against the Company and, to the Company’s knowledge, the Sponsor and each officer, director and director nominee of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02" w:name="page203"/>
    <w:bookmarkEnd w:id="202"/>
    <w:p>
      <w:pPr>
        <w:ind w:right="280" w:firstLine="436"/>
        <w:spacing w:after="0" w:line="259"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Trust Agreement. </w:t>
      </w:r>
      <w:r>
        <w:rPr>
          <w:rFonts w:ascii="Arial" w:cs="Arial" w:eastAsia="Arial" w:hAnsi="Arial"/>
          <w:sz w:val="18"/>
          <w:szCs w:val="18"/>
          <w:color w:val="auto"/>
        </w:rPr>
        <w:t>The Trust Agreement has been duly authorized, executed and delivered by the Company and constitutes a valid and</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binding obligation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86"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The Administrative Services Agreement. </w:t>
      </w:r>
      <w:r>
        <w:rPr>
          <w:rFonts w:ascii="Arial" w:cs="Arial" w:eastAsia="Arial" w:hAnsi="Arial"/>
          <w:sz w:val="18"/>
          <w:szCs w:val="18"/>
          <w:color w:val="auto"/>
        </w:rPr>
        <w:t>The Administrative Services Agreement has been duly authorized, executed and delivered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constitutes a valid and legally binding obligation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spacing w:after="0" w:line="186"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Descriptions of the Transaction Documents. </w:t>
      </w:r>
      <w:r>
        <w:rPr>
          <w:rFonts w:ascii="Arial" w:cs="Arial" w:eastAsia="Arial" w:hAnsi="Arial"/>
          <w:sz w:val="18"/>
          <w:szCs w:val="18"/>
          <w:color w:val="auto"/>
        </w:rPr>
        <w:t>Each Transaction Document conforms in all material respects to the description thereof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Registration Statement, the Pricing Disclosure Package and the Prospectus.</w:t>
      </w:r>
    </w:p>
    <w:p>
      <w:pPr>
        <w:spacing w:after="0" w:line="170" w:lineRule="exact"/>
        <w:rPr>
          <w:rFonts w:ascii="Arial" w:cs="Arial" w:eastAsia="Arial" w:hAnsi="Arial"/>
          <w:sz w:val="18"/>
          <w:szCs w:val="18"/>
          <w:color w:val="auto"/>
        </w:rPr>
      </w:pPr>
    </w:p>
    <w:p>
      <w:pPr>
        <w:ind w:right="140" w:firstLine="436"/>
        <w:spacing w:after="0" w:line="273" w:lineRule="auto"/>
        <w:tabs>
          <w:tab w:leader="none" w:pos="735"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The Company is not (i) in violation of its charter or by-laws or similar organizational documents; (ii) in default, and</w:t>
      </w:r>
      <w:r>
        <w:rPr>
          <w:rFonts w:ascii="Arial" w:cs="Arial" w:eastAsia="Arial" w:hAnsi="Arial"/>
          <w:sz w:val="17"/>
          <w:szCs w:val="17"/>
          <w:i w:val="1"/>
          <w:iCs w:val="1"/>
          <w:color w:val="auto"/>
        </w:rPr>
        <w:t xml:space="preserve"> </w:t>
      </w:r>
      <w:r>
        <w:rPr>
          <w:rFonts w:ascii="Arial" w:cs="Arial" w:eastAsia="Arial" w:hAnsi="Arial"/>
          <w:sz w:val="17"/>
          <w:szCs w:val="17"/>
          <w:color w:val="auto"/>
        </w:rPr>
        <w:t>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property or asset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77" w:lineRule="exact"/>
        <w:rPr>
          <w:rFonts w:ascii="Arial" w:cs="Arial" w:eastAsia="Arial" w:hAnsi="Arial"/>
          <w:sz w:val="17"/>
          <w:szCs w:val="17"/>
          <w:color w:val="auto"/>
        </w:rPr>
      </w:pPr>
    </w:p>
    <w:p>
      <w:pPr>
        <w:ind w:firstLine="436"/>
        <w:spacing w:after="0" w:line="289"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each of the Transaction Documents, the issuance and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the consummation of the transactions contemplated by the Transaction Documents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pursuant to, any indenture, mortgage, deed of trust, loan agreement or other agreement or instrument to which the Company is a party or by which the Company is bound or to which any property, right or asset of the Company is subject, (ii) result in any violation of the provisions of the charter or by-laws or similar organizational documents of the Company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03" w:name="page204"/>
    <w:bookmarkEnd w:id="203"/>
    <w:p>
      <w:pPr>
        <w:ind w:left="4" w:firstLine="436"/>
        <w:spacing w:after="0" w:line="273" w:lineRule="auto"/>
        <w:tabs>
          <w:tab w:leader="none" w:pos="699" w:val="left"/>
        </w:tabs>
        <w:numPr>
          <w:ilvl w:val="1"/>
          <w:numId w:val="10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Consents Required. </w:t>
      </w:r>
      <w:r>
        <w:rPr>
          <w:rFonts w:ascii="Arial" w:cs="Arial" w:eastAsia="Arial" w:hAnsi="Arial"/>
          <w:sz w:val="17"/>
          <w:szCs w:val="17"/>
          <w:color w:val="auto"/>
        </w:rPr>
        <w:t>No consent, approval, authorization, order,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each of the Transaction Documents, the issuance and sale of the Shares and the consummation of the transactions contemplated by the Transaction Documents or the Pricing Disclosure Package and the Prospectus, except for the registration of the Shares under the Securities Act and such consents, approvals, authorizations, orders and registrations or qualifications as may be required by the Financial Industry Regulatory Authority, Inc.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and under applicable state securities laws in connection with the purchase and distribution of the Shares by the Underwriters.</w:t>
      </w:r>
    </w:p>
    <w:p>
      <w:pPr>
        <w:spacing w:after="0" w:line="177" w:lineRule="exact"/>
        <w:rPr>
          <w:rFonts w:ascii="Arial" w:cs="Arial" w:eastAsia="Arial" w:hAnsi="Arial"/>
          <w:sz w:val="17"/>
          <w:szCs w:val="17"/>
          <w:color w:val="auto"/>
        </w:rPr>
      </w:pPr>
    </w:p>
    <w:p>
      <w:pPr>
        <w:ind w:left="4" w:right="320" w:firstLine="436"/>
        <w:spacing w:after="0" w:line="286" w:lineRule="auto"/>
        <w:tabs>
          <w:tab w:leader="none" w:pos="689"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There are no legal, governmental or regulatory investigations, actions, demands, claims, suits, arbitrations, inquiries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t>
      </w:r>
      <w:r>
        <w:rPr>
          <w:rFonts w:ascii="Arial" w:cs="Arial" w:eastAsia="Arial" w:hAnsi="Arial"/>
          <w:sz w:val="16"/>
          <w:szCs w:val="16"/>
          <w:b w:val="1"/>
          <w:bCs w:val="1"/>
          <w:i w:val="1"/>
          <w:iCs w:val="1"/>
          <w:color w:val="auto"/>
        </w:rPr>
        <w:t>Actions</w:t>
      </w:r>
      <w:r>
        <w:rPr>
          <w:rFonts w:ascii="Arial" w:cs="Arial" w:eastAsia="Arial" w:hAnsi="Arial"/>
          <w:sz w:val="16"/>
          <w:szCs w:val="16"/>
          <w:color w:val="auto"/>
        </w:rPr>
        <w:t>”) pending to which the Company is or may be a party or to which any property of the Company is or may be the subject that, individually or in the aggregate, if determined adversely to the Company, could reasonably be expected to have a Material Adverse Effect; no such Actions are threatened or, to the knowledge of the Company, contemplated by any governmental or regulatory authority or threatened by others; and</w:t>
      </w:r>
    </w:p>
    <w:p>
      <w:pPr>
        <w:spacing w:after="0" w:line="1" w:lineRule="exact"/>
        <w:rPr>
          <w:rFonts w:ascii="Arial" w:cs="Arial" w:eastAsia="Arial" w:hAnsi="Arial"/>
          <w:sz w:val="16"/>
          <w:szCs w:val="16"/>
          <w:color w:val="auto"/>
        </w:rPr>
      </w:pPr>
    </w:p>
    <w:p>
      <w:pPr>
        <w:ind w:left="4" w:hanging="4"/>
        <w:spacing w:after="0" w:line="271" w:lineRule="auto"/>
        <w:tabs>
          <w:tab w:leader="none" w:pos="21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78" w:lineRule="exact"/>
        <w:rPr>
          <w:rFonts w:ascii="Arial" w:cs="Arial" w:eastAsia="Arial" w:hAnsi="Arial"/>
          <w:sz w:val="17"/>
          <w:szCs w:val="17"/>
          <w:color w:val="auto"/>
        </w:rPr>
      </w:pPr>
    </w:p>
    <w:p>
      <w:pPr>
        <w:ind w:left="4" w:right="140" w:firstLine="436"/>
        <w:spacing w:after="0" w:line="263" w:lineRule="auto"/>
        <w:tabs>
          <w:tab w:leader="none" w:pos="769" w:val="left"/>
        </w:tabs>
        <w:numPr>
          <w:ilvl w:val="1"/>
          <w:numId w:val="109"/>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Marcum LLP, who have certified certain financial statements of the Company, is an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with respect to the Company within the applicable rules and regulations adopted by the Commission and the Public Company Accounting Oversight Board (United States) and as required by the Securities Act.</w:t>
      </w:r>
    </w:p>
    <w:p>
      <w:pPr>
        <w:spacing w:after="0" w:line="183" w:lineRule="exact"/>
        <w:rPr>
          <w:rFonts w:ascii="Arial" w:cs="Arial" w:eastAsia="Arial" w:hAnsi="Arial"/>
          <w:sz w:val="18"/>
          <w:szCs w:val="18"/>
          <w:color w:val="auto"/>
        </w:rPr>
      </w:pPr>
    </w:p>
    <w:p>
      <w:pPr>
        <w:ind w:left="4" w:right="40" w:firstLine="436"/>
        <w:spacing w:after="0" w:line="293" w:lineRule="auto"/>
        <w:tabs>
          <w:tab w:leader="none" w:pos="789"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Disclosure. </w:t>
      </w:r>
      <w:r>
        <w:rPr>
          <w:rFonts w:ascii="Arial" w:cs="Arial" w:eastAsia="Arial" w:hAnsi="Arial"/>
          <w:sz w:val="16"/>
          <w:szCs w:val="16"/>
          <w:color w:val="auto"/>
        </w:rPr>
        <w:t>There is no franchise, contract or other document of a character required to be described in the Registration Statement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or to be filed as an exhibit thereto, which is not described or filed as required (and the Pricing Disclosure Package contains in all material respects the same description of the foregoing matters contained in the Prospectus); and the statements in the Registration Statement, the Pricing Disclosure Package and the Prospectus under the headings “Principal stockholders,” “Certain relationships and related party transactions,” “Description of securities,” “Underwriting” and “U.S. federal income tax considerations” insofar as such statements summarize legal matters, agreements, documents or proceedings discussed therein, are in all material respects accurate and fair summaries of such legal matters, agreements, documents or proceedings.</w:t>
      </w:r>
    </w:p>
    <w:p>
      <w:pPr>
        <w:spacing w:after="0" w:line="164" w:lineRule="exact"/>
        <w:rPr>
          <w:rFonts w:ascii="Arial" w:cs="Arial" w:eastAsia="Arial" w:hAnsi="Arial"/>
          <w:sz w:val="16"/>
          <w:szCs w:val="16"/>
          <w:color w:val="auto"/>
        </w:rPr>
      </w:pPr>
    </w:p>
    <w:p>
      <w:pPr>
        <w:ind w:left="4" w:right="80" w:firstLine="436"/>
        <w:spacing w:after="0" w:line="311" w:lineRule="auto"/>
        <w:tabs>
          <w:tab w:leader="none" w:pos="769"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No Undisclosed Relationships. </w:t>
      </w:r>
      <w:r>
        <w:rPr>
          <w:rFonts w:ascii="Arial" w:cs="Arial" w:eastAsia="Arial" w:hAnsi="Arial"/>
          <w:sz w:val="16"/>
          <w:szCs w:val="16"/>
          <w:color w:val="auto"/>
        </w:rPr>
        <w:t>No relationship, direct or indirect, exists between or among the Company, on the one hand, and the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stockholders, customers, suppliers or other affiliates of the Company, on the other, that is required by the Securities Act to be described in each of the Registration Statement and the Prospectus and that is not so described in such documents and in the Pricing Disclosure Package.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04" w:name="page205"/>
    <w:bookmarkEnd w:id="204"/>
    <w:p>
      <w:pPr>
        <w:ind w:left="-20" w:right="320" w:firstLine="436"/>
        <w:spacing w:after="0" w:line="279" w:lineRule="auto"/>
        <w:tabs>
          <w:tab w:leader="none" w:pos="765"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 Act</w:t>
      </w:r>
      <w:r>
        <w:rPr>
          <w:rFonts w:ascii="Arial" w:cs="Arial" w:eastAsia="Arial" w:hAnsi="Arial"/>
          <w:sz w:val="17"/>
          <w:szCs w:val="17"/>
          <w:color w:val="auto"/>
        </w:rPr>
        <w:t>. The Company is not and, after giving effect to the offering and sale of the Shares and the application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thereof as described in the Registration Statement, the Pricing Disclosure Package and the Prospectus, will not be required to register as an “</w:t>
      </w:r>
      <w:r>
        <w:rPr>
          <w:rFonts w:ascii="Arial" w:cs="Arial" w:eastAsia="Arial" w:hAnsi="Arial"/>
          <w:sz w:val="17"/>
          <w:szCs w:val="17"/>
          <w:b w:val="1"/>
          <w:bCs w:val="1"/>
          <w:i w:val="1"/>
          <w:iCs w:val="1"/>
          <w:color w:val="auto"/>
        </w:rPr>
        <w:t>investment company</w:t>
      </w:r>
      <w:r>
        <w:rPr>
          <w:rFonts w:ascii="Arial" w:cs="Arial" w:eastAsia="Arial" w:hAnsi="Arial"/>
          <w:sz w:val="17"/>
          <w:szCs w:val="17"/>
          <w:color w:val="auto"/>
        </w:rPr>
        <w:t>” or an entity “</w:t>
      </w:r>
      <w:r>
        <w:rPr>
          <w:rFonts w:ascii="Arial" w:cs="Arial" w:eastAsia="Arial" w:hAnsi="Arial"/>
          <w:sz w:val="17"/>
          <w:szCs w:val="17"/>
          <w:b w:val="1"/>
          <w:bCs w:val="1"/>
          <w:i w:val="1"/>
          <w:iCs w:val="1"/>
          <w:color w:val="auto"/>
        </w:rPr>
        <w:t>controlled</w:t>
      </w:r>
      <w:r>
        <w:rPr>
          <w:rFonts w:ascii="Arial" w:cs="Arial" w:eastAsia="Arial" w:hAnsi="Arial"/>
          <w:sz w:val="17"/>
          <w:szCs w:val="17"/>
          <w:color w:val="auto"/>
        </w:rPr>
        <w:t>” by an “</w:t>
      </w:r>
      <w:r>
        <w:rPr>
          <w:rFonts w:ascii="Arial" w:cs="Arial" w:eastAsia="Arial" w:hAnsi="Arial"/>
          <w:sz w:val="17"/>
          <w:szCs w:val="17"/>
          <w:b w:val="1"/>
          <w:bCs w:val="1"/>
          <w:i w:val="1"/>
          <w:iCs w:val="1"/>
          <w:color w:val="auto"/>
        </w:rPr>
        <w:t>investment company</w:t>
      </w:r>
      <w:r>
        <w:rPr>
          <w:rFonts w:ascii="Arial" w:cs="Arial" w:eastAsia="Arial" w:hAnsi="Arial"/>
          <w:sz w:val="17"/>
          <w:szCs w:val="17"/>
          <w:color w:val="auto"/>
        </w:rPr>
        <w:t>” within the meaning of the Investment Company Act of 1940, as amended, and the rules and regulations of the Commission thereunder (collectively, the “</w:t>
      </w:r>
      <w:r>
        <w:rPr>
          <w:rFonts w:ascii="Arial" w:cs="Arial" w:eastAsia="Arial" w:hAnsi="Arial"/>
          <w:sz w:val="17"/>
          <w:szCs w:val="17"/>
          <w:b w:val="1"/>
          <w:bCs w:val="1"/>
          <w:i w:val="1"/>
          <w:iCs w:val="1"/>
          <w:color w:val="auto"/>
        </w:rPr>
        <w:t>Investment Company Act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0" w:right="300" w:firstLine="436"/>
        <w:spacing w:after="0" w:line="296" w:lineRule="auto"/>
        <w:tabs>
          <w:tab w:leader="none" w:pos="745"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Except as would not reasonably be expected to have a Material Adverse Effect, the Company has paid all federal, state, local and</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taxes (other than those being contested in good faith and by appropriate proceedings and with respect to which adequate reserves are being maintained in accordance with GAAP) and filed all tax returns required to be paid or filed through the date hereof or requested extensions thereof through the date hereof; and except as otherwise disclosed in each of the Registration Statement, the Pricing Disclosure Package and the Prospectus, there is no tax deficiency that has been, or could reasonably be expected to be, asserted against the Company or any of its properties or assets.</w:t>
      </w:r>
    </w:p>
    <w:p>
      <w:pPr>
        <w:spacing w:after="0" w:line="161" w:lineRule="exact"/>
        <w:rPr>
          <w:rFonts w:ascii="Arial" w:cs="Arial" w:eastAsia="Arial" w:hAnsi="Arial"/>
          <w:sz w:val="16"/>
          <w:szCs w:val="16"/>
          <w:color w:val="auto"/>
        </w:rPr>
      </w:pPr>
    </w:p>
    <w:p>
      <w:pPr>
        <w:ind w:left="-20" w:firstLine="436"/>
        <w:spacing w:after="0" w:line="272" w:lineRule="auto"/>
        <w:tabs>
          <w:tab w:leader="none" w:pos="702"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Licenses and Permits</w:t>
      </w:r>
      <w:r>
        <w:rPr>
          <w:rFonts w:ascii="Arial" w:cs="Arial" w:eastAsia="Arial" w:hAnsi="Arial"/>
          <w:sz w:val="17"/>
          <w:szCs w:val="17"/>
          <w:color w:val="auto"/>
        </w:rPr>
        <w:t>. The Company possesses all licenses, sub-licenses, certificates, permits and other authorizations issued by, and has made</w:t>
      </w:r>
      <w:r>
        <w:rPr>
          <w:rFonts w:ascii="Arial" w:cs="Arial" w:eastAsia="Arial" w:hAnsi="Arial"/>
          <w:sz w:val="17"/>
          <w:szCs w:val="17"/>
          <w:i w:val="1"/>
          <w:iCs w:val="1"/>
          <w:color w:val="auto"/>
        </w:rPr>
        <w:t xml:space="preserve"> </w:t>
      </w:r>
      <w:r>
        <w:rPr>
          <w:rFonts w:ascii="Arial" w:cs="Arial" w:eastAsia="Arial" w:hAnsi="Arial"/>
          <w:sz w:val="17"/>
          <w:szCs w:val="17"/>
          <w:color w:val="auto"/>
        </w:rPr>
        <w:t>all declarations and filings with, the appropriate federal, state, local or foreign governmental or regulatory authorities that are necessary for the ownership or lease of its properties or the conduct of its business as described in each of the Registration Statement, the Pricing Disclosure Package and the Prospectus, except where the failure to possess or make the same would not, individually or in the aggregate, have a Material Adverse Effect; and except as described in each of the Registration Statement, the Pricing Disclosure Package and the Prospectus, the Company has not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77" w:lineRule="exact"/>
        <w:rPr>
          <w:rFonts w:ascii="Arial" w:cs="Arial" w:eastAsia="Arial" w:hAnsi="Arial"/>
          <w:sz w:val="17"/>
          <w:szCs w:val="17"/>
          <w:color w:val="auto"/>
        </w:rPr>
      </w:pPr>
    </w:p>
    <w:p>
      <w:pPr>
        <w:ind w:left="-20" w:right="140" w:firstLine="436"/>
        <w:spacing w:after="0" w:line="342" w:lineRule="auto"/>
        <w:tabs>
          <w:tab w:leader="none" w:pos="765"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maintains an effective system of “</w:t>
      </w: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(as defined in Rule 13a-15(e)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Act) that complies with the requirements of the Exchange Act to the extent required by Rule 13a-15(e) of the Exchange Act.</w:t>
      </w:r>
    </w:p>
    <w:p>
      <w:pPr>
        <w:spacing w:after="0" w:line="123" w:lineRule="exact"/>
        <w:rPr>
          <w:rFonts w:ascii="Arial" w:cs="Arial" w:eastAsia="Arial" w:hAnsi="Arial"/>
          <w:sz w:val="16"/>
          <w:szCs w:val="16"/>
          <w:color w:val="auto"/>
        </w:rPr>
      </w:pPr>
    </w:p>
    <w:p>
      <w:pPr>
        <w:ind w:left="-20" w:firstLine="436"/>
        <w:spacing w:after="0" w:line="287" w:lineRule="auto"/>
        <w:tabs>
          <w:tab w:leader="none" w:pos="765"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Cybersecurity; Data Protection</w:t>
      </w:r>
      <w:r>
        <w:rPr>
          <w:rFonts w:ascii="Arial" w:cs="Arial" w:eastAsia="Arial" w:hAnsi="Arial"/>
          <w:sz w:val="16"/>
          <w:szCs w:val="16"/>
          <w:color w:val="auto"/>
        </w:rPr>
        <w:t>. The Company’s information technology assets and equipment, computers, systems, networks, hardware,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websites, applications, and databases (collectively, “</w:t>
      </w:r>
      <w:r>
        <w:rPr>
          <w:rFonts w:ascii="Arial" w:cs="Arial" w:eastAsia="Arial" w:hAnsi="Arial"/>
          <w:sz w:val="16"/>
          <w:szCs w:val="16"/>
          <w:b w:val="1"/>
          <w:bCs w:val="1"/>
          <w:i w:val="1"/>
          <w:i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6"/>
          <w:szCs w:val="16"/>
          <w:b w:val="1"/>
          <w:bCs w:val="1"/>
          <w:i w:val="1"/>
          <w:iCs w:val="1"/>
          <w:color w:val="auto"/>
        </w:rPr>
        <w:t>Personal Data</w:t>
      </w:r>
      <w:r>
        <w:rPr>
          <w:rFonts w:ascii="Arial" w:cs="Arial" w:eastAsia="Arial" w:hAnsi="Arial"/>
          <w:sz w:val="16"/>
          <w:szCs w:val="16"/>
          <w:color w:val="auto"/>
        </w:rPr>
        <w:t>”)) used in connection with its business, and there have been no breaches, violations, outages or unauthorized uses of or accesses to the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where the failure to be in compliance would not, individually or in the aggregate, have a Material Adverse Effect.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205" w:name="page206"/>
    <w:bookmarkEnd w:id="205"/>
    <w:p>
      <w:pPr>
        <w:ind w:left="-20" w:firstLine="436"/>
        <w:spacing w:after="0" w:line="269" w:lineRule="auto"/>
        <w:tabs>
          <w:tab w:leader="none" w:pos="685"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Unlawful Payments. </w:t>
      </w:r>
      <w:r>
        <w:rPr>
          <w:rFonts w:ascii="Arial" w:cs="Arial" w:eastAsia="Arial" w:hAnsi="Arial"/>
          <w:sz w:val="17"/>
          <w:szCs w:val="17"/>
          <w:color w:val="auto"/>
        </w:rPr>
        <w:t>Neither the Company nor any director, officer or employee of the Company nor, to the knowledge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any agent, affiliate or other person associated with or acting on behalf of the Company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has instituted, maintains and enforces, and will continue to maintain and enforce policies and procedures designed to promote and ensure compliance with all applicable anti-bribery and anti-corruption laws.</w:t>
      </w:r>
    </w:p>
    <w:p>
      <w:pPr>
        <w:spacing w:after="0" w:line="178" w:lineRule="exact"/>
        <w:rPr>
          <w:rFonts w:ascii="Arial" w:cs="Arial" w:eastAsia="Arial" w:hAnsi="Arial"/>
          <w:sz w:val="17"/>
          <w:szCs w:val="17"/>
          <w:color w:val="auto"/>
        </w:rPr>
      </w:pPr>
    </w:p>
    <w:p>
      <w:pPr>
        <w:ind w:left="-20" w:right="100" w:firstLine="436"/>
        <w:spacing w:after="0" w:line="293" w:lineRule="auto"/>
        <w:tabs>
          <w:tab w:leader="none" w:pos="68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Compliance with Anti-Money Laundering Laws</w:t>
      </w:r>
      <w:r>
        <w:rPr>
          <w:rFonts w:ascii="Arial" w:cs="Arial" w:eastAsia="Arial" w:hAnsi="Arial"/>
          <w:sz w:val="16"/>
          <w:szCs w:val="16"/>
          <w:color w:val="auto"/>
        </w:rPr>
        <w:t>. The operations of the Company are and have been conducted at all times in compliance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financial recordkeeping and reporting requirements, including those of the Currency and Foreign Transactions Reporting Act of 1970, as amended, the applicable anti-money laundering statutes of all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Anti-Money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Laundering Laws</w:t>
      </w:r>
      <w:r>
        <w:rPr>
          <w:rFonts w:ascii="Arial" w:cs="Arial" w:eastAsia="Arial" w:hAnsi="Arial"/>
          <w:sz w:val="16"/>
          <w:szCs w:val="16"/>
          <w:color w:val="auto"/>
        </w:rPr>
        <w:t>”) and no action, suit or proceeding by or before any court or governmental agency, authority or body or any arbitrator involving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with respect to the Anti-Money Laundering Laws is pending or, to the knowledge of the Company, threatened.</w:t>
      </w:r>
    </w:p>
    <w:p>
      <w:pPr>
        <w:spacing w:after="0" w:line="164" w:lineRule="exact"/>
        <w:rPr>
          <w:rFonts w:ascii="Arial" w:cs="Arial" w:eastAsia="Arial" w:hAnsi="Arial"/>
          <w:sz w:val="16"/>
          <w:szCs w:val="16"/>
          <w:color w:val="auto"/>
        </w:rPr>
      </w:pPr>
    </w:p>
    <w:p>
      <w:pPr>
        <w:ind w:left="-20" w:right="100" w:firstLine="436"/>
        <w:spacing w:after="0" w:line="270" w:lineRule="auto"/>
        <w:tabs>
          <w:tab w:leader="none" w:pos="765"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directors, officers, or employees, nor,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any agent, affiliate or other person associated with or acting on behalf of the Company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w:t>
      </w:r>
      <w:r>
        <w:rPr>
          <w:rFonts w:ascii="Arial" w:cs="Arial" w:eastAsia="Arial" w:hAnsi="Arial"/>
          <w:sz w:val="17"/>
          <w:szCs w:val="17"/>
          <w:b w:val="1"/>
          <w:bCs w:val="1"/>
          <w:i w:val="1"/>
          <w:iCs w:val="1"/>
          <w:color w:val="auto"/>
        </w:rPr>
        <w:t>specially designated national</w:t>
      </w:r>
      <w:r>
        <w:rPr>
          <w:rFonts w:ascii="Arial" w:cs="Arial" w:eastAsia="Arial" w:hAnsi="Arial"/>
          <w:sz w:val="17"/>
          <w:szCs w:val="17"/>
          <w:color w:val="auto"/>
        </w:rPr>
        <w:t>” or “</w:t>
      </w:r>
      <w:r>
        <w:rPr>
          <w:rFonts w:ascii="Arial" w:cs="Arial" w:eastAsia="Arial" w:hAnsi="Arial"/>
          <w:sz w:val="17"/>
          <w:szCs w:val="17"/>
          <w:b w:val="1"/>
          <w:bCs w:val="1"/>
          <w:i w:val="1"/>
          <w:iCs w:val="1"/>
          <w:color w:val="auto"/>
        </w:rPr>
        <w:t>blocked person</w:t>
      </w:r>
      <w:r>
        <w:rPr>
          <w:rFonts w:ascii="Arial" w:cs="Arial" w:eastAsia="Arial" w:hAnsi="Arial"/>
          <w:sz w:val="17"/>
          <w:szCs w:val="17"/>
          <w:color w:val="auto"/>
        </w:rPr>
        <w:t>”), the United Nations Security Council, the European Union, Her Majesty’s Treasury or other relevant sanctions authority (collectively, “</w:t>
      </w:r>
      <w:r>
        <w:rPr>
          <w:rFonts w:ascii="Arial" w:cs="Arial" w:eastAsia="Arial" w:hAnsi="Arial"/>
          <w:sz w:val="17"/>
          <w:szCs w:val="17"/>
          <w:b w:val="1"/>
          <w:bCs w:val="1"/>
          <w:i w:val="1"/>
          <w:iCs w:val="1"/>
          <w:color w:val="auto"/>
        </w:rPr>
        <w:t>Sanctions</w:t>
      </w:r>
      <w:r>
        <w:rPr>
          <w:rFonts w:ascii="Arial" w:cs="Arial" w:eastAsia="Arial" w:hAnsi="Arial"/>
          <w:sz w:val="17"/>
          <w:szCs w:val="17"/>
          <w:color w:val="auto"/>
        </w:rPr>
        <w:t>”), nor is the Company located, organized or resident in a country or territory that is the subject or target of Sanctions, including, without limitation, Crimea, Cuba, Iran, North Korea and Syria (each, a “</w:t>
      </w:r>
      <w:r>
        <w:rPr>
          <w:rFonts w:ascii="Arial" w:cs="Arial" w:eastAsia="Arial" w:hAnsi="Arial"/>
          <w:sz w:val="17"/>
          <w:szCs w:val="17"/>
          <w:b w:val="1"/>
          <w:bCs w:val="1"/>
          <w:i w:val="1"/>
          <w:iCs w:val="1"/>
          <w:color w:val="auto"/>
        </w:rPr>
        <w:t>Sanctioned Country</w:t>
      </w:r>
      <w:r>
        <w:rPr>
          <w:rFonts w:ascii="Arial" w:cs="Arial" w:eastAsia="Arial" w:hAnsi="Arial"/>
          <w:sz w:val="17"/>
          <w:szCs w:val="17"/>
          <w:color w:val="auto"/>
        </w:rPr>
        <w:t>”); and the Company will not directly or indirectly use the proceeds of the Offering hereunder, or lend, contribute or otherwise make available such proceeds to any subsidiary, joint venture partner or other person or entity (i) to fund or facilitate any activities 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206" w:name="page207"/>
    <w:bookmarkEnd w:id="20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its foundation, the Company has not knowingly engaged in and is not now knowingly engaged in any dealings or transactions with any person that at the time of the dealing or transaction is or was the subject or the target of Sanctions or with any Sanctioned Country.</w:t>
      </w:r>
    </w:p>
    <w:p>
      <w:pPr>
        <w:spacing w:after="0" w:line="188" w:lineRule="exact"/>
        <w:rPr>
          <w:sz w:val="20"/>
          <w:szCs w:val="20"/>
          <w:color w:val="auto"/>
        </w:rPr>
      </w:pPr>
    </w:p>
    <w:p>
      <w:pPr>
        <w:ind w:right="80" w:firstLine="436"/>
        <w:spacing w:after="0" w:line="263"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Except as described in the Registration Statement, the Pricing Disclosure Package and the Prospectus, no person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require the Company to register any securities for sale under the Securities Act by reason of the filing of the Registration Statement with the Commission or the issuance and sale of the Shares.</w:t>
      </w:r>
    </w:p>
    <w:p>
      <w:pPr>
        <w:spacing w:after="0" w:line="183" w:lineRule="exact"/>
        <w:rPr>
          <w:rFonts w:ascii="Arial" w:cs="Arial" w:eastAsia="Arial" w:hAnsi="Arial"/>
          <w:sz w:val="18"/>
          <w:szCs w:val="18"/>
          <w:color w:val="auto"/>
        </w:rPr>
      </w:pPr>
    </w:p>
    <w:p>
      <w:pPr>
        <w:ind w:right="120" w:firstLine="436"/>
        <w:spacing w:after="0" w:line="259" w:lineRule="auto"/>
        <w:tabs>
          <w:tab w:leader="none" w:pos="88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Compliance with Nasdaq Market Rules</w:t>
      </w:r>
      <w:r>
        <w:rPr>
          <w:rFonts w:ascii="Arial" w:cs="Arial" w:eastAsia="Arial" w:hAnsi="Arial"/>
          <w:sz w:val="18"/>
          <w:szCs w:val="18"/>
          <w:color w:val="auto"/>
        </w:rPr>
        <w:t>. There is and has been no failure on the part of the Company or, to the knowledge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any of the Company’s officers or directors, in their capacities as such, to comply with (as and when applicable), and immediately following the initial effective date of the Registration Statement the Company will be in compliance with, the applicable requirements of Nasdaq Marketplace Rules IM-5605.</w:t>
      </w:r>
    </w:p>
    <w:p>
      <w:pPr>
        <w:spacing w:after="0" w:line="186" w:lineRule="exact"/>
        <w:rPr>
          <w:rFonts w:ascii="Arial" w:cs="Arial" w:eastAsia="Arial" w:hAnsi="Arial"/>
          <w:sz w:val="18"/>
          <w:szCs w:val="18"/>
          <w:color w:val="auto"/>
        </w:rPr>
      </w:pPr>
    </w:p>
    <w:p>
      <w:pPr>
        <w:ind w:right="200" w:firstLine="436"/>
        <w:spacing w:after="0" w:line="263" w:lineRule="auto"/>
        <w:tabs>
          <w:tab w:leader="none" w:pos="78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There are no transfer, stamp, issue, registration, documentary or other similar taxes, duties, fees or charges under U.S. federal law or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any state, or any political subdivision thereof, or under the laws of any non-U.S. jurisdiction, required to be paid in connection with the execution and delivery of this Agreement or the issuance or sale by the Company of the Shares.</w:t>
      </w:r>
    </w:p>
    <w:p>
      <w:pPr>
        <w:spacing w:after="0" w:line="183" w:lineRule="exact"/>
        <w:rPr>
          <w:rFonts w:ascii="Arial" w:cs="Arial" w:eastAsia="Arial" w:hAnsi="Arial"/>
          <w:sz w:val="18"/>
          <w:szCs w:val="18"/>
          <w:color w:val="auto"/>
        </w:rPr>
      </w:pPr>
    </w:p>
    <w:p>
      <w:pPr>
        <w:ind w:right="140" w:firstLine="436"/>
        <w:spacing w:after="0" w:line="279" w:lineRule="auto"/>
        <w:tabs>
          <w:tab w:leader="none" w:pos="785"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 xml:space="preserve">Questionnaires. </w:t>
      </w:r>
      <w:r>
        <w:rPr>
          <w:rFonts w:ascii="Arial" w:cs="Arial" w:eastAsia="Arial" w:hAnsi="Arial"/>
          <w:sz w:val="17"/>
          <w:szCs w:val="17"/>
          <w:color w:val="auto"/>
        </w:rPr>
        <w:t>All information contained in the questionnaires (the “</w:t>
      </w:r>
      <w:r>
        <w:rPr>
          <w:rFonts w:ascii="Arial" w:cs="Arial" w:eastAsia="Arial" w:hAnsi="Arial"/>
          <w:sz w:val="17"/>
          <w:szCs w:val="17"/>
          <w:b w:val="1"/>
          <w:bCs w:val="1"/>
          <w:i w:val="1"/>
          <w:iCs w:val="1"/>
          <w:color w:val="auto"/>
        </w:rPr>
        <w:t>Questionnaires</w:t>
      </w:r>
      <w:r>
        <w:rPr>
          <w:rFonts w:ascii="Arial" w:cs="Arial" w:eastAsia="Arial" w:hAnsi="Arial"/>
          <w:sz w:val="17"/>
          <w:szCs w:val="17"/>
          <w:color w:val="auto"/>
        </w:rPr>
        <w:t>”) completed by the Company and the Sponsor and,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knowledge of the Company, the Company’s officers, directors and director nominees and provided to the Underwriters, is true and correct and the Company has not become aware of any information that would cause the information disclosed in the Questionnaires completed by the Company, the Sponsor or the Company’s officers, directors and director nominees to become inaccurate and incorrect.</w:t>
      </w:r>
    </w:p>
    <w:p>
      <w:pPr>
        <w:spacing w:after="0" w:line="171" w:lineRule="exact"/>
        <w:rPr>
          <w:rFonts w:ascii="Arial" w:cs="Arial" w:eastAsia="Arial" w:hAnsi="Arial"/>
          <w:sz w:val="17"/>
          <w:szCs w:val="17"/>
          <w:color w:val="auto"/>
        </w:rPr>
      </w:pPr>
    </w:p>
    <w:p>
      <w:pPr>
        <w:ind w:right="100" w:firstLine="436"/>
        <w:spacing w:after="0" w:line="286" w:lineRule="auto"/>
        <w:tabs>
          <w:tab w:leader="none" w:pos="785"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Acquisition Target Not Identified</w:t>
      </w:r>
      <w:r>
        <w:rPr>
          <w:rFonts w:ascii="Arial" w:cs="Arial" w:eastAsia="Arial" w:hAnsi="Arial"/>
          <w:sz w:val="17"/>
          <w:szCs w:val="17"/>
          <w:color w:val="auto"/>
        </w:rPr>
        <w:t>. Prior to the date hereof, the Company has not identified any Business Combination target and has not, nor,</w:t>
      </w:r>
      <w:r>
        <w:rPr>
          <w:rFonts w:ascii="Arial" w:cs="Arial" w:eastAsia="Arial" w:hAnsi="Arial"/>
          <w:sz w:val="17"/>
          <w:szCs w:val="17"/>
          <w:i w:val="1"/>
          <w:iCs w:val="1"/>
          <w:color w:val="auto"/>
        </w:rPr>
        <w:t xml:space="preserve"> </w:t>
      </w:r>
      <w:r>
        <w:rPr>
          <w:rFonts w:ascii="Arial" w:cs="Arial" w:eastAsia="Arial" w:hAnsi="Arial"/>
          <w:sz w:val="17"/>
          <w:szCs w:val="17"/>
          <w:color w:val="auto"/>
        </w:rPr>
        <w:t>to its knowledge, has anyone on its behalf, initiated any substantive discussions, directly or indirectly, with respect to a possible initial Business Combination, or engaged or retained any agent or other representative to identify or locate any such Business Combination candidate.</w:t>
      </w:r>
    </w:p>
    <w:p>
      <w:pPr>
        <w:spacing w:after="0" w:line="165" w:lineRule="exact"/>
        <w:rPr>
          <w:rFonts w:ascii="Arial" w:cs="Arial" w:eastAsia="Arial" w:hAnsi="Arial"/>
          <w:sz w:val="17"/>
          <w:szCs w:val="17"/>
          <w:color w:val="auto"/>
        </w:rPr>
      </w:pPr>
    </w:p>
    <w:p>
      <w:pPr>
        <w:ind w:firstLine="436"/>
        <w:spacing w:after="0" w:line="275" w:lineRule="auto"/>
        <w:tabs>
          <w:tab w:leader="none" w:pos="785"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No Broker’s Fees</w:t>
      </w:r>
      <w:r>
        <w:rPr>
          <w:rFonts w:ascii="Arial" w:cs="Arial" w:eastAsia="Arial" w:hAnsi="Arial"/>
          <w:sz w:val="17"/>
          <w:szCs w:val="17"/>
          <w:color w:val="auto"/>
        </w:rPr>
        <w:t>. Except as described in the Registration Statement, the Pricing Disclosure Package and the Prospectus, there are no claims,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arrangements, contracts, agreements or understandings relating to the payment of a brokerage commission or finder’s, consulting, origination or similar fee by the Company, the Sponsor or any officer, director or director nominee of the Company with respect to the sale of the Shares hereunder or any other arrangements, agreements or understandings of the Company, the Sponsor or any such officer, director or director nominee of the Company, or their respective affiliates, that may affect the Underwriters’ compensation, as determined by the FINRA.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07" w:name="page208"/>
    <w:bookmarkEnd w:id="207"/>
    <w:p>
      <w:pPr>
        <w:ind w:left="-20" w:firstLine="436"/>
        <w:spacing w:after="0" w:line="254"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Direct or Indirect Payments</w:t>
      </w:r>
      <w:r>
        <w:rPr>
          <w:rFonts w:ascii="Arial" w:cs="Arial" w:eastAsia="Arial" w:hAnsi="Arial"/>
          <w:sz w:val="18"/>
          <w:szCs w:val="18"/>
          <w:color w:val="auto"/>
        </w:rPr>
        <w:t>. Except as described in the Registration Statement, the Pricing Disclosure Package and the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not made any direct or indirect payments (in cash, securities or any other “</w:t>
      </w:r>
      <w:r>
        <w:rPr>
          <w:rFonts w:ascii="Arial" w:cs="Arial" w:eastAsia="Arial" w:hAnsi="Arial"/>
          <w:sz w:val="18"/>
          <w:szCs w:val="18"/>
          <w:b w:val="1"/>
          <w:bCs w:val="1"/>
          <w:i w:val="1"/>
          <w:iCs w:val="1"/>
          <w:color w:val="auto"/>
        </w:rPr>
        <w:t>underwriting compensation</w:t>
      </w:r>
      <w:r>
        <w:rPr>
          <w:rFonts w:ascii="Arial" w:cs="Arial" w:eastAsia="Arial" w:hAnsi="Arial"/>
          <w:sz w:val="18"/>
          <w:szCs w:val="18"/>
          <w:color w:val="auto"/>
        </w:rPr>
        <w:t>” as defined in Rule 5110 of FINRA’s Manual): (i) to any person, as a finder’s fee, consulting fee or otherwise, in consideration of such person raising capital for the Company or introducing to the Company persons who raised or provided capital to the Company; (ii) to any person that, to the Company’s knowledge, has been accepted by FINRA as a member of FINRA (a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or (iii) to any person or entity that, to the Company’s knowledge, has any direct or indirect affiliation or association with any Member, within the FINRA Review Period as defined in Rule 5110(j)(20) of the FINRA Manual, other than payments to the Underwriters pursuant to this Agreement.</w:t>
      </w:r>
    </w:p>
    <w:p>
      <w:pPr>
        <w:spacing w:after="0" w:line="194" w:lineRule="exact"/>
        <w:rPr>
          <w:rFonts w:ascii="Arial" w:cs="Arial" w:eastAsia="Arial" w:hAnsi="Arial"/>
          <w:sz w:val="18"/>
          <w:szCs w:val="18"/>
          <w:color w:val="auto"/>
        </w:rPr>
      </w:pPr>
    </w:p>
    <w:p>
      <w:pPr>
        <w:ind w:left="-20" w:right="20" w:firstLine="436"/>
        <w:spacing w:after="0" w:line="259" w:lineRule="auto"/>
        <w:tabs>
          <w:tab w:leader="none" w:pos="72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No Investment Banking, Financial Advisory and/or Consulting Services</w:t>
      </w:r>
      <w:r>
        <w:rPr>
          <w:rFonts w:ascii="Arial" w:cs="Arial" w:eastAsia="Arial" w:hAnsi="Arial"/>
          <w:sz w:val="18"/>
          <w:szCs w:val="18"/>
          <w:color w:val="auto"/>
        </w:rPr>
        <w:t>. Except as described in the Registration Statement,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during the period beginning 180 days prior to the initial confidential submission of the Registration Statement and ending on the initial effective date of the Registration Statement, no Member and/or any person associated or affiliated with a Member has provided any investment banking, financial advisory and/or consulting services to the Company.</w:t>
      </w:r>
    </w:p>
    <w:p>
      <w:pPr>
        <w:spacing w:after="0" w:line="186" w:lineRule="exact"/>
        <w:rPr>
          <w:rFonts w:ascii="Arial" w:cs="Arial" w:eastAsia="Arial" w:hAnsi="Arial"/>
          <w:sz w:val="18"/>
          <w:szCs w:val="18"/>
          <w:color w:val="auto"/>
        </w:rPr>
      </w:pPr>
    </w:p>
    <w:p>
      <w:pPr>
        <w:ind w:left="-20" w:right="80" w:firstLine="436"/>
        <w:spacing w:after="0" w:line="259" w:lineRule="auto"/>
        <w:tabs>
          <w:tab w:leader="none" w:pos="68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Affiliation with FINRA</w:t>
      </w:r>
      <w:r>
        <w:rPr>
          <w:rFonts w:ascii="Arial" w:cs="Arial" w:eastAsia="Arial" w:hAnsi="Arial"/>
          <w:sz w:val="18"/>
          <w:szCs w:val="18"/>
          <w:color w:val="auto"/>
        </w:rPr>
        <w:t>. Except as disclosed in the Questionnaires provided to the Representative, to the Company’s knowledge, no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director nominee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8"/>
          <w:szCs w:val="18"/>
          <w:b w:val="1"/>
          <w:bCs w:val="1"/>
          <w:i w:val="1"/>
          <w:iCs w:val="1"/>
          <w:color w:val="auto"/>
        </w:rPr>
        <w:t>Company Affiliate</w:t>
      </w:r>
      <w:r>
        <w:rPr>
          <w:rFonts w:ascii="Arial" w:cs="Arial" w:eastAsia="Arial" w:hAnsi="Arial"/>
          <w:sz w:val="18"/>
          <w:szCs w:val="18"/>
          <w:color w:val="auto"/>
        </w:rPr>
        <w:t>”) is a Member or a person associated or affiliated with a Member.</w:t>
      </w:r>
    </w:p>
    <w:p>
      <w:pPr>
        <w:spacing w:after="0" w:line="186" w:lineRule="exact"/>
        <w:rPr>
          <w:rFonts w:ascii="Arial" w:cs="Arial" w:eastAsia="Arial" w:hAnsi="Arial"/>
          <w:sz w:val="18"/>
          <w:szCs w:val="18"/>
          <w:color w:val="auto"/>
        </w:rPr>
      </w:pPr>
    </w:p>
    <w:p>
      <w:pPr>
        <w:ind w:left="-20" w:right="580" w:firstLine="436"/>
        <w:spacing w:after="0" w:line="342" w:lineRule="auto"/>
        <w:tabs>
          <w:tab w:leader="none" w:pos="765"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Ownership of FINRA Member Securities</w:t>
      </w:r>
      <w:r>
        <w:rPr>
          <w:rFonts w:ascii="Arial" w:cs="Arial" w:eastAsia="Arial" w:hAnsi="Arial"/>
          <w:sz w:val="16"/>
          <w:szCs w:val="16"/>
          <w:color w:val="auto"/>
        </w:rPr>
        <w:t>. Except as disclosed in the Questionnaires provided to the Representative, to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no Company Affiliate is an owner of stock or other securities of any Member (other than securities purchased on the open market).</w:t>
      </w:r>
    </w:p>
    <w:p>
      <w:pPr>
        <w:spacing w:after="0" w:line="123" w:lineRule="exact"/>
        <w:rPr>
          <w:rFonts w:ascii="Arial" w:cs="Arial" w:eastAsia="Arial" w:hAnsi="Arial"/>
          <w:sz w:val="16"/>
          <w:szCs w:val="16"/>
          <w:color w:val="auto"/>
        </w:rPr>
      </w:pPr>
    </w:p>
    <w:p>
      <w:pPr>
        <w:ind w:left="760" w:hanging="344"/>
        <w:spacing w:after="0"/>
        <w:tabs>
          <w:tab w:leader="none" w:pos="76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Subordinated Loans to FINRA Members</w:t>
      </w:r>
      <w:r>
        <w:rPr>
          <w:rFonts w:ascii="Arial" w:cs="Arial" w:eastAsia="Arial" w:hAnsi="Arial"/>
          <w:sz w:val="16"/>
          <w:szCs w:val="16"/>
          <w:color w:val="auto"/>
        </w:rPr>
        <w:t>. To the Company’s knowledge, no Company Affiliate has made a subordinated loan to any Member.</w:t>
      </w:r>
    </w:p>
    <w:p>
      <w:pPr>
        <w:spacing w:after="0" w:line="248" w:lineRule="exact"/>
        <w:rPr>
          <w:rFonts w:ascii="Arial" w:cs="Arial" w:eastAsia="Arial" w:hAnsi="Arial"/>
          <w:sz w:val="16"/>
          <w:szCs w:val="16"/>
          <w:color w:val="auto"/>
        </w:rPr>
      </w:pPr>
    </w:p>
    <w:p>
      <w:pPr>
        <w:ind w:left="-20" w:firstLine="436"/>
        <w:spacing w:after="0" w:line="259" w:lineRule="auto"/>
        <w:tabs>
          <w:tab w:leader="none" w:pos="84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Non</w:t>
      </w:r>
      <w:r>
        <w:rPr>
          <w:rFonts w:ascii="Arial" w:cs="Arial" w:eastAsia="Arial" w:hAnsi="Arial"/>
          <w:sz w:val="18"/>
          <w:szCs w:val="18"/>
          <w:color w:val="auto"/>
        </w:rPr>
        <w:t>-</w:t>
      </w:r>
      <w:r>
        <w:rPr>
          <w:rFonts w:ascii="Arial" w:cs="Arial" w:eastAsia="Arial" w:hAnsi="Arial"/>
          <w:sz w:val="18"/>
          <w:szCs w:val="18"/>
          <w:i w:val="1"/>
          <w:iCs w:val="1"/>
          <w:color w:val="auto"/>
        </w:rPr>
        <w:t>Compete</w:t>
      </w:r>
      <w:r>
        <w:rPr>
          <w:rFonts w:ascii="Arial" w:cs="Arial" w:eastAsia="Arial" w:hAnsi="Arial"/>
          <w:sz w:val="18"/>
          <w:szCs w:val="18"/>
          <w:color w:val="auto"/>
        </w:rPr>
        <w:t>/</w:t>
      </w:r>
      <w:r>
        <w:rPr>
          <w:rFonts w:ascii="Arial" w:cs="Arial" w:eastAsia="Arial" w:hAnsi="Arial"/>
          <w:sz w:val="18"/>
          <w:szCs w:val="18"/>
          <w:i w:val="1"/>
          <w:iCs w:val="1"/>
          <w:color w:val="auto"/>
        </w:rPr>
        <w:t>Non</w:t>
      </w:r>
      <w:r>
        <w:rPr>
          <w:rFonts w:ascii="Arial" w:cs="Arial" w:eastAsia="Arial" w:hAnsi="Arial"/>
          <w:sz w:val="18"/>
          <w:szCs w:val="18"/>
          <w:color w:val="auto"/>
        </w:rPr>
        <w:t>-</w:t>
      </w:r>
      <w:r>
        <w:rPr>
          <w:rFonts w:ascii="Arial" w:cs="Arial" w:eastAsia="Arial" w:hAnsi="Arial"/>
          <w:sz w:val="18"/>
          <w:szCs w:val="18"/>
          <w:i w:val="1"/>
          <w:iCs w:val="1"/>
          <w:color w:val="auto"/>
        </w:rPr>
        <w:t>Solicitation</w:t>
      </w:r>
      <w:r>
        <w:rPr>
          <w:rFonts w:ascii="Arial" w:cs="Arial" w:eastAsia="Arial" w:hAnsi="Arial"/>
          <w:sz w:val="18"/>
          <w:szCs w:val="18"/>
          <w:color w:val="auto"/>
        </w:rPr>
        <w:t>. Except as described in the Registration Statement, the Pricing Disclosure Package and the Prospectus,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knowledge, none of the Sponsor, officers, directors or director nominees of the Company is subject to a non-competition agreement or non-solicitation agreement with any employer, prior employer or other entity that could materially affect its, his or her ability to be and act in the capacity of stockholder, officer or director of the Company, as applicable.</w:t>
      </w:r>
    </w:p>
    <w:p>
      <w:pPr>
        <w:spacing w:after="0" w:line="186" w:lineRule="exact"/>
        <w:rPr>
          <w:rFonts w:ascii="Arial" w:cs="Arial" w:eastAsia="Arial" w:hAnsi="Arial"/>
          <w:sz w:val="18"/>
          <w:szCs w:val="18"/>
          <w:color w:val="auto"/>
        </w:rPr>
      </w:pPr>
    </w:p>
    <w:p>
      <w:pPr>
        <w:ind w:left="-20" w:right="20" w:firstLine="436"/>
        <w:spacing w:after="0" w:line="257" w:lineRule="auto"/>
        <w:tabs>
          <w:tab w:leader="none" w:pos="76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Related Party Transactions</w:t>
      </w:r>
      <w:r>
        <w:rPr>
          <w:rFonts w:ascii="Arial" w:cs="Arial" w:eastAsia="Arial" w:hAnsi="Arial"/>
          <w:sz w:val="18"/>
          <w:szCs w:val="18"/>
          <w:color w:val="auto"/>
        </w:rPr>
        <w:t>. No relationship, direct or indirect, exists between or among any of the Company or any affiliate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one hand, and any director, director nominee, officer, stockholder, special advisor, customer or supplier of the Company or any affiliate of the Company, on the other hand, which is required by the Securities Act or the Exchange Act to be described in the Registration Statement, Pricing Disclosure Package or the Prospectus that is not described as required. There are no outstanding loans, advances (except normal advances for business expenses in the ordinary course of business) or guarantees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60" w:top="274" w:right="479" w:bottom="1440" w:gutter="0" w:footer="0" w:header="0"/>
        </w:sectPr>
      </w:pPr>
    </w:p>
    <w:bookmarkStart w:id="208" w:name="page209"/>
    <w:bookmarkEnd w:id="208"/>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by the Company to or for the benefit of any of the officers, directors or director nominees of the Company or any of their respective family members. The Company has not extended or maintained credit, arranged for the extension of credit, or renewed an extension of credit, in the form of a personal loan to or for any officer, director or director nominee of the Company.</w:t>
      </w:r>
    </w:p>
    <w:p>
      <w:pPr>
        <w:spacing w:after="0" w:line="184" w:lineRule="exact"/>
        <w:rPr>
          <w:sz w:val="20"/>
          <w:szCs w:val="20"/>
          <w:color w:val="auto"/>
        </w:rPr>
      </w:pPr>
    </w:p>
    <w:p>
      <w:pPr>
        <w:ind w:right="40" w:firstLine="436"/>
        <w:spacing w:after="0" w:line="259" w:lineRule="auto"/>
        <w:tabs>
          <w:tab w:leader="none" w:pos="785"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 Unlawful Influence</w:t>
      </w:r>
      <w:r>
        <w:rPr>
          <w:rFonts w:ascii="Arial" w:cs="Arial" w:eastAsia="Arial" w:hAnsi="Arial"/>
          <w:sz w:val="18"/>
          <w:szCs w:val="18"/>
          <w:color w:val="auto"/>
        </w:rPr>
        <w:t>. The Company has not offered, or caused the Underwriters to offer, the Shares to any person or entity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6" w:lineRule="exact"/>
        <w:rPr>
          <w:rFonts w:ascii="Arial" w:cs="Arial" w:eastAsia="Arial" w:hAnsi="Arial"/>
          <w:sz w:val="18"/>
          <w:szCs w:val="18"/>
          <w:color w:val="auto"/>
        </w:rPr>
      </w:pPr>
    </w:p>
    <w:p>
      <w:pPr>
        <w:ind w:right="280" w:firstLine="436"/>
        <w:spacing w:after="0" w:line="263" w:lineRule="auto"/>
        <w:tabs>
          <w:tab w:leader="none" w:pos="765"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Applicability of Rule 419</w:t>
      </w:r>
      <w:r>
        <w:rPr>
          <w:rFonts w:ascii="Arial" w:cs="Arial" w:eastAsia="Arial" w:hAnsi="Arial"/>
          <w:sz w:val="18"/>
          <w:szCs w:val="18"/>
          <w:color w:val="auto"/>
        </w:rPr>
        <w:t>. Upon delivery and payment for the Shares on the Closing Date and each Additional Closing Date,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subject to Rule 419 under the Securities Act and none of the Company’s outstanding securities will be deemed to be a “</w:t>
      </w:r>
      <w:r>
        <w:rPr>
          <w:rFonts w:ascii="Arial" w:cs="Arial" w:eastAsia="Arial" w:hAnsi="Arial"/>
          <w:sz w:val="18"/>
          <w:szCs w:val="18"/>
          <w:b w:val="1"/>
          <w:bCs w:val="1"/>
          <w:i w:val="1"/>
          <w:iCs w:val="1"/>
          <w:color w:val="auto"/>
        </w:rPr>
        <w:t>penny stock</w:t>
      </w:r>
      <w:r>
        <w:rPr>
          <w:rFonts w:ascii="Arial" w:cs="Arial" w:eastAsia="Arial" w:hAnsi="Arial"/>
          <w:sz w:val="18"/>
          <w:szCs w:val="18"/>
          <w:color w:val="auto"/>
        </w:rPr>
        <w:t>” as defined in Rule 3a51-1 under the Exchange Act.</w:t>
      </w:r>
    </w:p>
    <w:p>
      <w:pPr>
        <w:spacing w:after="0" w:line="184" w:lineRule="exact"/>
        <w:rPr>
          <w:sz w:val="20"/>
          <w:szCs w:val="20"/>
          <w:color w:val="auto"/>
        </w:rPr>
      </w:pPr>
    </w:p>
    <w:p>
      <w:pPr>
        <w:ind w:right="260" w:firstLine="436"/>
        <w:spacing w:after="0" w:line="286" w:lineRule="auto"/>
        <w:tabs>
          <w:tab w:leader="none" w:pos="845"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Absence of Manipulation</w:t>
      </w:r>
      <w:r>
        <w:rPr>
          <w:rFonts w:ascii="Arial" w:cs="Arial" w:eastAsia="Arial" w:hAnsi="Arial"/>
          <w:sz w:val="17"/>
          <w:szCs w:val="17"/>
          <w:color w:val="auto"/>
        </w:rPr>
        <w:t>. The Company has not taken, directly or indirectly, any action designed to or that would constitute or that might</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be expected to cause or result in, under the Exchange Act or otherwise, stabilization or manipulation of the price of any security of the Company to facilitate the sale or resale of the Shares.</w:t>
      </w:r>
    </w:p>
    <w:p>
      <w:pPr>
        <w:spacing w:after="0" w:line="165" w:lineRule="exact"/>
        <w:rPr>
          <w:rFonts w:ascii="Arial" w:cs="Arial" w:eastAsia="Arial" w:hAnsi="Arial"/>
          <w:sz w:val="17"/>
          <w:szCs w:val="17"/>
          <w:color w:val="auto"/>
        </w:rPr>
      </w:pPr>
    </w:p>
    <w:p>
      <w:pPr>
        <w:jc w:val="both"/>
        <w:ind w:right="40" w:firstLine="436"/>
        <w:spacing w:after="0" w:line="263" w:lineRule="auto"/>
        <w:tabs>
          <w:tab w:leader="none" w:pos="875"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Neither the issuance, sale and delivery of the Shares nor the application of the proceeds thereof by the Company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each of the Registration Statement, the Pricing Disclosure Package and the Prospectus will violate Regulation T, U or X of the Board of Governors of the Federal Reserve System or any other regulation of such Board of Governors.</w:t>
      </w:r>
    </w:p>
    <w:p>
      <w:pPr>
        <w:spacing w:after="0" w:line="183" w:lineRule="exact"/>
        <w:rPr>
          <w:rFonts w:ascii="Arial" w:cs="Arial" w:eastAsia="Arial" w:hAnsi="Arial"/>
          <w:sz w:val="18"/>
          <w:szCs w:val="18"/>
          <w:color w:val="auto"/>
        </w:rPr>
      </w:pPr>
    </w:p>
    <w:p>
      <w:pPr>
        <w:ind w:right="240" w:firstLine="436"/>
        <w:spacing w:after="0" w:line="263" w:lineRule="auto"/>
        <w:tabs>
          <w:tab w:leader="none" w:pos="845"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in each of the Registration Statement, the Pricing Disclosure Package and the Prospectus is not based on or derived from sources that are reliable and accurate in all material respects.</w:t>
      </w:r>
    </w:p>
    <w:p>
      <w:pPr>
        <w:spacing w:after="0" w:line="183" w:lineRule="exact"/>
        <w:rPr>
          <w:rFonts w:ascii="Arial" w:cs="Arial" w:eastAsia="Arial" w:hAnsi="Arial"/>
          <w:sz w:val="18"/>
          <w:szCs w:val="18"/>
          <w:color w:val="auto"/>
        </w:rPr>
      </w:pPr>
    </w:p>
    <w:p>
      <w:pPr>
        <w:ind w:firstLine="436"/>
        <w:spacing w:after="0" w:line="259" w:lineRule="auto"/>
        <w:tabs>
          <w:tab w:leader="none" w:pos="875"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Solely to the extent that the Sarbanes-Oxley Act of 2002, as amended, and the rules and regulations promulgated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thereunder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have been applicable to the Company, there is and has been no failure on the part of the Company or any of the Company’s directors or officers, in their capacities as such, to comply with any provision of the Sarbanes-Oxley Act, including Section 402 related to loans and Sections 302 and 906 related to certifications.</w:t>
      </w:r>
    </w:p>
    <w:p>
      <w:pPr>
        <w:spacing w:after="0" w:line="186" w:lineRule="exact"/>
        <w:rPr>
          <w:rFonts w:ascii="Arial" w:cs="Arial" w:eastAsia="Arial" w:hAnsi="Arial"/>
          <w:sz w:val="18"/>
          <w:szCs w:val="18"/>
          <w:color w:val="auto"/>
        </w:rPr>
      </w:pPr>
    </w:p>
    <w:p>
      <w:pPr>
        <w:ind w:right="60" w:firstLine="436"/>
        <w:spacing w:after="0" w:line="286" w:lineRule="auto"/>
        <w:tabs>
          <w:tab w:leader="none" w:pos="845"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At the time of filing the Registration Statement and any post-effective amendment thereto the Company was</w:t>
      </w:r>
      <w:r>
        <w:rPr>
          <w:rFonts w:ascii="Arial" w:cs="Arial" w:eastAsia="Arial" w:hAnsi="Arial"/>
          <w:sz w:val="17"/>
          <w:szCs w:val="17"/>
          <w:i w:val="1"/>
          <w:iCs w:val="1"/>
          <w:color w:val="auto"/>
        </w:rPr>
        <w:t xml:space="preserve"> </w:t>
      </w:r>
      <w:r>
        <w:rPr>
          <w:rFonts w:ascii="Arial" w:cs="Arial" w:eastAsia="Arial" w:hAnsi="Arial"/>
          <w:sz w:val="17"/>
          <w:szCs w:val="17"/>
          <w:color w:val="auto"/>
        </w:rPr>
        <w:t>an “</w:t>
      </w:r>
      <w:r>
        <w:rPr>
          <w:rFonts w:ascii="Arial" w:cs="Arial" w:eastAsia="Arial" w:hAnsi="Arial"/>
          <w:sz w:val="17"/>
          <w:szCs w:val="17"/>
          <w:b w:val="1"/>
          <w:bCs w:val="1"/>
          <w:i w:val="1"/>
          <w:iCs w:val="1"/>
          <w:color w:val="auto"/>
        </w:rPr>
        <w:t>ineligible issuer,</w:t>
      </w:r>
      <w:r>
        <w:rPr>
          <w:rFonts w:ascii="Arial" w:cs="Arial" w:eastAsia="Arial" w:hAnsi="Arial"/>
          <w:sz w:val="17"/>
          <w:szCs w:val="17"/>
          <w:color w:val="auto"/>
        </w:rPr>
        <w:t>” as defined in Rule 405 under the Securities Act solely because of subclause (B) of clause (ii) of the definition thereof. The Company has paid the registration fee for the Offering pursuant to Rule 456(b)(1) under the Securities Act.</w:t>
      </w:r>
    </w:p>
    <w:p>
      <w:pPr>
        <w:spacing w:after="0" w:line="165" w:lineRule="exact"/>
        <w:rPr>
          <w:rFonts w:ascii="Arial" w:cs="Arial" w:eastAsia="Arial" w:hAnsi="Arial"/>
          <w:sz w:val="17"/>
          <w:szCs w:val="17"/>
          <w:color w:val="auto"/>
        </w:rPr>
      </w:pPr>
    </w:p>
    <w:p>
      <w:pPr>
        <w:ind w:right="20" w:firstLine="436"/>
        <w:spacing w:after="0" w:line="263" w:lineRule="auto"/>
        <w:tabs>
          <w:tab w:leader="none" w:pos="778"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 There are (and prior to the Closing Date, will be) no debt securities, convertible securities or preferred securities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the Company that are rated by a “</w:t>
      </w:r>
      <w:r>
        <w:rPr>
          <w:rFonts w:ascii="Arial" w:cs="Arial" w:eastAsia="Arial" w:hAnsi="Arial"/>
          <w:sz w:val="18"/>
          <w:szCs w:val="18"/>
          <w:b w:val="1"/>
          <w:bCs w:val="1"/>
          <w:i w:val="1"/>
          <w:iCs w:val="1"/>
          <w:color w:val="auto"/>
        </w:rPr>
        <w:t>nationally recognized statistical rating organization,</w:t>
      </w:r>
      <w:r>
        <w:rPr>
          <w:rFonts w:ascii="Arial" w:cs="Arial" w:eastAsia="Arial" w:hAnsi="Arial"/>
          <w:sz w:val="18"/>
          <w:szCs w:val="18"/>
          <w:color w:val="auto"/>
        </w:rPr>
        <w:t>” as such term is defined in Section 3(a)(62) under the Exchange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9" w:name="page210"/>
    <w:bookmarkEnd w:id="209"/>
    <w:p>
      <w:pPr>
        <w:ind w:left="4" w:right="840" w:firstLine="436"/>
        <w:spacing w:after="0" w:line="277" w:lineRule="auto"/>
        <w:tabs>
          <w:tab w:leader="none" w:pos="879"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Ownership of Other Entities</w:t>
      </w:r>
      <w:r>
        <w:rPr>
          <w:rFonts w:ascii="Arial" w:cs="Arial" w:eastAsia="Arial" w:hAnsi="Arial"/>
          <w:sz w:val="18"/>
          <w:szCs w:val="18"/>
          <w:color w:val="auto"/>
        </w:rPr>
        <w:t>. The Company does not own, and since its incorporation has not owned, an interest in any</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partnership, limited liability company, joint venture, trust or other entity.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sz w:val="20"/>
          <w:szCs w:val="20"/>
          <w:color w:val="auto"/>
        </w:rPr>
      </w:pPr>
    </w:p>
    <w:p>
      <w:pPr>
        <w:ind w:left="4" w:right="120" w:firstLine="436"/>
        <w:spacing w:after="0" w:line="259" w:lineRule="auto"/>
        <w:tabs>
          <w:tab w:leader="none" w:pos="689"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424(b) and Rule</w:t>
      </w:r>
      <w:r>
        <w:rPr>
          <w:rFonts w:ascii="Arial" w:cs="Arial" w:eastAsia="Arial" w:hAnsi="Arial"/>
          <w:sz w:val="18"/>
          <w:szCs w:val="18"/>
          <w:i w:val="1"/>
          <w:iCs w:val="1"/>
          <w:color w:val="auto"/>
        </w:rPr>
        <w:t xml:space="preserve"> </w:t>
      </w:r>
      <w:r>
        <w:rPr>
          <w:rFonts w:ascii="Arial" w:cs="Arial" w:eastAsia="Arial" w:hAnsi="Arial"/>
          <w:sz w:val="18"/>
          <w:szCs w:val="18"/>
          <w:color w:val="auto"/>
        </w:rPr>
        <w:t>430A, 430B or 430C under the Securities Act. The Company will furnish copies of the Prospectus (to the extent not previously delivered) to the Underwriters in New York City prior to 10:00 A.M., New York City time, on the business day next succeeding the date of this Agreement in such quantities as the Representative may reasonably request.</w:t>
      </w:r>
    </w:p>
    <w:p>
      <w:pPr>
        <w:spacing w:after="0" w:line="186" w:lineRule="exact"/>
        <w:rPr>
          <w:rFonts w:ascii="Arial" w:cs="Arial" w:eastAsia="Arial" w:hAnsi="Arial"/>
          <w:sz w:val="18"/>
          <w:szCs w:val="18"/>
          <w:color w:val="auto"/>
        </w:rPr>
      </w:pPr>
    </w:p>
    <w:p>
      <w:pPr>
        <w:ind w:left="4" w:right="160" w:firstLine="436"/>
        <w:spacing w:after="0" w:line="291" w:lineRule="auto"/>
        <w:tabs>
          <w:tab w:leader="none" w:pos="699" w:val="left"/>
        </w:tabs>
        <w:numPr>
          <w:ilvl w:val="1"/>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upon request, without charge, (i) to the Representative,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w:t>
      </w:r>
    </w:p>
    <w:p>
      <w:pPr>
        <w:ind w:left="4" w:hanging="4"/>
        <w:spacing w:after="0" w:line="292" w:lineRule="auto"/>
        <w:tabs>
          <w:tab w:leader="none" w:pos="29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conformed copy of the Registration Statement as originally filed and each amendment thereto (without exhibits) and (B) during the Prospectus Delivery Period (as defined below), as many copies of the Prospectus (including all amendments and supplements thereto) as the Representative may reasonably request. As used herein, the term “</w:t>
      </w:r>
      <w:r>
        <w:rPr>
          <w:rFonts w:ascii="Arial" w:cs="Arial" w:eastAsia="Arial" w:hAnsi="Arial"/>
          <w:sz w:val="16"/>
          <w:szCs w:val="16"/>
          <w:b w:val="1"/>
          <w:bCs w:val="1"/>
          <w:i w:val="1"/>
          <w:iCs w:val="1"/>
          <w:color w:val="auto"/>
        </w:rPr>
        <w:t>Prospectus Delivery Period</w:t>
      </w:r>
      <w:r>
        <w:rPr>
          <w:rFonts w:ascii="Arial" w:cs="Arial" w:eastAsia="Arial" w:hAnsi="Arial"/>
          <w:sz w:val="16"/>
          <w:szCs w:val="16"/>
          <w:color w:val="auto"/>
        </w:rPr>
        <w:t>”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62" w:lineRule="exact"/>
        <w:rPr>
          <w:rFonts w:ascii="Arial" w:cs="Arial" w:eastAsia="Arial" w:hAnsi="Arial"/>
          <w:sz w:val="16"/>
          <w:szCs w:val="16"/>
          <w:color w:val="auto"/>
        </w:rPr>
      </w:pPr>
    </w:p>
    <w:p>
      <w:pPr>
        <w:ind w:left="4" w:right="120" w:firstLine="436"/>
        <w:spacing w:after="0" w:line="279" w:lineRule="auto"/>
        <w:tabs>
          <w:tab w:leader="none" w:pos="689" w:val="left"/>
        </w:tabs>
        <w:numPr>
          <w:ilvl w:val="1"/>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Amendments or Supplements. </w:t>
      </w:r>
      <w:r>
        <w:rPr>
          <w:rFonts w:ascii="Arial" w:cs="Arial" w:eastAsia="Arial" w:hAnsi="Arial"/>
          <w:sz w:val="17"/>
          <w:szCs w:val="17"/>
          <w:color w:val="auto"/>
        </w:rPr>
        <w:t>Before making, preparing, using, authorizing, approving, referring to or filing any amendment or supplement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the Pricing Disclosure Package or the Prospectus, the Company will furnish to the Representative and counsel for the Underwriters a copy of the proposed amendment or supplement for review and will not make, prepare, use, authorize, approve, refer to or file any such proposed amendment or supplement to which the Representative reasonably objects.</w:t>
      </w:r>
    </w:p>
    <w:p>
      <w:pPr>
        <w:spacing w:after="0" w:line="171" w:lineRule="exact"/>
        <w:rPr>
          <w:rFonts w:ascii="Arial" w:cs="Arial" w:eastAsia="Arial" w:hAnsi="Arial"/>
          <w:sz w:val="17"/>
          <w:szCs w:val="17"/>
          <w:color w:val="auto"/>
        </w:rPr>
      </w:pPr>
    </w:p>
    <w:p>
      <w:pPr>
        <w:ind w:left="704" w:hanging="264"/>
        <w:spacing w:after="0"/>
        <w:tabs>
          <w:tab w:leader="none" w:pos="704" w:val="left"/>
        </w:tabs>
        <w:numPr>
          <w:ilvl w:val="1"/>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Notice to the Representative. </w:t>
      </w:r>
      <w:r>
        <w:rPr>
          <w:rFonts w:ascii="Arial" w:cs="Arial" w:eastAsia="Arial" w:hAnsi="Arial"/>
          <w:sz w:val="17"/>
          <w:szCs w:val="17"/>
          <w:color w:val="auto"/>
        </w:rPr>
        <w:t>The Company will advise the Representative promptly, and confirm such advice in writing, (i) when the</w:t>
      </w:r>
    </w:p>
    <w:p>
      <w:pPr>
        <w:spacing w:after="0" w:line="34" w:lineRule="exact"/>
        <w:rPr>
          <w:rFonts w:ascii="Arial" w:cs="Arial" w:eastAsia="Arial" w:hAnsi="Arial"/>
          <w:sz w:val="17"/>
          <w:szCs w:val="17"/>
          <w:color w:val="auto"/>
        </w:rPr>
      </w:pPr>
    </w:p>
    <w:p>
      <w:pPr>
        <w:ind w:left="4" w:right="40"/>
        <w:spacing w:after="0" w:line="270" w:lineRule="auto"/>
        <w:rPr>
          <w:rFonts w:ascii="Arial" w:cs="Arial" w:eastAsia="Arial" w:hAnsi="Arial"/>
          <w:sz w:val="17"/>
          <w:szCs w:val="17"/>
          <w:color w:val="auto"/>
        </w:rPr>
      </w:pPr>
      <w:r>
        <w:rPr>
          <w:rFonts w:ascii="Arial" w:cs="Arial" w:eastAsia="Arial" w:hAnsi="Arial"/>
          <w:sz w:val="17"/>
          <w:szCs w:val="17"/>
          <w:color w:val="auto"/>
        </w:rPr>
        <w:t>Registration Statement has become effective; (ii) when any amendment to the Registration Statement has been filed or becomes effective; (iii) when any supplement to the Pricing Disclosure Package, the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10" w:name="page211"/>
    <w:bookmarkEnd w:id="210"/>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172" w:lineRule="exact"/>
        <w:rPr>
          <w:sz w:val="20"/>
          <w:szCs w:val="20"/>
          <w:color w:val="auto"/>
        </w:rPr>
      </w:pPr>
    </w:p>
    <w:p>
      <w:pPr>
        <w:ind w:firstLine="436"/>
        <w:spacing w:after="0" w:line="268" w:lineRule="auto"/>
        <w:tabs>
          <w:tab w:leader="none" w:pos="685"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Ongoing Compliance. </w:t>
      </w:r>
      <w:r>
        <w:rPr>
          <w:rFonts w:ascii="Arial" w:cs="Arial" w:eastAsia="Arial" w:hAnsi="Arial"/>
          <w:sz w:val="17"/>
          <w:szCs w:val="17"/>
          <w:color w:val="auto"/>
        </w:rPr>
        <w:t>(1) If during the Prospectus Delivery Period (i) any event or development shall occur or condition shall exist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11" w:name="page212"/>
    <w:bookmarkEnd w:id="211"/>
    <w:p>
      <w:pPr>
        <w:ind w:firstLine="436"/>
        <w:spacing w:after="0" w:line="257" w:lineRule="auto"/>
        <w:tabs>
          <w:tab w:leader="none" w:pos="665"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Blue Sky Compliance. </w:t>
      </w:r>
      <w:r>
        <w:rPr>
          <w:rFonts w:ascii="Arial" w:cs="Arial" w:eastAsia="Arial" w:hAnsi="Arial"/>
          <w:sz w:val="18"/>
          <w:szCs w:val="18"/>
          <w:color w:val="auto"/>
        </w:rPr>
        <w:t>The Company will qualify the Shares for offer and sale under the securities or Blue Sky laws of such jurisdictions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 shall reasonably request and will continue such qualifications in effect so long as required for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7" w:lineRule="exact"/>
        <w:rPr>
          <w:rFonts w:ascii="Arial" w:cs="Arial" w:eastAsia="Arial" w:hAnsi="Arial"/>
          <w:sz w:val="18"/>
          <w:szCs w:val="18"/>
          <w:color w:val="auto"/>
        </w:rPr>
      </w:pPr>
    </w:p>
    <w:p>
      <w:pPr>
        <w:ind w:firstLine="436"/>
        <w:spacing w:after="0" w:line="259"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 as soon as practicable an earning</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that satisfies the provisions of Section 11(a) of the Securities Act and Rule 158 of the Commission promulgated thereunder covering a period of at least twelve months beginning with the first fiscal quarter of the Company occurring after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(as defined in Rule 158) of the Registration Statement.</w:t>
      </w:r>
    </w:p>
    <w:p>
      <w:pPr>
        <w:spacing w:after="0" w:line="186" w:lineRule="exact"/>
        <w:rPr>
          <w:rFonts w:ascii="Arial" w:cs="Arial" w:eastAsia="Arial" w:hAnsi="Arial"/>
          <w:sz w:val="18"/>
          <w:szCs w:val="18"/>
          <w:color w:val="auto"/>
        </w:rPr>
      </w:pPr>
    </w:p>
    <w:p>
      <w:pPr>
        <w:ind w:right="20" w:firstLine="436"/>
        <w:spacing w:after="0" w:line="283" w:lineRule="auto"/>
        <w:tabs>
          <w:tab w:leader="none" w:pos="695"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180 days after the date of the Prospectus, the Company will not (i) offer, pledge, sell, contract to sell, sell any</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Founder Shares or any securities convertible into or exercisable or exchangeable for any Shares or Founder Shares or publicly disclose the intention to undertake any of the foregoing, or (ii) enter into any swap or other arrangement that transfers, in whole or in part, any of the economic consequences of ownership of any Shares or Founder Shares or any such other securities, whether any such transaction described in clause (i) or (ii) above is to be settled by delivery of Shares or such other securities, in cash or otherwise, without the prior written consent of the Representative, except, in each case, that the Company may (a) issue and sell the Private Placement Shares, (b) issue and sell the Option Shares on exercise of the option provided for in Section 2(b) hereof, (c) register with the Commission pursuant to the Registration Rights Agreement, the resale of the Founder Shares, the Private Placement Shares and Shares that may be issued upon conversion of working capital loans and (d) issue securities in connection with a Business Combination. However, the preceding clauses (i) and (ii) shall not apply to the forfeiture of any Founder Shares pursuant to their terms or any transfer of Founder Shares to any current or future independent director of the Company (as long as such current or future independent director transferee is subject to the terms of</w:t>
      </w:r>
    </w:p>
    <w:p>
      <w:pPr>
        <w:spacing w:after="0" w:line="2" w:lineRule="exact"/>
        <w:rPr>
          <w:rFonts w:ascii="Arial" w:cs="Arial" w:eastAsia="Arial" w:hAnsi="Arial"/>
          <w:sz w:val="16"/>
          <w:szCs w:val="16"/>
          <w:color w:val="auto"/>
        </w:rPr>
      </w:pPr>
    </w:p>
    <w:p>
      <w:pPr>
        <w:ind w:right="120"/>
        <w:spacing w:after="0" w:line="277" w:lineRule="auto"/>
        <w:rPr>
          <w:rFonts w:ascii="Arial" w:cs="Arial" w:eastAsia="Arial" w:hAnsi="Arial"/>
          <w:sz w:val="16"/>
          <w:szCs w:val="16"/>
          <w:color w:val="auto"/>
        </w:rPr>
      </w:pPr>
      <w:r>
        <w:rPr>
          <w:rFonts w:ascii="Arial" w:cs="Arial" w:eastAsia="Arial" w:hAnsi="Arial"/>
          <w:sz w:val="17"/>
          <w:szCs w:val="17"/>
          <w:color w:val="auto"/>
        </w:rPr>
        <w:t>the Insider Letter applicable to directors and officers at the time of such transfer; and as long as, to the extent any reporting obligation under Section 16 of the Exchange Act is triggered as a result of such transfer, any related filing includes a practical explanation as to the nature of the transfer). The Representative in its sole discretion may release or waive the transfer restrictions set forth herein at any time without notice.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agrees not to waive or amend the Insider Letter without the written consent of the Representative.</w:t>
      </w:r>
    </w:p>
    <w:p>
      <w:pPr>
        <w:spacing w:after="0" w:line="225" w:lineRule="exact"/>
        <w:rPr>
          <w:sz w:val="20"/>
          <w:szCs w:val="20"/>
          <w:color w:val="auto"/>
        </w:rPr>
      </w:pPr>
    </w:p>
    <w:p>
      <w:pPr>
        <w:ind w:right="60" w:firstLine="436"/>
        <w:spacing w:after="0" w:line="308" w:lineRule="auto"/>
        <w:tabs>
          <w:tab w:leader="none" w:pos="655"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Private Placement Shares received by it in a manner materially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with the applications described under the caption “Use of Proceeds” in the Pricing Disclosure Package and the Prospectus.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12" w:name="page213"/>
    <w:bookmarkEnd w:id="212"/>
    <w:p>
      <w:pPr>
        <w:ind w:right="460" w:firstLine="436"/>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Stabilization. </w:t>
      </w:r>
      <w:r>
        <w:rPr>
          <w:rFonts w:ascii="Arial" w:cs="Arial" w:eastAsia="Arial" w:hAnsi="Arial"/>
          <w:sz w:val="18"/>
          <w:szCs w:val="18"/>
          <w:color w:val="auto"/>
        </w:rPr>
        <w:t>Neither the Company nor its affiliates will take, directly or indirectly, any action designed to or that could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any stabilization or manipulation of the price of the Shares.</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Company will use its reasonable best efforts to list, subject to notice of issuance, the Shares on Nasdaq.</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Reports. </w:t>
      </w:r>
      <w:r>
        <w:rPr>
          <w:rFonts w:ascii="Arial" w:cs="Arial" w:eastAsia="Arial" w:hAnsi="Arial"/>
          <w:sz w:val="17"/>
          <w:szCs w:val="17"/>
          <w:color w:val="auto"/>
        </w:rPr>
        <w:t>For a period commencing on the initial effective date of the Registration Statement and ending five years from the date of the</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consummation of the Business Combination or until such earlier time at which the Liquidation occurs, the Company shall, to the extent such information or documents are not otherwise publicly available, upon written request from the Representative, furnish to the Representative copies of such financial statements and other periodic and special reports as the Company from time to time furnishes generally to holders of any class of securities, and, to the extent such information or documents are not otherwise publicly available, upon written request from the Representative, promptly furnish to the Representative: (i) a copy of such registration statements, financial statements and periodic and special reports as the Company shall be required to file with the Commission and from time to time furnishes generally to holders of any such class of its securities in their capacities as such; and (ii) such additional documents and information with respect to the Company and the affairs of any future subsidiaries of the Company as the Representative may from time to time reasonably request, all subject to the execution of a satisfactory confidentiality agreement. Any registration statements, financial statements, periodic and special reports or other additional documents referred to in the preceding sentence filed or furnished on the Commission’s EDGAR website and publicly available will be considered furnished for the purposes of this Section 4(l).</w:t>
      </w:r>
    </w:p>
    <w:p>
      <w:pPr>
        <w:spacing w:after="0" w:line="169" w:lineRule="exact"/>
        <w:rPr>
          <w:rFonts w:ascii="Arial" w:cs="Arial" w:eastAsia="Arial" w:hAnsi="Arial"/>
          <w:sz w:val="17"/>
          <w:szCs w:val="17"/>
          <w:color w:val="auto"/>
        </w:rPr>
      </w:pPr>
    </w:p>
    <w:p>
      <w:pPr>
        <w:ind w:left="740" w:hanging="304"/>
        <w:spacing w:after="0"/>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Filings. </w:t>
      </w:r>
      <w:r>
        <w:rPr>
          <w:rFonts w:ascii="Arial" w:cs="Arial" w:eastAsia="Arial" w:hAnsi="Arial"/>
          <w:sz w:val="18"/>
          <w:szCs w:val="18"/>
          <w:color w:val="auto"/>
        </w:rPr>
        <w:t>The Company will file with the Commission such reports as may be required by Rule 463 under the Securities Act.</w:t>
      </w:r>
    </w:p>
    <w:p>
      <w:pPr>
        <w:spacing w:after="0" w:line="225" w:lineRule="exact"/>
        <w:rPr>
          <w:rFonts w:ascii="Arial" w:cs="Arial" w:eastAsia="Arial" w:hAnsi="Arial"/>
          <w:sz w:val="18"/>
          <w:szCs w:val="18"/>
          <w:color w:val="auto"/>
        </w:rPr>
      </w:pPr>
    </w:p>
    <w:p>
      <w:pPr>
        <w:ind w:right="100" w:firstLine="436"/>
        <w:spacing w:after="0" w:line="263"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Shares within the meaning of the Securities Act and (ii) completion of the 180-day restricted period referred to in Section 4(h) hereof.</w:t>
      </w:r>
    </w:p>
    <w:p>
      <w:pPr>
        <w:spacing w:after="0" w:line="183" w:lineRule="exact"/>
        <w:rPr>
          <w:rFonts w:ascii="Arial" w:cs="Arial" w:eastAsia="Arial" w:hAnsi="Arial"/>
          <w:sz w:val="18"/>
          <w:szCs w:val="18"/>
          <w:color w:val="auto"/>
        </w:rPr>
      </w:pPr>
    </w:p>
    <w:p>
      <w:pPr>
        <w:ind w:right="60" w:firstLine="436"/>
        <w:spacing w:after="0" w:line="255"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commencing on the initial effective date of the Registration Statement and ending five years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consummation of the Business Combination or until such earlier time at which the Liquidation occurs, the Company will use its best efforts to maintain the registration of the Shares under the provisions of the Exchange Act, except after giving effect to a going private transaction after the completion of an initial Business Combination. During such period, the Company will not deregister the Shares (except in connection with an exchange pursuant to a Business Combination or a going private transaction after the completion of an initial Business Combination) without the prior written consent of the Representative.</w:t>
      </w:r>
    </w:p>
    <w:p>
      <w:pPr>
        <w:spacing w:after="0" w:line="192" w:lineRule="exact"/>
        <w:rPr>
          <w:rFonts w:ascii="Arial" w:cs="Arial" w:eastAsia="Arial" w:hAnsi="Arial"/>
          <w:sz w:val="18"/>
          <w:szCs w:val="18"/>
          <w:color w:val="auto"/>
        </w:rPr>
      </w:pPr>
    </w:p>
    <w:p>
      <w:pPr>
        <w:ind w:right="420" w:firstLine="436"/>
        <w:spacing w:after="0" w:line="263"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Current Report on Form 8-K</w:t>
      </w:r>
      <w:r>
        <w:rPr>
          <w:rFonts w:ascii="Arial" w:cs="Arial" w:eastAsia="Arial" w:hAnsi="Arial"/>
          <w:sz w:val="18"/>
          <w:szCs w:val="18"/>
          <w:color w:val="auto"/>
        </w:rPr>
        <w:t>. The Company shall, on the date hereof, retain its independent registered public accounting firm to audit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of the Company as of the Closing Date (the “</w:t>
      </w:r>
      <w:r>
        <w:rPr>
          <w:rFonts w:ascii="Arial" w:cs="Arial" w:eastAsia="Arial" w:hAnsi="Arial"/>
          <w:sz w:val="18"/>
          <w:szCs w:val="18"/>
          <w:b w:val="1"/>
          <w:bCs w:val="1"/>
          <w:i w:val="1"/>
          <w:iCs w:val="1"/>
          <w:color w:val="auto"/>
        </w:rPr>
        <w:t>Audited Balance Sheet</w:t>
      </w:r>
      <w:r>
        <w:rPr>
          <w:rFonts w:ascii="Arial" w:cs="Arial" w:eastAsia="Arial" w:hAnsi="Arial"/>
          <w:sz w:val="18"/>
          <w:szCs w:val="18"/>
          <w:color w:val="auto"/>
        </w:rPr>
        <w:t>”) reflecting the receipt by the Company of the proceeds of the Offering on the Closing Date. As soon as the Audited Balance Sheet becomes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13" w:name="page214"/>
    <w:bookmarkEnd w:id="21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the Company shall promptly, but not later than four business days after the Closing Date, file a Current Report on Form 8-K with the Commission, which Current Report shall contain the Company’s Audited Balance Sheet. Additionally, upon the Company’s receipt of the proceeds from the exercise of all or any portion of the option provided for in Section 2(b) hereof, the Company shall promptly, but not later than four business days after the receipt of such proceeds, file a Current Report on Form 8-K with the Commission, which report shall disclose the Company’s sale of the Option Shares and its receipt of the proceeds therefrom, unless the receipt of such proceeds are reflected in the Current Report on Form 8-K referenced in the immediately prior sentence.</w:t>
      </w:r>
    </w:p>
    <w:p>
      <w:pPr>
        <w:spacing w:after="0" w:line="192" w:lineRule="exact"/>
        <w:rPr>
          <w:sz w:val="20"/>
          <w:szCs w:val="20"/>
          <w:color w:val="auto"/>
        </w:rPr>
      </w:pPr>
    </w:p>
    <w:p>
      <w:pPr>
        <w:ind w:right="180" w:firstLine="436"/>
        <w:spacing w:after="0" w:line="296"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Quarterly Review</w:t>
      </w:r>
      <w:r>
        <w:rPr>
          <w:rFonts w:ascii="Arial" w:cs="Arial" w:eastAsia="Arial" w:hAnsi="Arial"/>
          <w:sz w:val="16"/>
          <w:szCs w:val="16"/>
          <w:color w:val="auto"/>
        </w:rPr>
        <w:t>. For a period commencing on the initial effective date of the Registration Statement and ending five years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consummation of the Business Combination or until such earlier time at which the Liquidation occurs or the Class A Common Stock cease to be publicly traded, the Company, at its expense, shall cause its regularly engaged independent registered public accounting firm to review (but not audit) the Company’s financial statements for each of the first three fiscal quarters prior to the announcement of quarterly financial information, the filing of the Company’s Form 10-Q quarterly report and the mailing, if any, of quarterly financial information to stockholders.</w:t>
      </w:r>
    </w:p>
    <w:p>
      <w:pPr>
        <w:spacing w:after="0" w:line="161" w:lineRule="exact"/>
        <w:rPr>
          <w:rFonts w:ascii="Arial" w:cs="Arial" w:eastAsia="Arial" w:hAnsi="Arial"/>
          <w:sz w:val="16"/>
          <w:szCs w:val="16"/>
          <w:color w:val="auto"/>
        </w:rPr>
      </w:pPr>
    </w:p>
    <w:p>
      <w:pPr>
        <w:ind w:right="40" w:firstLine="436"/>
        <w:spacing w:after="0" w:line="259" w:lineRule="auto"/>
        <w:tabs>
          <w:tab w:leader="none" w:pos="66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Rule 462(b) Registration Statement</w:t>
      </w:r>
      <w:r>
        <w:rPr>
          <w:rFonts w:ascii="Arial" w:cs="Arial" w:eastAsia="Arial" w:hAnsi="Arial"/>
          <w:sz w:val="18"/>
          <w:szCs w:val="18"/>
          <w:color w:val="auto"/>
        </w:rPr>
        <w:t>. If the Company elects to rely upon Rule 462(b) under the Securities Act, the Company shall file a Rule</w:t>
      </w:r>
      <w:r>
        <w:rPr>
          <w:rFonts w:ascii="Arial" w:cs="Arial" w:eastAsia="Arial" w:hAnsi="Arial"/>
          <w:sz w:val="18"/>
          <w:szCs w:val="18"/>
          <w:i w:val="1"/>
          <w:iCs w:val="1"/>
          <w:color w:val="auto"/>
        </w:rPr>
        <w:t xml:space="preserve"> </w:t>
      </w:r>
      <w:r>
        <w:rPr>
          <w:rFonts w:ascii="Arial" w:cs="Arial" w:eastAsia="Arial" w:hAnsi="Arial"/>
          <w:sz w:val="18"/>
          <w:szCs w:val="18"/>
          <w:color w:val="auto"/>
        </w:rPr>
        <w:t>462(b) Registration Statement with the Commission in compliance with Rule 462(b) by 10:00 P.M., New York City time, on the date of this Agreement, and the Company shall at the time of filing either pay to the Commission the filing fee for the Rule 462(b) Registration Statement or give irrevocable instructions for the payment of such fee pursuant to Rule 111(b) under the Securities Act.</w:t>
      </w:r>
    </w:p>
    <w:p>
      <w:pPr>
        <w:spacing w:after="0" w:line="186" w:lineRule="exact"/>
        <w:rPr>
          <w:rFonts w:ascii="Arial" w:cs="Arial" w:eastAsia="Arial" w:hAnsi="Arial"/>
          <w:sz w:val="18"/>
          <w:szCs w:val="18"/>
          <w:color w:val="auto"/>
        </w:rPr>
      </w:pPr>
    </w:p>
    <w:p>
      <w:pPr>
        <w:ind w:right="140" w:firstLine="436"/>
        <w:spacing w:after="0" w:line="263"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Transfer Agent. </w:t>
      </w:r>
      <w:r>
        <w:rPr>
          <w:rFonts w:ascii="Arial" w:cs="Arial" w:eastAsia="Arial" w:hAnsi="Arial"/>
          <w:sz w:val="18"/>
          <w:szCs w:val="18"/>
          <w:color w:val="auto"/>
        </w:rPr>
        <w:t>For a period commencing on the initial effective date of the Registration Statement and ending five years from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Business Combination or until such earlier time at which the Liquidation occurs or the Class A Common Stock cease to be publicly traded, the Company shall retain a transfer agent.</w:t>
      </w:r>
    </w:p>
    <w:p>
      <w:pPr>
        <w:spacing w:after="0" w:line="183" w:lineRule="exact"/>
        <w:rPr>
          <w:rFonts w:ascii="Arial" w:cs="Arial" w:eastAsia="Arial" w:hAnsi="Arial"/>
          <w:sz w:val="18"/>
          <w:szCs w:val="18"/>
          <w:color w:val="auto"/>
        </w:rPr>
      </w:pPr>
    </w:p>
    <w:p>
      <w:pPr>
        <w:ind w:firstLine="436"/>
        <w:spacing w:after="0" w:line="269" w:lineRule="auto"/>
        <w:tabs>
          <w:tab w:leader="none" w:pos="655"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 xml:space="preserve">Initial Business Combination. </w:t>
      </w:r>
      <w:r>
        <w:rPr>
          <w:rFonts w:ascii="Arial" w:cs="Arial" w:eastAsia="Arial" w:hAnsi="Arial"/>
          <w:sz w:val="17"/>
          <w:szCs w:val="17"/>
          <w:color w:val="auto"/>
        </w:rPr>
        <w:t>The Company will not consummate an initial Business Combination with any entity that is affiliated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Sponsor or any of the Company’s officers, directors or scientific advisor unless it or a committee of independent directors obtains an opinion from an independent investment banking firm that is a member of FINRA, or from an independent accounting firm, that such initial Business Combination is fair to the Company from a financial point of view. The Company shall not pay the Sponsor or its affiliates or any of the Company’s officers, directors or any of their respective affiliates any fees or compensation of any kind for services rendered to the Company prior to, or in connection with, the consummation of an initial Business Combination;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(x) such officers, directors and affiliates (i) may receive reimbursement for out-of-pocket expenses incurred by them in connection with activities on the Company’s behalf related to identifying, investigating, negotiating and completing an initial Business Combination and (ii) may be repaid loans as described in the Registration Statement, the Pricing Disclosure Package and the Prospectus and (y) an affiliate of the Sponsor may receive up to $10,000 per month pursuant to the Administrative Services Agreement for office space, utilities and administrative support services provided to the Company, none of which payments described in (x) or (y) will be made from the proceeds held in the Trust Account prior to completion of the initial Business Combination.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14" w:name="page215"/>
    <w:bookmarkEnd w:id="214"/>
    <w:p>
      <w:pPr>
        <w:ind w:left="-40" w:firstLine="436"/>
        <w:spacing w:after="0" w:line="269" w:lineRule="auto"/>
        <w:tabs>
          <w:tab w:leader="none" w:pos="655"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FINRA Submissions. </w:t>
      </w:r>
      <w:r>
        <w:rPr>
          <w:rFonts w:ascii="Arial" w:cs="Arial" w:eastAsia="Arial" w:hAnsi="Arial"/>
          <w:sz w:val="17"/>
          <w:szCs w:val="17"/>
          <w:color w:val="auto"/>
        </w:rPr>
        <w:t>For a period of 60 days following the effective date of the Registration Statement, in the event any person or entity</w:t>
      </w:r>
      <w:r>
        <w:rPr>
          <w:rFonts w:ascii="Arial" w:cs="Arial" w:eastAsia="Arial" w:hAnsi="Arial"/>
          <w:sz w:val="17"/>
          <w:szCs w:val="17"/>
          <w:i w:val="1"/>
          <w:iCs w:val="1"/>
          <w:color w:val="auto"/>
        </w:rPr>
        <w:t xml:space="preserve"> </w:t>
      </w:r>
      <w:r>
        <w:rPr>
          <w:rFonts w:ascii="Arial" w:cs="Arial" w:eastAsia="Arial" w:hAnsi="Arial"/>
          <w:sz w:val="17"/>
          <w:szCs w:val="17"/>
          <w:color w:val="auto"/>
        </w:rPr>
        <w:t>(regardless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stockholders or for soliciting stockholder approval, as applicable.</w:t>
      </w:r>
    </w:p>
    <w:p>
      <w:pPr>
        <w:spacing w:after="0" w:line="185" w:lineRule="exact"/>
        <w:rPr>
          <w:rFonts w:ascii="Arial" w:cs="Arial" w:eastAsia="Arial" w:hAnsi="Arial"/>
          <w:sz w:val="17"/>
          <w:szCs w:val="17"/>
          <w:color w:val="auto"/>
        </w:rPr>
      </w:pPr>
    </w:p>
    <w:p>
      <w:pPr>
        <w:ind w:left="-40" w:right="460" w:firstLine="436"/>
        <w:spacing w:after="0" w:line="342" w:lineRule="auto"/>
        <w:tabs>
          <w:tab w:leader="none" w:pos="655"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Affiliates or Associated Persons of Members. </w:t>
      </w:r>
      <w:r>
        <w:rPr>
          <w:rFonts w:ascii="Arial" w:cs="Arial" w:eastAsia="Arial" w:hAnsi="Arial"/>
          <w:sz w:val="16"/>
          <w:szCs w:val="16"/>
          <w:color w:val="auto"/>
        </w:rPr>
        <w:t>The Company shall advise the Representative and its counsel if it is aware that any 10% or</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stockholder of the Company becomes an affiliate or associated person of a Member participating in the distribution of the Shares.</w:t>
      </w:r>
    </w:p>
    <w:p>
      <w:pPr>
        <w:spacing w:after="0" w:line="123" w:lineRule="exact"/>
        <w:rPr>
          <w:rFonts w:ascii="Arial" w:cs="Arial" w:eastAsia="Arial" w:hAnsi="Arial"/>
          <w:sz w:val="16"/>
          <w:szCs w:val="16"/>
          <w:color w:val="auto"/>
        </w:rPr>
      </w:pPr>
    </w:p>
    <w:p>
      <w:pPr>
        <w:ind w:left="-40" w:right="140" w:firstLine="436"/>
        <w:spacing w:after="0" w:line="273" w:lineRule="auto"/>
        <w:tabs>
          <w:tab w:leader="none" w:pos="695"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Trust Account Investments</w:t>
      </w:r>
      <w:r>
        <w:rPr>
          <w:rFonts w:ascii="Arial" w:cs="Arial" w:eastAsia="Arial" w:hAnsi="Arial"/>
          <w:sz w:val="17"/>
          <w:szCs w:val="17"/>
          <w:color w:val="auto"/>
        </w:rPr>
        <w:t>. The Company shall cause the proceeds of the Offering and the sale of the Private Placement Shares to be held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Trust Account to be invested only in United States government securities with a maturity of 185 days or less or in money market funds meeting certain conditions under Rule 2a-7 under the Investment Company Act as set forth in the Trust Agreement and disclosed in the Registration Statement, the Pricing Disclosure Package and the Prospectus. The Company will otherwise conduct its business in a manner so that it will not become subject to the Investment Company Act. Furthermore, once the Company consummates an initial Business Combination, it will not be required to register as an investment company under the Investment Company Act.</w:t>
      </w:r>
    </w:p>
    <w:p>
      <w:pPr>
        <w:spacing w:after="0" w:line="177" w:lineRule="exact"/>
        <w:rPr>
          <w:rFonts w:ascii="Arial" w:cs="Arial" w:eastAsia="Arial" w:hAnsi="Arial"/>
          <w:sz w:val="17"/>
          <w:szCs w:val="17"/>
          <w:color w:val="auto"/>
        </w:rPr>
      </w:pPr>
    </w:p>
    <w:p>
      <w:pPr>
        <w:ind w:left="-40" w:right="60" w:firstLine="436"/>
        <w:spacing w:after="0" w:line="277"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Use of Funds in Trust Account</w:t>
      </w:r>
      <w:r>
        <w:rPr>
          <w:rFonts w:ascii="Arial" w:cs="Arial" w:eastAsia="Arial" w:hAnsi="Arial"/>
          <w:sz w:val="18"/>
          <w:szCs w:val="18"/>
          <w:color w:val="auto"/>
        </w:rPr>
        <w:t>. During the period prior to the Company’s initial Business Combination or Liquidation, the Company will only</w:t>
      </w:r>
      <w:r>
        <w:rPr>
          <w:rFonts w:ascii="Arial" w:cs="Arial" w:eastAsia="Arial" w:hAnsi="Arial"/>
          <w:sz w:val="18"/>
          <w:szCs w:val="18"/>
          <w:i w:val="1"/>
          <w:iCs w:val="1"/>
          <w:color w:val="auto"/>
        </w:rPr>
        <w:t xml:space="preserve"> </w:t>
      </w:r>
      <w:r>
        <w:rPr>
          <w:rFonts w:ascii="Arial" w:cs="Arial" w:eastAsia="Arial" w:hAnsi="Arial"/>
          <w:sz w:val="18"/>
          <w:szCs w:val="18"/>
          <w:color w:val="auto"/>
        </w:rPr>
        <w:t>utilize the funds in the Trust Account in accordance with the Trust Agreement.</w:t>
      </w:r>
    </w:p>
    <w:p>
      <w:pPr>
        <w:spacing w:after="0" w:line="170" w:lineRule="exact"/>
        <w:rPr>
          <w:rFonts w:ascii="Arial" w:cs="Arial" w:eastAsia="Arial" w:hAnsi="Arial"/>
          <w:sz w:val="18"/>
          <w:szCs w:val="18"/>
          <w:color w:val="auto"/>
        </w:rPr>
      </w:pPr>
    </w:p>
    <w:p>
      <w:pPr>
        <w:ind w:left="-40" w:right="140" w:firstLine="436"/>
        <w:spacing w:after="0" w:line="277"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Availability of Authorized but Unissued Securities. </w:t>
      </w:r>
      <w:r>
        <w:rPr>
          <w:rFonts w:ascii="Arial" w:cs="Arial" w:eastAsia="Arial" w:hAnsi="Arial"/>
          <w:sz w:val="18"/>
          <w:szCs w:val="18"/>
          <w:color w:val="auto"/>
        </w:rPr>
        <w:t>The Company will reserve and keep available that maximum number of its authorized but</w:t>
      </w:r>
      <w:r>
        <w:rPr>
          <w:rFonts w:ascii="Arial" w:cs="Arial" w:eastAsia="Arial" w:hAnsi="Arial"/>
          <w:sz w:val="18"/>
          <w:szCs w:val="18"/>
          <w:i w:val="1"/>
          <w:iCs w:val="1"/>
          <w:color w:val="auto"/>
        </w:rPr>
        <w:t xml:space="preserve"> </w:t>
      </w:r>
      <w:r>
        <w:rPr>
          <w:rFonts w:ascii="Arial" w:cs="Arial" w:eastAsia="Arial" w:hAnsi="Arial"/>
          <w:sz w:val="18"/>
          <w:szCs w:val="18"/>
          <w:color w:val="auto"/>
        </w:rPr>
        <w:t>unissued securities that are issuable upon the conversion of the Founder Shares.</w:t>
      </w:r>
    </w:p>
    <w:p>
      <w:pPr>
        <w:spacing w:after="0" w:line="170" w:lineRule="exact"/>
        <w:rPr>
          <w:rFonts w:ascii="Arial" w:cs="Arial" w:eastAsia="Arial" w:hAnsi="Arial"/>
          <w:sz w:val="18"/>
          <w:szCs w:val="18"/>
          <w:color w:val="auto"/>
        </w:rPr>
      </w:pPr>
    </w:p>
    <w:p>
      <w:pPr>
        <w:ind w:left="-40" w:right="200" w:firstLine="436"/>
        <w:spacing w:after="0" w:line="279" w:lineRule="auto"/>
        <w:tabs>
          <w:tab w:leader="none" w:pos="645"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No Additional Issuances prior to the Business Combination</w:t>
      </w:r>
      <w:r>
        <w:rPr>
          <w:rFonts w:ascii="Arial" w:cs="Arial" w:eastAsia="Arial" w:hAnsi="Arial"/>
          <w:sz w:val="17"/>
          <w:szCs w:val="17"/>
          <w:color w:val="auto"/>
        </w:rPr>
        <w:t>. Prior to the earlier of the consummation of an initial Business Combination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Liquidation, the Company shall not issue (other than in replacement for lost, stolen or mutilated certificates) any Class A Common Stock or any preferred stock, in each case, that (1) receive funds from the Trust Account or (2) vote as a class with the Class A Common Stock (a) on any initial Business Combination or (b) to approve an amendment to the Company’s Amended and Restated Certificate of Incorporation.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80" w:top="274" w:right="479" w:bottom="1440" w:gutter="0" w:footer="0" w:header="0"/>
        </w:sectPr>
      </w:pPr>
    </w:p>
    <w:bookmarkStart w:id="215" w:name="page216"/>
    <w:bookmarkEnd w:id="215"/>
    <w:p>
      <w:pPr>
        <w:jc w:val="both"/>
        <w:ind w:left="-40" w:right="280" w:firstLine="436"/>
        <w:spacing w:after="0" w:line="263" w:lineRule="auto"/>
        <w:tabs>
          <w:tab w:leader="none" w:pos="72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Committee Review</w:t>
      </w:r>
      <w:r>
        <w:rPr>
          <w:rFonts w:ascii="Arial" w:cs="Arial" w:eastAsia="Arial" w:hAnsi="Arial"/>
          <w:sz w:val="18"/>
          <w:szCs w:val="18"/>
          <w:color w:val="auto"/>
        </w:rPr>
        <w:t>. Prior to the earlier of the consummation of an initial Business Combination and the Liquidation,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will review on a quarterly basis all payments made by the Company to the Sponsor, to the Company’s officers or directors, or to the Company’s or any of such other persons’ respective affiliates.</w:t>
      </w:r>
    </w:p>
    <w:p>
      <w:pPr>
        <w:spacing w:after="0" w:line="183" w:lineRule="exact"/>
        <w:rPr>
          <w:rFonts w:ascii="Arial" w:cs="Arial" w:eastAsia="Arial" w:hAnsi="Arial"/>
          <w:sz w:val="18"/>
          <w:szCs w:val="18"/>
          <w:color w:val="auto"/>
        </w:rPr>
      </w:pPr>
    </w:p>
    <w:p>
      <w:pPr>
        <w:ind w:left="-40" w:right="80" w:firstLine="436"/>
        <w:spacing w:after="0" w:line="259" w:lineRule="auto"/>
        <w:tabs>
          <w:tab w:leader="none" w:pos="74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Penny Stock</w:t>
      </w:r>
      <w:r>
        <w:rPr>
          <w:rFonts w:ascii="Arial" w:cs="Arial" w:eastAsia="Arial" w:hAnsi="Arial"/>
          <w:sz w:val="18"/>
          <w:szCs w:val="18"/>
          <w:color w:val="auto"/>
        </w:rPr>
        <w:t>. The Company agrees that it will use commercially reasonable efforts to prevent the Company from becoming subject to Rule</w:t>
      </w:r>
      <w:r>
        <w:rPr>
          <w:rFonts w:ascii="Arial" w:cs="Arial" w:eastAsia="Arial" w:hAnsi="Arial"/>
          <w:sz w:val="18"/>
          <w:szCs w:val="18"/>
          <w:i w:val="1"/>
          <w:iCs w:val="1"/>
          <w:color w:val="auto"/>
        </w:rPr>
        <w:t xml:space="preserve"> </w:t>
      </w:r>
      <w:r>
        <w:rPr>
          <w:rFonts w:ascii="Arial" w:cs="Arial" w:eastAsia="Arial" w:hAnsi="Arial"/>
          <w:sz w:val="18"/>
          <w:szCs w:val="18"/>
          <w:color w:val="auto"/>
        </w:rPr>
        <w:t>419 under the Securities Act prior to the consummation of any Business Combination, including, but not limited to, using its best efforts to prevent any of the Company’s outstanding securities from being deemed to be a “</w:t>
      </w:r>
      <w:r>
        <w:rPr>
          <w:rFonts w:ascii="Arial" w:cs="Arial" w:eastAsia="Arial" w:hAnsi="Arial"/>
          <w:sz w:val="18"/>
          <w:szCs w:val="18"/>
          <w:b w:val="1"/>
          <w:bCs w:val="1"/>
          <w:i w:val="1"/>
          <w:iCs w:val="1"/>
          <w:color w:val="auto"/>
        </w:rPr>
        <w:t>penny stock</w:t>
      </w:r>
      <w:r>
        <w:rPr>
          <w:rFonts w:ascii="Arial" w:cs="Arial" w:eastAsia="Arial" w:hAnsi="Arial"/>
          <w:sz w:val="18"/>
          <w:szCs w:val="18"/>
          <w:color w:val="auto"/>
        </w:rPr>
        <w:t>” as defined in Rule 3a51-1 under the Exchange Act during such period.</w:t>
      </w:r>
    </w:p>
    <w:p>
      <w:pPr>
        <w:spacing w:after="0" w:line="186" w:lineRule="exact"/>
        <w:rPr>
          <w:rFonts w:ascii="Arial" w:cs="Arial" w:eastAsia="Arial" w:hAnsi="Arial"/>
          <w:sz w:val="18"/>
          <w:szCs w:val="18"/>
          <w:color w:val="auto"/>
        </w:rPr>
      </w:pPr>
    </w:p>
    <w:p>
      <w:pPr>
        <w:ind w:left="-40" w:right="20" w:firstLine="436"/>
        <w:spacing w:after="0" w:line="273" w:lineRule="auto"/>
        <w:tabs>
          <w:tab w:leader="none" w:pos="725"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To the extent required by Rule 13a-15(e) under the Exchange Act, the Company will maintain “</w:t>
      </w:r>
      <w:r>
        <w:rPr>
          <w:rFonts w:ascii="Arial" w:cs="Arial" w:eastAsia="Arial" w:hAnsi="Arial"/>
          <w:sz w:val="17"/>
          <w:szCs w:val="17"/>
          <w:b w:val="1"/>
          <w:bCs w:val="1"/>
          <w:i w:val="1"/>
          <w:iCs w:val="1"/>
          <w:color w:val="auto"/>
        </w:rPr>
        <w:t>disclosure controls and</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procedures</w:t>
      </w:r>
      <w:r>
        <w:rPr>
          <w:rFonts w:ascii="Arial" w:cs="Arial" w:eastAsia="Arial" w:hAnsi="Arial"/>
          <w:sz w:val="17"/>
          <w:szCs w:val="17"/>
          <w:color w:val="auto"/>
        </w:rPr>
        <w:t>” (as defined under Rule 13a-15(e) under the Exchange Act) and a system of internal accounting controls sufficient to provide reasonable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7" w:lineRule="exact"/>
        <w:rPr>
          <w:rFonts w:ascii="Arial" w:cs="Arial" w:eastAsia="Arial" w:hAnsi="Arial"/>
          <w:sz w:val="17"/>
          <w:szCs w:val="17"/>
          <w:color w:val="auto"/>
        </w:rPr>
      </w:pPr>
    </w:p>
    <w:p>
      <w:pPr>
        <w:ind w:left="-40" w:firstLine="436"/>
        <w:spacing w:after="0" w:line="259" w:lineRule="auto"/>
        <w:tabs>
          <w:tab w:leader="none" w:pos="74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Maintenance of Listing. </w:t>
      </w:r>
      <w:r>
        <w:rPr>
          <w:rFonts w:ascii="Arial" w:cs="Arial" w:eastAsia="Arial" w:hAnsi="Arial"/>
          <w:sz w:val="18"/>
          <w:szCs w:val="18"/>
          <w:color w:val="auto"/>
        </w:rPr>
        <w:t>The Company will use commercially reasonable efforts to effect and maintain the listing of the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on Nasdaq (or another national securities exchange) until five years from the date of the consummation of the Business Combination or until such earlier time at which Liquidation occurs, except in connection with an exchange pursuant to a Business Combination or a going private transaction after the completion of an initial Business Combination.</w:t>
      </w:r>
    </w:p>
    <w:p>
      <w:pPr>
        <w:spacing w:after="0" w:line="186" w:lineRule="exact"/>
        <w:rPr>
          <w:rFonts w:ascii="Arial" w:cs="Arial" w:eastAsia="Arial" w:hAnsi="Arial"/>
          <w:sz w:val="18"/>
          <w:szCs w:val="18"/>
          <w:color w:val="auto"/>
        </w:rPr>
      </w:pPr>
    </w:p>
    <w:p>
      <w:pPr>
        <w:ind w:left="-40" w:right="20" w:firstLine="436"/>
        <w:spacing w:after="0" w:line="263" w:lineRule="auto"/>
        <w:tabs>
          <w:tab w:leader="none" w:pos="72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Sarbanes Oxley. </w:t>
      </w:r>
      <w:r>
        <w:rPr>
          <w:rFonts w:ascii="Arial" w:cs="Arial" w:eastAsia="Arial" w:hAnsi="Arial"/>
          <w:sz w:val="18"/>
          <w:szCs w:val="18"/>
          <w:color w:val="auto"/>
        </w:rPr>
        <w:t>As soon as legally required to do so, the Company and its directors and officers, in their capacities as such, shall take all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necessary to comply with any applicable provisions of the Sarbanes-Oxley Act, including Section 402 related to loans and Sections 302 and 906 related to certifications, and to comply with the rules of Nasdaq.</w:t>
      </w:r>
    </w:p>
    <w:p>
      <w:pPr>
        <w:spacing w:after="0" w:line="183" w:lineRule="exact"/>
        <w:rPr>
          <w:rFonts w:ascii="Arial" w:cs="Arial" w:eastAsia="Arial" w:hAnsi="Arial"/>
          <w:sz w:val="18"/>
          <w:szCs w:val="18"/>
          <w:color w:val="auto"/>
        </w:rPr>
      </w:pPr>
    </w:p>
    <w:p>
      <w:pPr>
        <w:ind w:left="-40" w:right="60" w:firstLine="436"/>
        <w:spacing w:after="0" w:line="277" w:lineRule="auto"/>
        <w:tabs>
          <w:tab w:leader="none" w:pos="682"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Certificate of Incorporation. </w:t>
      </w:r>
      <w:r>
        <w:rPr>
          <w:rFonts w:ascii="Arial" w:cs="Arial" w:eastAsia="Arial" w:hAnsi="Arial"/>
          <w:sz w:val="18"/>
          <w:szCs w:val="18"/>
          <w:color w:val="auto"/>
        </w:rPr>
        <w:t>The Company shall not take any action or omit to take any action that would cause the Company to be in breach</w:t>
      </w:r>
      <w:r>
        <w:rPr>
          <w:rFonts w:ascii="Arial" w:cs="Arial" w:eastAsia="Arial" w:hAnsi="Arial"/>
          <w:sz w:val="18"/>
          <w:szCs w:val="18"/>
          <w:i w:val="1"/>
          <w:iCs w:val="1"/>
          <w:color w:val="auto"/>
        </w:rPr>
        <w:t xml:space="preserve"> </w:t>
      </w:r>
      <w:r>
        <w:rPr>
          <w:rFonts w:ascii="Arial" w:cs="Arial" w:eastAsia="Arial" w:hAnsi="Arial"/>
          <w:sz w:val="18"/>
          <w:szCs w:val="18"/>
          <w:color w:val="auto"/>
        </w:rPr>
        <w:t>or violation of its Amended and Restated Certificate of Incorporation.</w:t>
      </w:r>
    </w:p>
    <w:p>
      <w:pPr>
        <w:spacing w:after="0" w:line="170" w:lineRule="exact"/>
        <w:rPr>
          <w:rFonts w:ascii="Arial" w:cs="Arial" w:eastAsia="Arial" w:hAnsi="Arial"/>
          <w:sz w:val="18"/>
          <w:szCs w:val="18"/>
          <w:color w:val="auto"/>
        </w:rPr>
      </w:pPr>
    </w:p>
    <w:p>
      <w:pPr>
        <w:ind w:left="-40" w:firstLine="436"/>
        <w:spacing w:after="0" w:line="279" w:lineRule="auto"/>
        <w:tabs>
          <w:tab w:leader="none" w:pos="745"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Consummate the Initial Business Combination. </w:t>
      </w:r>
      <w:r>
        <w:rPr>
          <w:rFonts w:ascii="Arial" w:cs="Arial" w:eastAsia="Arial" w:hAnsi="Arial"/>
          <w:sz w:val="17"/>
          <w:szCs w:val="17"/>
          <w:color w:val="auto"/>
        </w:rPr>
        <w:t>The Company, subject to any applicable provision of the Company’s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may consummate the initial Business Combination and conduct redemptions of Class A Common Stock for cash upon consummation of such Business Combination without a stockholder vote pursuant to Rule 13e-4 and Regulation 14E under the Exchange Act, including the filing of tender offer documents with the Commission. Such tender offer documents will contain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80" w:top="274" w:right="499" w:bottom="1440" w:gutter="0" w:footer="0" w:header="0"/>
        </w:sectPr>
      </w:pPr>
    </w:p>
    <w:bookmarkStart w:id="216" w:name="page217"/>
    <w:bookmarkEnd w:id="21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Class A Common Stock held by such stockholder for an amount of cash equal to (A) the aggregate amount then on deposit in the Trust Account as of two business days prior to the consummation of the initial Business Combination, representing (x) the proceeds held in the Trust Account from the Offering and the sale of the Private Placement Shares and (y) any interest income earned on the funds held in the Trust Account (which interest shall be net of taxes payable), divided by (B) the total number of Class A Common Stock sold in the Offering (the “</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then outstanding. If, however, a stockholder vote is required by law or applicable stock exchange listing requirement in connection with the initial Business Combination, or the Company decides to hold a stockholder vote for business or other reasons, the Company will submit such Business Combination to the Company’s stockholders for their approval (the “</w:t>
      </w:r>
      <w:r>
        <w:rPr>
          <w:rFonts w:ascii="Arial" w:cs="Arial" w:eastAsia="Arial" w:hAnsi="Arial"/>
          <w:sz w:val="16"/>
          <w:szCs w:val="16"/>
          <w:b w:val="1"/>
          <w:bCs w:val="1"/>
          <w:i w:val="1"/>
          <w:iCs w:val="1"/>
          <w:color w:val="auto"/>
        </w:rPr>
        <w:t>Business Combination Vote</w:t>
      </w:r>
      <w:r>
        <w:rPr>
          <w:rFonts w:ascii="Arial" w:cs="Arial" w:eastAsia="Arial" w:hAnsi="Arial"/>
          <w:sz w:val="16"/>
          <w:szCs w:val="16"/>
          <w:color w:val="auto"/>
        </w:rPr>
        <w:t>”). With respect to the initial Business Combination Vote, if any, each of the Sponsor and the Company’s directors and officers has agreed to vote all of the Founder Shares and Public Shares it, he or she then holds, if any, in favor of the Company’s initial Business Combination. If the Company seeks stockholder approval of the initial Business Combination, the Company will offer to each holder of Public Shares the right to have its, his or her shares redeemed in conjunction with a proxy solicitation pursuant to the proxy rules of the Commission at a per share redemption price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equal to (I) the aggregate amount then on deposit in the Trust Account as of two business days prior to the consummation of the initial Business Combination, representing (1) the proceeds held in the Trust Account from the Offering and the sale of the Private Placement Shares and (2) any interest income earned on the funds held in the Trust Account (which interest shall be net of any taxes payable), divided by (II) the total number of Public Shares then outstanding. If the Company seeks stockholder approval of the initial Business Combination, the Company may proceed with such Business Combination only if a majority of the outstanding shares voted by the stockholders at a duly held stockholders meeting are voted to approve such Business Combination (or as otherwise required by applicable law). If, after seeking and receiving such stockholder approval, the Company elects to so proceed, it will redeem shares, at the Redemption Price, from those Public Stockholders who validly and affirmatively requested such redemption. Only Public Stockholders who properly exercise their redemption rights, in accordance with the applicable tender offer or proxy materials related to such Business Combination and the Amended and Restated Certificate of Incorporation, shall be entitled to receive distributions from the Trust Account in connection with an initial Business Combination, and the Company shall pay no distributions with respect to any other holders of shares of securities of the Company in connection therewith. In the event that the Company does not effect a Business Combination by 24 months from the closing of the Offering (or such later date as has been approved pursuant to a valid amendment to the Company’s Amended and Restated Certificate of Incorporation),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(which interest shall be net of taxes payable and less up to $100,000 of such net interest to pay dissolution expenses), divided by the number of then outstanding Public Shares, which redemption will completely extinguish Public Stockholders’ rights as stockholders (including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17" w:name="page218"/>
    <w:bookmarkEnd w:id="21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receive further liquidation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Only Public Stockholders holding Class A Common Stock shall be entitled to receive such redemption amounts and the Company shall pay no such redemption amounts or any distributions in liquidation with respect to any other securities of the Company. The Sponsor and the Company’s officers and directors have agreed that they will not propose any amendment to the Company’s Amended and Restated Certificate of Incorporation (A) to modify the substance or timing of the Company’s obligation to allow redemption in connection with its initial Business Combination or to redeem 100% of the outstanding Public Shares if the Company has not consummated a Business Combination within 24 months from the closing of the Offering or (B) with respect to any other provision relating to stockholders’ rights or pre-initial Business Combination activity, unless the Company offers to the Public Stockholders the right to redeem their Public Shares in connection with such amendment, as described in the Registration Statement, the Pricing Disclosure Package and Prospectus.</w:t>
      </w:r>
    </w:p>
    <w:p>
      <w:pPr>
        <w:spacing w:after="0" w:line="192" w:lineRule="exact"/>
        <w:rPr>
          <w:sz w:val="20"/>
          <w:szCs w:val="20"/>
          <w:color w:val="auto"/>
        </w:rPr>
      </w:pPr>
    </w:p>
    <w:p>
      <w:pPr>
        <w:ind w:right="80" w:firstLine="436"/>
        <w:spacing w:after="0" w:line="254" w:lineRule="auto"/>
        <w:tabs>
          <w:tab w:leader="none" w:pos="785"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Business Combination Announcement</w:t>
      </w:r>
      <w:r>
        <w:rPr>
          <w:rFonts w:ascii="Arial" w:cs="Arial" w:eastAsia="Arial" w:hAnsi="Arial"/>
          <w:sz w:val="18"/>
          <w:szCs w:val="18"/>
          <w:color w:val="auto"/>
        </w:rPr>
        <w:t>. In the event that the Company desires or is required by an applicable law or regulation to cause an</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announcement (a “</w:t>
      </w:r>
      <w:r>
        <w:rPr>
          <w:rFonts w:ascii="Arial" w:cs="Arial" w:eastAsia="Arial" w:hAnsi="Arial"/>
          <w:sz w:val="18"/>
          <w:szCs w:val="18"/>
          <w:b w:val="1"/>
          <w:bCs w:val="1"/>
          <w:i w:val="1"/>
          <w:iCs w:val="1"/>
          <w:color w:val="auto"/>
        </w:rPr>
        <w:t>Business Combination Announcement</w:t>
      </w:r>
      <w:r>
        <w:rPr>
          <w:rFonts w:ascii="Arial" w:cs="Arial" w:eastAsia="Arial" w:hAnsi="Arial"/>
          <w:sz w:val="18"/>
          <w:szCs w:val="18"/>
          <w:color w:val="auto"/>
        </w:rPr>
        <w:t>”) to be placed in The Wall Street Journal, The New York Times or any other news or media publication or outlet or to be made via a public filing or submission with the Commission announcing the consummation of an initial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94" w:lineRule="exact"/>
        <w:rPr>
          <w:rFonts w:ascii="Arial" w:cs="Arial" w:eastAsia="Arial" w:hAnsi="Arial"/>
          <w:sz w:val="18"/>
          <w:szCs w:val="18"/>
          <w:color w:val="auto"/>
        </w:rPr>
      </w:pPr>
    </w:p>
    <w:p>
      <w:pPr>
        <w:ind w:right="80" w:firstLine="436"/>
        <w:spacing w:after="0" w:line="272" w:lineRule="auto"/>
        <w:tabs>
          <w:tab w:leader="none" w:pos="705"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Deferred Discount Payment</w:t>
      </w:r>
      <w:r>
        <w:rPr>
          <w:rFonts w:ascii="Arial" w:cs="Arial" w:eastAsia="Arial" w:hAnsi="Arial"/>
          <w:sz w:val="17"/>
          <w:szCs w:val="17"/>
          <w:color w:val="auto"/>
        </w:rPr>
        <w:t>. Upon the consummation of the initial Business Combination, the Company will direct the Trustee to pay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on behalf of the Underwriters, concurrently with the consummation of the initial Business Combination, the Deferred Discount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required by its Amended and Restated Certificate of Incorporation, the Deferred Discount will not be paid to the Representative and will, instead, be included in the Liquidation distribution of the proceeds held in the Trust Account made to the Public Stockholders. In connection with any such Liquidation, the Underwriters forfeit any rights or claims to the Deferred Discount.</w:t>
      </w:r>
    </w:p>
    <w:p>
      <w:pPr>
        <w:spacing w:after="0" w:line="177" w:lineRule="exact"/>
        <w:rPr>
          <w:rFonts w:ascii="Arial" w:cs="Arial" w:eastAsia="Arial" w:hAnsi="Arial"/>
          <w:sz w:val="17"/>
          <w:szCs w:val="17"/>
          <w:color w:val="auto"/>
        </w:rPr>
      </w:pPr>
    </w:p>
    <w:p>
      <w:pPr>
        <w:ind w:firstLine="436"/>
        <w:spacing w:after="0" w:line="296" w:lineRule="auto"/>
        <w:tabs>
          <w:tab w:leader="none" w:pos="705"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Forfeiture. </w:t>
      </w:r>
      <w:r>
        <w:rPr>
          <w:rFonts w:ascii="Arial" w:cs="Arial" w:eastAsia="Arial" w:hAnsi="Arial"/>
          <w:sz w:val="16"/>
          <w:szCs w:val="16"/>
          <w:color w:val="auto"/>
        </w:rPr>
        <w:t>Upon the earlier to occur of the expiration and termination of the Underwriters’ over-allotment option, the Company shall cancel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effect the forfeiture of Founder Shares from the holders thereof, in an aggregate amount equal to the number of Founder Shares determined by multiplying (a) 750,000 by (b) a fraction, (i) the numerator of which is 3,000,000 minus the number of Option Shares purchased by the Underwriters upon the exercise of their over-allotment option, and (ii) the denominator of which is 3,000,000. For the avoidance of doubt, if the Underwriters exercise their over-allotment option in full, the Company shall not cancel or otherwise effect the forfeiture of any Founder Shares pursuant to this Section 4(jj).</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18" w:name="page219"/>
    <w:bookmarkEnd w:id="218"/>
    <w:p>
      <w:pPr>
        <w:ind w:left="-20" w:firstLine="436"/>
        <w:spacing w:after="0" w:line="272" w:lineRule="auto"/>
        <w:tabs>
          <w:tab w:leader="none" w:pos="765"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Written Testing-the-Waters Communication. </w:t>
      </w:r>
      <w:r>
        <w:rPr>
          <w:rFonts w:ascii="Arial" w:cs="Arial" w:eastAsia="Arial" w:hAnsi="Arial"/>
          <w:sz w:val="17"/>
          <w:szCs w:val="17"/>
          <w:color w:val="auto"/>
        </w:rPr>
        <w:t>If at any time following the distribution of any Written Testing-the-Waters Communication, there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or occurs an event or development as a result of which such Written Testing-the-Waters Communication included or would include any untrue statement of a material fact or omitted or would omit to state any material fact necessary to make the statements therein in the light of the circumstances existing at that subsequent time, not misleading, the Company will promptly (i) notify the Representative so that use of the Written Testing-the-Waters Communication may cease until it is amended or supplemented; (ii) amend or supplement, at its own expense, such Written Testing-the-Waters Communication to eliminate or correct such untrue statement or omission; and (iii) supply any amendment or supplement to the Representative in such quantities as may be reasonably requested.</w:t>
      </w:r>
    </w:p>
    <w:p>
      <w:pPr>
        <w:spacing w:after="0" w:line="177" w:lineRule="exact"/>
        <w:rPr>
          <w:rFonts w:ascii="Arial" w:cs="Arial" w:eastAsia="Arial" w:hAnsi="Arial"/>
          <w:sz w:val="17"/>
          <w:szCs w:val="17"/>
          <w:color w:val="auto"/>
        </w:rPr>
      </w:pPr>
    </w:p>
    <w:p>
      <w:pPr>
        <w:ind w:left="-20" w:right="80" w:firstLine="436"/>
        <w:spacing w:after="0" w:line="263" w:lineRule="auto"/>
        <w:tabs>
          <w:tab w:leader="none" w:pos="685"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Emerging Growth Company. </w:t>
      </w:r>
      <w:r>
        <w:rPr>
          <w:rFonts w:ascii="Arial" w:cs="Arial" w:eastAsia="Arial" w:hAnsi="Arial"/>
          <w:sz w:val="18"/>
          <w:szCs w:val="18"/>
          <w:color w:val="auto"/>
        </w:rPr>
        <w:t>The Company will promptly notify the Representative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the Shares within the meaning of the Securities Act and (ii) completion of the 180-day restricted period referred to in Section 4(h) hereof.</w:t>
      </w:r>
    </w:p>
    <w:p>
      <w:pPr>
        <w:spacing w:after="0" w:line="183" w:lineRule="exact"/>
        <w:rPr>
          <w:rFonts w:ascii="Arial" w:cs="Arial" w:eastAsia="Arial" w:hAnsi="Arial"/>
          <w:sz w:val="18"/>
          <w:szCs w:val="18"/>
          <w:color w:val="auto"/>
        </w:rPr>
      </w:pPr>
    </w:p>
    <w:p>
      <w:pPr>
        <w:ind w:left="860" w:hanging="444"/>
        <w:spacing w:after="0"/>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Delivery of Agreements</w:t>
      </w:r>
      <w:r>
        <w:rPr>
          <w:rFonts w:ascii="Arial" w:cs="Arial" w:eastAsia="Arial" w:hAnsi="Arial"/>
          <w:sz w:val="17"/>
          <w:szCs w:val="17"/>
          <w:color w:val="auto"/>
        </w:rPr>
        <w:t>. The Company will deliver to the Representative executed copies of each of the Transaction Documents.</w:t>
      </w:r>
    </w:p>
    <w:p>
      <w:pPr>
        <w:spacing w:after="0" w:line="236" w:lineRule="exact"/>
        <w:rPr>
          <w:rFonts w:ascii="Arial" w:cs="Arial" w:eastAsia="Arial" w:hAnsi="Arial"/>
          <w:sz w:val="17"/>
          <w:szCs w:val="17"/>
          <w:color w:val="auto"/>
        </w:rPr>
      </w:pPr>
    </w:p>
    <w:p>
      <w:pPr>
        <w:ind w:left="-20" w:right="60" w:firstLine="436"/>
        <w:spacing w:after="0" w:line="257" w:lineRule="auto"/>
        <w:tabs>
          <w:tab w:leader="none" w:pos="765"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Trust Account Waiver. </w:t>
      </w:r>
      <w:r>
        <w:rPr>
          <w:rFonts w:ascii="Arial" w:cs="Arial" w:eastAsia="Arial" w:hAnsi="Arial"/>
          <w:sz w:val="18"/>
          <w:szCs w:val="18"/>
          <w:color w:val="auto"/>
        </w:rPr>
        <w:t>The Company will seek to have all vendors, service providers (other than its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 and, for the avoidance of doubt, the Underwriters), prospective target businesses or other entities with which it does business enter into an agreement waiving any right, title, interest or claim of any kind in or to any monies held in the Trust Account for the benefit of the Public Stockholders. The Company may forego obtaining such waivers only if the Company’s management shall have determined that such third party’s engagement would be significantly more beneficial to the Company than any alternative.</w:t>
      </w:r>
    </w:p>
    <w:p>
      <w:pPr>
        <w:spacing w:after="0" w:line="187" w:lineRule="exact"/>
        <w:rPr>
          <w:rFonts w:ascii="Arial" w:cs="Arial" w:eastAsia="Arial" w:hAnsi="Arial"/>
          <w:sz w:val="18"/>
          <w:szCs w:val="18"/>
          <w:color w:val="auto"/>
        </w:rPr>
      </w:pPr>
    </w:p>
    <w:p>
      <w:pPr>
        <w:ind w:left="-20" w:right="140" w:firstLine="436"/>
        <w:spacing w:after="0" w:line="259" w:lineRule="auto"/>
        <w:tabs>
          <w:tab w:leader="none" w:pos="765"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Certification of Beneficial Ownership</w:t>
      </w:r>
      <w:r>
        <w:rPr>
          <w:rFonts w:ascii="Arial" w:cs="Arial" w:eastAsia="Arial" w:hAnsi="Arial"/>
          <w:sz w:val="18"/>
          <w:szCs w:val="18"/>
          <w:color w:val="auto"/>
        </w:rPr>
        <w:t>. The Company will deliver to each Underwriter (or its agent), on the date of execution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 properly completed and executed Certification Regarding Beneficial Owners and Key Controllers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jc w:val="both"/>
        <w:ind w:left="-20" w:right="60" w:firstLine="436"/>
        <w:spacing w:after="0" w:line="263" w:lineRule="auto"/>
        <w:tabs>
          <w:tab w:leader="none" w:pos="60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Certain Agreements of the Underwriters</w:t>
      </w:r>
      <w:r>
        <w:rPr>
          <w:rFonts w:ascii="Arial" w:cs="Arial" w:eastAsia="Arial" w:hAnsi="Arial"/>
          <w:sz w:val="18"/>
          <w:szCs w:val="18"/>
          <w:color w:val="auto"/>
        </w:rPr>
        <w:t>. Each Underwriter hereby represents and agrees that it is not subject to any pending proceeding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8A of the Securities Act with respect to the Offering (and will promptly notify the Company if any such proceeding against it is initiated during the Prospectus Delivery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60" w:top="274" w:right="479" w:bottom="1440" w:gutter="0" w:footer="0" w:header="0"/>
        </w:sectPr>
      </w:pPr>
    </w:p>
    <w:bookmarkStart w:id="219" w:name="page220"/>
    <w:bookmarkEnd w:id="219"/>
    <w:p>
      <w:pPr>
        <w:ind w:left="4" w:firstLine="436"/>
        <w:spacing w:after="0" w:line="263" w:lineRule="auto"/>
        <w:tabs>
          <w:tab w:leader="none" w:pos="624"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of Underwriters’ Obligations</w:t>
      </w:r>
      <w:r>
        <w:rPr>
          <w:rFonts w:ascii="Arial" w:cs="Arial" w:eastAsia="Arial" w:hAnsi="Arial"/>
          <w:sz w:val="18"/>
          <w:szCs w:val="18"/>
          <w:color w:val="auto"/>
        </w:rPr>
        <w:t>. The obligation of each Underwriter to purchase the Underwritten Shares on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Shares on the Additional Closing Date, as the case may be, as provided herein is subject to the performance by the Company of its covenants and other obligations hereunder and to the following additional conditions:</w:t>
      </w:r>
    </w:p>
    <w:p>
      <w:pPr>
        <w:spacing w:after="0" w:line="76" w:lineRule="exact"/>
        <w:rPr>
          <w:sz w:val="20"/>
          <w:szCs w:val="20"/>
          <w:color w:val="auto"/>
        </w:rPr>
      </w:pPr>
    </w:p>
    <w:p>
      <w:pPr>
        <w:ind w:left="4" w:right="260" w:firstLine="436"/>
        <w:spacing w:after="0" w:line="279" w:lineRule="auto"/>
        <w:tabs>
          <w:tab w:leader="none" w:pos="689" w:val="left"/>
        </w:tabs>
        <w:numPr>
          <w:ilvl w:val="1"/>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4(a) hereof. All requests by the Commission for additional information shall have been complied with to the reasonable satisfaction of the Representative.</w:t>
      </w:r>
    </w:p>
    <w:p>
      <w:pPr>
        <w:spacing w:after="0" w:line="171" w:lineRule="exact"/>
        <w:rPr>
          <w:rFonts w:ascii="Arial" w:cs="Arial" w:eastAsia="Arial" w:hAnsi="Arial"/>
          <w:sz w:val="17"/>
          <w:szCs w:val="17"/>
          <w:color w:val="auto"/>
        </w:rPr>
      </w:pPr>
    </w:p>
    <w:p>
      <w:pPr>
        <w:ind w:left="4" w:right="120" w:firstLine="436"/>
        <w:spacing w:after="0" w:line="259" w:lineRule="auto"/>
        <w:tabs>
          <w:tab w:leader="none" w:pos="699" w:val="left"/>
        </w:tabs>
        <w:numPr>
          <w:ilvl w:val="1"/>
          <w:numId w:val="130"/>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and as of the Closing Date or the Additional Closing Date, as the case may be. The statements of the Company and its officers made in any certificates delivered pursuant to this Agreement shall be true and correct on and as of the Closing Date or the Additional Closing Date, as the case may be.</w:t>
      </w:r>
    </w:p>
    <w:p>
      <w:pPr>
        <w:spacing w:after="0" w:line="186" w:lineRule="exact"/>
        <w:rPr>
          <w:rFonts w:ascii="Arial" w:cs="Arial" w:eastAsia="Arial" w:hAnsi="Arial"/>
          <w:sz w:val="18"/>
          <w:szCs w:val="18"/>
          <w:color w:val="auto"/>
        </w:rPr>
      </w:pPr>
    </w:p>
    <w:p>
      <w:pPr>
        <w:ind w:left="4" w:right="20" w:firstLine="436"/>
        <w:spacing w:after="0" w:line="275" w:lineRule="auto"/>
        <w:tabs>
          <w:tab w:leader="none" w:pos="689" w:val="left"/>
        </w:tabs>
        <w:numPr>
          <w:ilvl w:val="1"/>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Material Adverse Change. </w:t>
      </w:r>
      <w:r>
        <w:rPr>
          <w:rFonts w:ascii="Arial" w:cs="Arial" w:eastAsia="Arial" w:hAnsi="Arial"/>
          <w:sz w:val="17"/>
          <w:szCs w:val="17"/>
          <w:color w:val="auto"/>
        </w:rPr>
        <w:t>No Material Adverse Change shall have occurred or shall exist, which Material Adverse Change is not described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Shares on the Closing Date or the Additional Closing Date, as the case may be, on the terms and in the manner contemplated by this Agreement, the Registration Statement, the Pricing Disclosure Package and the Prospectus.</w:t>
      </w:r>
    </w:p>
    <w:p>
      <w:pPr>
        <w:spacing w:after="0" w:line="176" w:lineRule="exact"/>
        <w:rPr>
          <w:rFonts w:ascii="Arial" w:cs="Arial" w:eastAsia="Arial" w:hAnsi="Arial"/>
          <w:sz w:val="17"/>
          <w:szCs w:val="17"/>
          <w:color w:val="auto"/>
        </w:rPr>
      </w:pPr>
    </w:p>
    <w:p>
      <w:pPr>
        <w:ind w:left="4" w:right="40" w:firstLine="436"/>
        <w:spacing w:after="0" w:line="286" w:lineRule="auto"/>
        <w:tabs>
          <w:tab w:leader="none" w:pos="699" w:val="left"/>
        </w:tabs>
        <w:numPr>
          <w:ilvl w:val="1"/>
          <w:numId w:val="130"/>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 shall have received on and as of the Closing Date or the Additional Closing Date, as the case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a certificate of the chief financial officer or chief accounting officer of the Company and one additional senior executive officer of the Company who is satisfactory to the Representative (i) confirming that such officers have carefully reviewed the Registration Statement, the Pricing Disclosure Package and the Prospectus and, to the knowledge of such officers, the representations set forth in Sections 3(b) and 3(c) hereof are true and correct,</w:t>
      </w:r>
    </w:p>
    <w:p>
      <w:pPr>
        <w:spacing w:after="0" w:line="1" w:lineRule="exact"/>
        <w:rPr>
          <w:rFonts w:ascii="Arial" w:cs="Arial" w:eastAsia="Arial" w:hAnsi="Arial"/>
          <w:sz w:val="16"/>
          <w:szCs w:val="16"/>
          <w:color w:val="auto"/>
        </w:rPr>
      </w:pPr>
    </w:p>
    <w:p>
      <w:pPr>
        <w:ind w:left="4" w:right="100" w:hanging="4"/>
        <w:spacing w:after="0" w:line="277" w:lineRule="auto"/>
        <w:tabs>
          <w:tab w:leader="none" w:pos="26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confirming that the conditions set forth in Sections 6(a) and (c) hereof are satisfied.</w:t>
      </w:r>
    </w:p>
    <w:p>
      <w:pPr>
        <w:spacing w:after="0" w:line="172" w:lineRule="exact"/>
        <w:rPr>
          <w:rFonts w:ascii="Arial" w:cs="Arial" w:eastAsia="Arial" w:hAnsi="Arial"/>
          <w:sz w:val="17"/>
          <w:szCs w:val="17"/>
          <w:color w:val="auto"/>
        </w:rPr>
      </w:pPr>
    </w:p>
    <w:p>
      <w:pPr>
        <w:ind w:left="4" w:right="60" w:firstLine="436"/>
        <w:spacing w:after="0" w:line="254" w:lineRule="auto"/>
        <w:tabs>
          <w:tab w:leader="none" w:pos="689"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Comfort Letters. </w:t>
      </w:r>
      <w:r>
        <w:rPr>
          <w:rFonts w:ascii="Arial" w:cs="Arial" w:eastAsia="Arial" w:hAnsi="Arial"/>
          <w:sz w:val="18"/>
          <w:szCs w:val="18"/>
          <w:color w:val="auto"/>
        </w:rPr>
        <w:t>On the date of this Agreement and on the Closing Date and the Additional Closing Date, as the case may be, Marcum LLP</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furnished to the Representative, at the 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220" w:name="page221"/>
    <w:bookmarkEnd w:id="220"/>
    <w:p>
      <w:pPr>
        <w:ind w:right="20" w:firstLine="436"/>
        <w:spacing w:after="0" w:line="311" w:lineRule="auto"/>
        <w:tabs>
          <w:tab w:leader="none" w:pos="665"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Opinion and 10b-5 Statement of U.S. Counsel for the Company. </w:t>
      </w:r>
      <w:r>
        <w:rPr>
          <w:rFonts w:ascii="Arial" w:cs="Arial" w:eastAsia="Arial" w:hAnsi="Arial"/>
          <w:sz w:val="16"/>
          <w:szCs w:val="16"/>
          <w:color w:val="auto"/>
        </w:rPr>
        <w:t>Davis Polk &amp; Wardwell LLP, counsel for the Company, shall have furnished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Representative, at the request of the Company, their written opinion and 10b-5 statement, dated the Closing Date or the Additional Closing Date, as the case may be, and addressed to the Underwriters, in form and substance reasonably satisfactory to the Representative.</w:t>
      </w:r>
    </w:p>
    <w:p>
      <w:pPr>
        <w:spacing w:after="0" w:line="148" w:lineRule="exact"/>
        <w:rPr>
          <w:rFonts w:ascii="Arial" w:cs="Arial" w:eastAsia="Arial" w:hAnsi="Arial"/>
          <w:sz w:val="16"/>
          <w:szCs w:val="16"/>
          <w:color w:val="auto"/>
        </w:rPr>
      </w:pPr>
    </w:p>
    <w:p>
      <w:pPr>
        <w:ind w:right="300" w:firstLine="436"/>
        <w:spacing w:after="0" w:line="279" w:lineRule="auto"/>
        <w:tabs>
          <w:tab w:leader="none" w:pos="695"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Underwriters. </w:t>
      </w:r>
      <w:r>
        <w:rPr>
          <w:rFonts w:ascii="Arial" w:cs="Arial" w:eastAsia="Arial" w:hAnsi="Arial"/>
          <w:sz w:val="17"/>
          <w:szCs w:val="17"/>
          <w:color w:val="auto"/>
        </w:rPr>
        <w:t>The Representative shall have received on and as of the Closing Date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Closing Date, as the case may be, an opinion and 10b-5 statement, addressed to the Underwriters, of Simpson Thacher &amp; Bartlett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171" w:lineRule="exact"/>
        <w:rPr>
          <w:rFonts w:ascii="Arial" w:cs="Arial" w:eastAsia="Arial" w:hAnsi="Arial"/>
          <w:sz w:val="17"/>
          <w:szCs w:val="17"/>
          <w:color w:val="auto"/>
        </w:rPr>
      </w:pPr>
    </w:p>
    <w:p>
      <w:pPr>
        <w:ind w:right="200" w:firstLine="436"/>
        <w:spacing w:after="0" w:line="301" w:lineRule="auto"/>
        <w:tabs>
          <w:tab w:leader="none" w:pos="695"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and Sale. </w:t>
      </w:r>
      <w:r>
        <w:rPr>
          <w:rFonts w:ascii="Arial" w:cs="Arial" w:eastAsia="Arial" w:hAnsi="Arial"/>
          <w:sz w:val="16"/>
          <w:szCs w:val="16"/>
          <w:color w:val="auto"/>
        </w:rPr>
        <w:t>No action shall have been taken and no statute, rule, regulation or order shall have been enacted,</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or issued by any federal, state or foreign governmental or regulatory authority that would, as of the Closing Date or the Additional Closing Date, as the case may be, prevent the issuance or sale of the Shares. No injunction or order of any federal, state or foreign court shall have been issued that would, as of the Closing Date or the Additional Closing Date, as the case may be, prevent the issuance or sale of the Shares.</w:t>
      </w:r>
    </w:p>
    <w:p>
      <w:pPr>
        <w:spacing w:after="0" w:line="157" w:lineRule="exact"/>
        <w:rPr>
          <w:rFonts w:ascii="Arial" w:cs="Arial" w:eastAsia="Arial" w:hAnsi="Arial"/>
          <w:sz w:val="16"/>
          <w:szCs w:val="16"/>
          <w:color w:val="auto"/>
        </w:rPr>
      </w:pPr>
    </w:p>
    <w:p>
      <w:pPr>
        <w:jc w:val="both"/>
        <w:ind w:right="420" w:firstLine="436"/>
        <w:spacing w:after="0" w:line="259"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evidence of the good standing of the Company in its jurisdiction of organization and its good standing in such other jurisdictions as the Representative may reasonably request,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firstLine="436"/>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for listing on Nasdaq, subject to official notice of issuance.</w:t>
      </w:r>
    </w:p>
    <w:p>
      <w:pPr>
        <w:spacing w:after="0" w:line="170"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Delivery of Transaction Documents</w:t>
      </w:r>
      <w:r>
        <w:rPr>
          <w:rFonts w:ascii="Arial" w:cs="Arial" w:eastAsia="Arial" w:hAnsi="Arial"/>
          <w:sz w:val="18"/>
          <w:szCs w:val="18"/>
          <w:color w:val="auto"/>
        </w:rPr>
        <w:t>. On or prior to the Closing Date, the Company shall have delivered to the Representative executed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of the Transaction Documents, and each of the Transaction Documents shall be in full force and effect on the Closing Date or the Additional Closing Date, as the case may be.</w:t>
      </w:r>
    </w:p>
    <w:p>
      <w:pPr>
        <w:spacing w:after="0" w:line="183" w:lineRule="exact"/>
        <w:rPr>
          <w:rFonts w:ascii="Arial" w:cs="Arial" w:eastAsia="Arial" w:hAnsi="Arial"/>
          <w:sz w:val="18"/>
          <w:szCs w:val="18"/>
          <w:color w:val="auto"/>
        </w:rPr>
      </w:pPr>
    </w:p>
    <w:p>
      <w:pPr>
        <w:ind w:right="40" w:firstLine="436"/>
        <w:spacing w:after="0" w:line="255"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Funding of Private Placement Shares. </w:t>
      </w:r>
      <w:r>
        <w:rPr>
          <w:rFonts w:ascii="Arial" w:cs="Arial" w:eastAsia="Arial" w:hAnsi="Arial"/>
          <w:sz w:val="18"/>
          <w:szCs w:val="18"/>
          <w:color w:val="auto"/>
        </w:rPr>
        <w:t>At least one business day prior to the Closing Date or the Additional Closing Date, as applicable,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have caused proceeds from the sale of the Private Placement Shares to be delivered to CST to hold in a non-interest-bearing account. On the Closing Date or the Additional Closing Date, as applicable, the Company shall have caused CST to deposit the required proceeds into the Trust Account such that the cumulative amount deposited into the Trust Account as of such Closing Date or Additional Closing Date shall equal the product of the number of Shares sold in the public offering as of such Closing Date or Additional Closing Date and the public offering price per Share as set forth on the cover of the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21" w:name="page222"/>
    <w:bookmarkEnd w:id="221"/>
    <w:p>
      <w:pPr>
        <w:ind w:left="4" w:right="40" w:firstLine="436"/>
        <w:spacing w:after="0" w:line="277" w:lineRule="auto"/>
        <w:tabs>
          <w:tab w:leader="none" w:pos="749"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 such further certificates and documents as the Representative may reasonably request.</w:t>
      </w:r>
    </w:p>
    <w:p>
      <w:pPr>
        <w:spacing w:after="0" w:line="170"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4" w:hanging="184"/>
        <w:spacing w:after="0"/>
        <w:tabs>
          <w:tab w:leader="none" w:pos="624"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4" w:right="60" w:firstLine="436"/>
        <w:spacing w:after="0" w:line="284" w:lineRule="auto"/>
        <w:tabs>
          <w:tab w:leader="none" w:pos="689" w:val="left"/>
        </w:tabs>
        <w:numPr>
          <w:ilvl w:val="1"/>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w:t>
      </w:r>
    </w:p>
    <w:p>
      <w:pPr>
        <w:spacing w:after="0" w:line="4" w:lineRule="exact"/>
        <w:rPr>
          <w:rFonts w:ascii="Arial" w:cs="Arial" w:eastAsia="Arial" w:hAnsi="Arial"/>
          <w:sz w:val="16"/>
          <w:szCs w:val="16"/>
          <w:color w:val="auto"/>
        </w:rPr>
      </w:pPr>
    </w:p>
    <w:p>
      <w:pPr>
        <w:ind w:left="4" w:hanging="4"/>
        <w:spacing w:after="0" w:line="287" w:lineRule="auto"/>
        <w:tabs>
          <w:tab w:leader="none" w:pos="26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Prospectus (or any amendment or supplement thereto), any Preliminary Prospectus, any Written Testing-the-Waters Communication, any road show as defined in Rule 433(h) under the Securities Act (a “</w:t>
      </w:r>
      <w:r>
        <w:rPr>
          <w:rFonts w:ascii="Arial" w:cs="Arial" w:eastAsia="Arial" w:hAnsi="Arial"/>
          <w:sz w:val="16"/>
          <w:szCs w:val="16"/>
          <w:b w:val="1"/>
          <w:bCs w:val="1"/>
          <w:i w:val="1"/>
          <w:iCs w:val="1"/>
          <w:color w:val="auto"/>
        </w:rPr>
        <w:t>road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show</w:t>
      </w:r>
      <w:r>
        <w:rPr>
          <w:rFonts w:ascii="Arial" w:cs="Arial" w:eastAsia="Arial" w:hAnsi="Arial"/>
          <w:sz w:val="16"/>
          <w:szCs w:val="16"/>
          <w:color w:val="auto"/>
        </w:rPr>
        <w:t>”) or any Pricing Disclosure Package (including any Pricing Disclosure Package that has subsequently been amended), or caused by any omission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paragraph (b) below.</w:t>
      </w:r>
    </w:p>
    <w:p>
      <w:pPr>
        <w:spacing w:after="0" w:line="169" w:lineRule="exact"/>
        <w:rPr>
          <w:rFonts w:ascii="Arial" w:cs="Arial" w:eastAsia="Arial" w:hAnsi="Arial"/>
          <w:sz w:val="16"/>
          <w:szCs w:val="16"/>
          <w:color w:val="auto"/>
        </w:rPr>
      </w:pPr>
    </w:p>
    <w:p>
      <w:pPr>
        <w:ind w:left="4" w:right="40" w:firstLine="436"/>
        <w:spacing w:after="0" w:line="269" w:lineRule="auto"/>
        <w:tabs>
          <w:tab w:leader="none" w:pos="699" w:val="left"/>
        </w:tabs>
        <w:numPr>
          <w:ilvl w:val="1"/>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Underwriter agrees, severally and not jointly, to indemnify and hold harmless the Company,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Preliminary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[sixteenth and seventeenth] paragraphs under the caption “Underwriting.”</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222" w:name="page223"/>
    <w:bookmarkEnd w:id="222"/>
    <w:p>
      <w:pPr>
        <w:ind w:left="-60" w:firstLine="436"/>
        <w:spacing w:after="0" w:line="284" w:lineRule="auto"/>
        <w:tabs>
          <w:tab w:leader="none" w:pos="625"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or asserted against any person in respect of which indemnification may be sought pursuant to the preceding paragraphs (a) or (b) of this Section 7, such person (the “</w:t>
      </w:r>
      <w:r>
        <w:rPr>
          <w:rFonts w:ascii="Arial" w:cs="Arial" w:eastAsia="Arial" w:hAnsi="Arial"/>
          <w:sz w:val="16"/>
          <w:szCs w:val="16"/>
          <w:b w:val="1"/>
          <w:bCs w:val="1"/>
          <w:i w:val="1"/>
          <w:iCs w:val="1"/>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b w:val="1"/>
          <w:bCs w:val="1"/>
          <w:i w:val="1"/>
          <w:iCs w:val="1"/>
          <w:color w:val="auto"/>
        </w:rPr>
        <w:t>Indemnifying Person</w:t>
      </w:r>
      <w:r>
        <w:rPr>
          <w:rFonts w:ascii="Arial" w:cs="Arial" w:eastAsia="Arial" w:hAnsi="Arial"/>
          <w:sz w:val="16"/>
          <w:szCs w:val="16"/>
          <w:color w:val="auto"/>
        </w:rPr>
        <w:t xml:space="preserve">”)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notify the Indemnifying Person shall not relieve the Indemnifying Person from any liability that it may have under the preceding paragraphs (a) or (b) of this Section 7 except to the extent that it has been materially prejudiced (through the forfeiture of substantive rights or defenses)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failure to notify the Indemnifying Person shall not relieve the Indemnifying Person from any liability that it may have to an Indemnified Person otherwise than under the preceding paragraphs (a) or (b)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500" w:top="274" w:right="499" w:bottom="1440" w:gutter="0" w:footer="0" w:header="0"/>
        </w:sectPr>
      </w:pPr>
    </w:p>
    <w:bookmarkStart w:id="223" w:name="page224"/>
    <w:bookmarkEnd w:id="223"/>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92" w:lineRule="exact"/>
        <w:rPr>
          <w:sz w:val="20"/>
          <w:szCs w:val="20"/>
          <w:color w:val="auto"/>
        </w:rPr>
      </w:pPr>
    </w:p>
    <w:p>
      <w:pPr>
        <w:ind w:left="4" w:right="40" w:firstLine="436"/>
        <w:spacing w:after="0" w:line="268" w:lineRule="auto"/>
        <w:tabs>
          <w:tab w:leader="none" w:pos="699" w:val="left"/>
        </w:tabs>
        <w:numPr>
          <w:ilvl w:val="1"/>
          <w:numId w:val="138"/>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or (b) of this Section 7 is unavailable to an Indemnified Person or</w:t>
      </w:r>
      <w:r>
        <w:rPr>
          <w:rFonts w:ascii="Arial" w:cs="Arial" w:eastAsia="Arial" w:hAnsi="Arial"/>
          <w:sz w:val="17"/>
          <w:szCs w:val="17"/>
          <w:i w:val="1"/>
          <w:iCs w:val="1"/>
          <w:color w:val="auto"/>
        </w:rPr>
        <w:t xml:space="preserve"> </w:t>
      </w:r>
      <w:r>
        <w:rPr>
          <w:rFonts w:ascii="Arial" w:cs="Arial" w:eastAsia="Arial" w:hAnsi="Arial"/>
          <w:sz w:val="17"/>
          <w:szCs w:val="17"/>
          <w:color w:val="auto"/>
        </w:rPr>
        <w:t>insufficient in respect of any losses, claims, damages or liabilities referred to therein, then each Indemnifying Person,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4" w:lineRule="exact"/>
        <w:rPr>
          <w:rFonts w:ascii="Arial" w:cs="Arial" w:eastAsia="Arial" w:hAnsi="Arial"/>
          <w:sz w:val="17"/>
          <w:szCs w:val="17"/>
          <w:color w:val="auto"/>
        </w:rPr>
      </w:pPr>
    </w:p>
    <w:p>
      <w:pPr>
        <w:ind w:left="684" w:hanging="244"/>
        <w:spacing w:after="0"/>
        <w:tabs>
          <w:tab w:leader="none" w:pos="684" w:val="left"/>
        </w:tabs>
        <w:numPr>
          <w:ilvl w:val="1"/>
          <w:numId w:val="138"/>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and the Underwriters agree that it would not be just and equitable if contribution pursuant to paragraph</w:t>
      </w:r>
    </w:p>
    <w:p>
      <w:pPr>
        <w:spacing w:after="0" w:line="46" w:lineRule="exact"/>
        <w:rPr>
          <w:rFonts w:ascii="Arial" w:cs="Arial" w:eastAsia="Arial" w:hAnsi="Arial"/>
          <w:sz w:val="16"/>
          <w:szCs w:val="16"/>
          <w:color w:val="auto"/>
        </w:rPr>
      </w:pPr>
    </w:p>
    <w:p>
      <w:pPr>
        <w:ind w:left="4" w:hanging="4"/>
        <w:spacing w:after="0" w:line="268" w:lineRule="auto"/>
        <w:tabs>
          <w:tab w:leader="none" w:pos="25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of this Section 7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of this Section 7. The amount paid or payable by an Indemnified Person as a result of the losses, claims, damages and liabilities referred to in paragraph (d) of this Section 7 shall be deemed to include, subject to the limitations set forth above, any legal or other expenses incurred by such Indemnified Person in connection with any such action or claim. Notwithstanding the provisions of paragraphs (d) and (e) of this Section 7, in no event shall an Underwriter be required to contribute any amount in excess of the amount by which the total underwriting discounts and commissions received by such Underwriter with respect to the Offering exceeds the amount of any damages that such Underwriter has otherwise been required to pay by reason of such untrue or alleged untrue statement or omission or alleged omission. No person guilty of fraudulent misrepresentation (within the meaning of Section 11(f)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224" w:name="page225"/>
    <w:bookmarkEnd w:id="224"/>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Securities Act) shall be entitled to contribution from any person who was not guilty of such fraudulent misrepresentation. The Underwriters’ obligations to contribute pursuant to paragraphs (d) and (e) of this Section 7 are several in proportion to their respective purchase obligations hereunder and not joint.</w:t>
      </w:r>
    </w:p>
    <w:p>
      <w:pPr>
        <w:spacing w:after="0" w:line="184" w:lineRule="exact"/>
        <w:rPr>
          <w:sz w:val="20"/>
          <w:szCs w:val="20"/>
          <w:color w:val="auto"/>
        </w:rPr>
      </w:pPr>
    </w:p>
    <w:p>
      <w:pPr>
        <w:ind w:left="4" w:right="240" w:firstLine="436"/>
        <w:spacing w:after="0" w:line="277" w:lineRule="auto"/>
        <w:tabs>
          <w:tab w:leader="none" w:pos="669"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are not exclusive and shall not limit any rights or remedies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170" w:lineRule="exact"/>
        <w:rPr>
          <w:sz w:val="20"/>
          <w:szCs w:val="20"/>
          <w:color w:val="auto"/>
        </w:rPr>
      </w:pPr>
    </w:p>
    <w:p>
      <w:pPr>
        <w:ind w:left="624" w:hanging="184"/>
        <w:spacing w:after="0"/>
        <w:tabs>
          <w:tab w:leader="none" w:pos="624"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left="4" w:right="220" w:firstLine="436"/>
        <w:spacing w:after="0" w:line="291" w:lineRule="auto"/>
        <w:tabs>
          <w:tab w:leader="none" w:pos="624" w:val="left"/>
        </w:tabs>
        <w:numPr>
          <w:ilvl w:val="1"/>
          <w:numId w:val="141"/>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This Agreement may be terminated in the absolute discretion of the Representative, by notice to the Company, if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and delivery of this Agreement and on or prior to the Closing Date or, in the case of the Option Shares, prior to the Additional Closing Date</w:t>
      </w:r>
    </w:p>
    <w:p>
      <w:pPr>
        <w:ind w:left="224" w:hanging="224"/>
        <w:spacing w:after="0"/>
        <w:tabs>
          <w:tab w:leader="none" w:pos="22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trading generally shall have been suspended or materially limited on or by any of the New York Stock Exchange or The Nasdaq Stock Market LLC;</w:t>
      </w:r>
    </w:p>
    <w:p>
      <w:pPr>
        <w:spacing w:after="0" w:line="32" w:lineRule="exact"/>
        <w:rPr>
          <w:rFonts w:ascii="Arial" w:cs="Arial" w:eastAsia="Arial" w:hAnsi="Arial"/>
          <w:sz w:val="16"/>
          <w:szCs w:val="16"/>
          <w:color w:val="auto"/>
        </w:rPr>
      </w:pPr>
    </w:p>
    <w:p>
      <w:pPr>
        <w:ind w:left="4" w:right="80" w:hanging="4"/>
        <w:spacing w:after="0" w:line="270" w:lineRule="auto"/>
        <w:tabs>
          <w:tab w:leader="none" w:pos="26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Shares on the Closing Date or the Additional Closing Date, as the case may be, on the terms and in the manner contemplated by this Agreement, the Registration Statement, the Pricing Disclosure Package and the Prospectus.</w:t>
      </w:r>
    </w:p>
    <w:p>
      <w:pPr>
        <w:spacing w:after="0" w:line="178" w:lineRule="exact"/>
        <w:rPr>
          <w:rFonts w:ascii="Arial" w:cs="Arial" w:eastAsia="Arial" w:hAnsi="Arial"/>
          <w:sz w:val="17"/>
          <w:szCs w:val="17"/>
          <w:color w:val="auto"/>
        </w:rPr>
      </w:pPr>
    </w:p>
    <w:p>
      <w:pPr>
        <w:ind w:left="704" w:hanging="264"/>
        <w:spacing w:after="0"/>
        <w:tabs>
          <w:tab w:leader="none" w:pos="704"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7" w:lineRule="auto"/>
        <w:tabs>
          <w:tab w:leader="none" w:pos="68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includes, for all purposes of this Agreement unless the context otherwise requires, any person not listed in Schedule 1 hereto that, pursuant to this Section 10, purchases Shares that a defaulting Underwriter agreed but failed to purchase.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225" w:name="page226"/>
    <w:bookmarkEnd w:id="225"/>
    <w:p>
      <w:pPr>
        <w:ind w:left="-20" w:firstLine="436"/>
        <w:spacing w:after="0" w:line="293" w:lineRule="auto"/>
        <w:tabs>
          <w:tab w:leader="none" w:pos="675"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64" w:lineRule="exact"/>
        <w:rPr>
          <w:rFonts w:ascii="Arial" w:cs="Arial" w:eastAsia="Arial" w:hAnsi="Arial"/>
          <w:sz w:val="16"/>
          <w:szCs w:val="16"/>
          <w:color w:val="auto"/>
        </w:rPr>
      </w:pPr>
    </w:p>
    <w:p>
      <w:pPr>
        <w:ind w:left="-20" w:right="60" w:firstLine="436"/>
        <w:spacing w:after="0" w:line="271" w:lineRule="auto"/>
        <w:tabs>
          <w:tab w:leader="none" w:pos="66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78" w:lineRule="exact"/>
        <w:rPr>
          <w:rFonts w:ascii="Arial" w:cs="Arial" w:eastAsia="Arial" w:hAnsi="Arial"/>
          <w:sz w:val="17"/>
          <w:szCs w:val="17"/>
          <w:color w:val="auto"/>
        </w:rPr>
      </w:pPr>
    </w:p>
    <w:p>
      <w:pPr>
        <w:ind w:left="-20" w:firstLine="436"/>
        <w:spacing w:after="0" w:line="277" w:lineRule="auto"/>
        <w:tabs>
          <w:tab w:leader="none" w:pos="67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680" w:hanging="264"/>
        <w:spacing w:after="0"/>
        <w:tabs>
          <w:tab w:leader="none" w:pos="68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left="-20" w:firstLine="436"/>
        <w:spacing w:after="0" w:line="268" w:lineRule="auto"/>
        <w:tabs>
          <w:tab w:leader="none" w:pos="66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transfer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Shares under the laws of such jurisdictions as the Representative may designate and the preparation, printing and distribution of a Blue Sky Memorandum; (vi) the cost of preparing stock certificates; (vi) the costs and charges of any transfer agent, trustee and registrar; (vii) all expenses and application fees incurred in connection with any filing with, and clearance of the offering by, FINRA (including the reasonable and documented fees and expenses of counsel for the Underwriters relating to such filings, together with any reasonable and documented fees related to clause (v) above, of up to $25,000); (viii) all expenses incurred by the Company in connection with any “</w:t>
      </w:r>
      <w:r>
        <w:rPr>
          <w:rFonts w:ascii="Arial" w:cs="Arial" w:eastAsia="Arial" w:hAnsi="Arial"/>
          <w:sz w:val="17"/>
          <w:szCs w:val="17"/>
          <w:b w:val="1"/>
          <w:bCs w:val="1"/>
          <w:i w:val="1"/>
          <w:iCs w:val="1"/>
          <w:color w:val="auto"/>
        </w:rPr>
        <w:t>road show</w:t>
      </w:r>
      <w:r>
        <w:rPr>
          <w:rFonts w:ascii="Arial" w:cs="Arial" w:eastAsia="Arial" w:hAnsi="Arial"/>
          <w:sz w:val="17"/>
          <w:szCs w:val="17"/>
          <w:color w:val="auto"/>
        </w:rPr>
        <w:t>” presentation to potential investors; and (ix) all expenses and application fees related to the listing of the Shares on Nasdaq.</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60" w:top="274" w:right="479" w:bottom="1440" w:gutter="0" w:footer="0" w:header="0"/>
        </w:sectPr>
      </w:pPr>
    </w:p>
    <w:bookmarkStart w:id="226" w:name="page227"/>
    <w:bookmarkEnd w:id="226"/>
    <w:p>
      <w:pPr>
        <w:ind w:right="140" w:firstLine="436"/>
        <w:spacing w:after="0" w:line="259"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w:t>
      </w:r>
    </w:p>
    <w:p>
      <w:pPr>
        <w:spacing w:after="0" w:line="187" w:lineRule="exact"/>
        <w:rPr>
          <w:sz w:val="20"/>
          <w:szCs w:val="20"/>
          <w:color w:val="auto"/>
        </w:rPr>
      </w:pPr>
    </w:p>
    <w:p>
      <w:pPr>
        <w:ind w:firstLine="436"/>
        <w:spacing w:after="0" w:line="257" w:lineRule="auto"/>
        <w:tabs>
          <w:tab w:leader="none" w:pos="71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7" w:lineRule="exact"/>
        <w:rPr>
          <w:rFonts w:ascii="Arial" w:cs="Arial" w:eastAsia="Arial" w:hAnsi="Arial"/>
          <w:sz w:val="18"/>
          <w:szCs w:val="18"/>
          <w:color w:val="auto"/>
        </w:rPr>
      </w:pPr>
    </w:p>
    <w:p>
      <w:pPr>
        <w:ind w:right="100" w:firstLine="436"/>
        <w:spacing w:after="0" w:line="257" w:lineRule="auto"/>
        <w:tabs>
          <w:tab w:leader="none" w:pos="71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respective indemnities, rights of contribution, representations, warranties and agreements of the Company and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7" w:lineRule="exact"/>
        <w:rPr>
          <w:rFonts w:ascii="Arial" w:cs="Arial" w:eastAsia="Arial" w:hAnsi="Arial"/>
          <w:sz w:val="18"/>
          <w:szCs w:val="18"/>
          <w:color w:val="auto"/>
        </w:rPr>
      </w:pPr>
    </w:p>
    <w:p>
      <w:pPr>
        <w:ind w:right="40" w:firstLine="436"/>
        <w:spacing w:after="0" w:line="296" w:lineRule="auto"/>
        <w:tabs>
          <w:tab w:leader="none" w:pos="710"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Certain Defined Terms</w:t>
      </w:r>
      <w:r>
        <w:rPr>
          <w:rFonts w:ascii="Arial" w:cs="Arial" w:eastAsia="Arial" w:hAnsi="Arial"/>
          <w:sz w:val="16"/>
          <w:szCs w:val="16"/>
          <w:color w:val="auto"/>
        </w:rPr>
        <w:t>. For purposes of this Agreement, (a) except where otherwise expressly provided, the term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has the meaning</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Rule 405 under the Securities Act; and (b) the term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a day on which banks are permitted or required to be closed in New York City; and (c) the term “</w:t>
      </w:r>
      <w:r>
        <w:rPr>
          <w:rFonts w:ascii="Arial" w:cs="Arial" w:eastAsia="Arial" w:hAnsi="Arial"/>
          <w:sz w:val="16"/>
          <w:szCs w:val="16"/>
          <w:b w:val="1"/>
          <w:bCs w:val="1"/>
          <w:i w:val="1"/>
          <w:iCs w:val="1"/>
          <w:color w:val="auto"/>
        </w:rPr>
        <w:t>Liquidation</w:t>
      </w:r>
      <w:r>
        <w:rPr>
          <w:rFonts w:ascii="Arial" w:cs="Arial" w:eastAsia="Arial" w:hAnsi="Arial"/>
          <w:sz w:val="16"/>
          <w:szCs w:val="16"/>
          <w:color w:val="auto"/>
        </w:rPr>
        <w:t>” means the distributions of the Trust Account to the Public Stockholders in connection with the redemption of the Class A Common Stock held by the Public Stockholders pursuant to the terms of the Company’s Amended and Restated Certificate of Incorporation, as amended, if the Company fails to consummate a Business Combination with the time period provided therein.</w:t>
      </w:r>
    </w:p>
    <w:p>
      <w:pPr>
        <w:spacing w:after="0" w:line="161" w:lineRule="exact"/>
        <w:rPr>
          <w:rFonts w:ascii="Arial" w:cs="Arial" w:eastAsia="Arial" w:hAnsi="Arial"/>
          <w:sz w:val="16"/>
          <w:szCs w:val="16"/>
          <w:color w:val="auto"/>
        </w:rPr>
      </w:pPr>
    </w:p>
    <w:p>
      <w:pPr>
        <w:ind w:firstLine="436"/>
        <w:spacing w:after="0" w:line="259" w:lineRule="auto"/>
        <w:tabs>
          <w:tab w:leader="none" w:pos="71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Compliance with USA Patriot Act</w:t>
      </w:r>
      <w:r>
        <w:rPr>
          <w:rFonts w:ascii="Arial" w:cs="Arial" w:eastAsia="Arial" w:hAnsi="Arial"/>
          <w:sz w:val="18"/>
          <w:szCs w:val="18"/>
          <w:color w:val="auto"/>
        </w:rPr>
        <w:t>. In accordance with the requirements of the USA Patriot Act (Title III of Pub. L. 107-56 (signed into law</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680" w:firstLine="436"/>
        <w:spacing w:after="0" w:line="277"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All notices and other communications hereunder shall be in writing and shall be deemed to have been duly given if mailed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transmitted and confirmed by any standard form of telecommunication.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27" w:name="page228"/>
    <w:bookmarkEnd w:id="2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 to the Underwriters shall be given to the Representative: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10179</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[Equity Syndicate Desk]</w:t>
      </w:r>
      <w:r>
        <w:rPr>
          <w:rFonts w:ascii="Arial" w:cs="Arial" w:eastAsia="Arial" w:hAnsi="Arial"/>
          <w:sz w:val="15"/>
          <w:szCs w:val="15"/>
          <w:color w:val="auto"/>
        </w:rPr>
        <w:t>1</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Roxane F. Reardon and Marisa D. Stavenas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Notices to the Company shall be given to it at: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Dynamics Special Purpose Corp.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2875 El Camino Real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Redwood City, California 94601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Omid Farokhzad and Mostafa Ronaghi</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Alan F. Denenberg, Derek Dostal and Oliver Smith</w:t>
      </w:r>
    </w:p>
    <w:p>
      <w:pPr>
        <w:spacing w:after="0" w:line="21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and any claim, controversy or dispute arising under or related to this Agreement shall be governed by and construed in accordance with the laws of the State of New York.</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Submission to Jurisdiction.</w:t>
      </w:r>
      <w:r>
        <w:rPr>
          <w:rFonts w:ascii="Arial" w:cs="Arial" w:eastAsia="Arial" w:hAnsi="Arial"/>
          <w:sz w:val="16"/>
          <w:szCs w:val="16"/>
          <w:color w:val="auto"/>
        </w:rPr>
        <w:t xml:space="preserve">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61"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OF THE PARTIES HERETO HEREBY WAIVES ANY RIGHT TO TRIAL BY JURY IN ANY SUIT OR PROCEEDING ARISING OUT OF OR RELATING TO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 Recognition of the U.S. Special Resolution Regimes.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7715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JPM to confirm.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28" w:name="page229"/>
    <w:bookmarkEnd w:id="228"/>
    <w:p>
      <w:pPr>
        <w:ind w:left="420" w:right="260" w:firstLine="419"/>
        <w:spacing w:after="0" w:line="301" w:lineRule="auto"/>
        <w:tabs>
          <w:tab w:leader="none" w:pos="1058"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49" w:lineRule="exact"/>
        <w:rPr>
          <w:rFonts w:ascii="Arial" w:cs="Arial" w:eastAsia="Arial" w:hAnsi="Arial"/>
          <w:sz w:val="16"/>
          <w:szCs w:val="16"/>
          <w:color w:val="auto"/>
        </w:rPr>
      </w:pPr>
    </w:p>
    <w:p>
      <w:pPr>
        <w:ind w:left="420" w:right="200" w:firstLine="419"/>
        <w:spacing w:after="0" w:line="279" w:lineRule="auto"/>
        <w:tabs>
          <w:tab w:leader="none" w:pos="110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As used in this Section 16(g):</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BHC Act Affiliate</w:t>
      </w:r>
      <w:r>
        <w:rPr>
          <w:rFonts w:ascii="Arial" w:cs="Arial" w:eastAsia="Arial" w:hAnsi="Arial"/>
          <w:sz w:val="16"/>
          <w:szCs w:val="16"/>
          <w:color w:val="auto"/>
        </w:rPr>
        <w:t>” has the meaning assigned to the term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in, and shall be interpreted in accordance with, 12 U.S.C. § 1841(k).</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1580" w:hanging="212"/>
        <w:spacing w:after="0"/>
        <w:tabs>
          <w:tab w:leader="none" w:pos="15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as that term is defined in, and interpreted in accordance with, 12 C.F.R. § 252.82(b);</w:t>
      </w:r>
    </w:p>
    <w:p>
      <w:pPr>
        <w:spacing w:after="0" w:line="117" w:lineRule="exact"/>
        <w:rPr>
          <w:rFonts w:ascii="Arial" w:cs="Arial" w:eastAsia="Arial" w:hAnsi="Arial"/>
          <w:sz w:val="18"/>
          <w:szCs w:val="18"/>
          <w:color w:val="auto"/>
        </w:rPr>
      </w:pPr>
    </w:p>
    <w:p>
      <w:pPr>
        <w:ind w:left="1640" w:hanging="272"/>
        <w:spacing w:after="0"/>
        <w:tabs>
          <w:tab w:leader="none" w:pos="1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covered bank</w:t>
      </w:r>
      <w:r>
        <w:rPr>
          <w:rFonts w:ascii="Arial" w:cs="Arial" w:eastAsia="Arial" w:hAnsi="Arial"/>
          <w:sz w:val="18"/>
          <w:szCs w:val="18"/>
          <w:color w:val="auto"/>
        </w:rPr>
        <w:t>” as that term is defined in, and interpreted in accordance with, 12 C.F.R. § 47.3(b); or</w:t>
      </w:r>
    </w:p>
    <w:p>
      <w:pPr>
        <w:spacing w:after="0" w:line="117" w:lineRule="exact"/>
        <w:rPr>
          <w:rFonts w:ascii="Arial" w:cs="Arial" w:eastAsia="Arial" w:hAnsi="Arial"/>
          <w:sz w:val="18"/>
          <w:szCs w:val="18"/>
          <w:color w:val="auto"/>
        </w:rPr>
      </w:pPr>
    </w:p>
    <w:p>
      <w:pPr>
        <w:ind w:left="1680" w:hanging="312"/>
        <w:spacing w:after="0"/>
        <w:tabs>
          <w:tab w:leader="none" w:pos="16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covered FSI</w:t>
      </w:r>
      <w:r>
        <w:rPr>
          <w:rFonts w:ascii="Arial" w:cs="Arial" w:eastAsia="Arial" w:hAnsi="Arial"/>
          <w:sz w:val="18"/>
          <w:szCs w:val="18"/>
          <w:color w:val="auto"/>
        </w:rPr>
        <w:t>” as that term is defined in, and interpreted in accordance with, 12 C.F.R. § 382.2(b).</w:t>
      </w:r>
    </w:p>
    <w:p>
      <w:pPr>
        <w:spacing w:after="0" w:line="117" w:lineRule="exact"/>
        <w:rPr>
          <w:sz w:val="20"/>
          <w:szCs w:val="20"/>
          <w:color w:val="auto"/>
        </w:rPr>
      </w:pPr>
    </w:p>
    <w:p>
      <w:pPr>
        <w:ind w:left="4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62" w:lineRule="exact"/>
        <w:rPr>
          <w:sz w:val="20"/>
          <w:szCs w:val="20"/>
          <w:color w:val="auto"/>
        </w:rPr>
      </w:pPr>
    </w:p>
    <w:p>
      <w:pPr>
        <w:ind w:left="420" w:right="32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 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4" w:lineRule="exact"/>
        <w:rPr>
          <w:sz w:val="20"/>
          <w:szCs w:val="20"/>
          <w:color w:val="auto"/>
        </w:rPr>
      </w:pPr>
    </w:p>
    <w:p>
      <w:pPr>
        <w:ind w:left="-20" w:firstLine="436"/>
        <w:spacing w:after="0" w:line="293" w:lineRule="auto"/>
        <w:tabs>
          <w:tab w:leader="none" w:pos="645"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including .pdf),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60" w:top="274" w:right="479" w:bottom="1440" w:gutter="0" w:footer="0" w:header="0"/>
        </w:sectPr>
      </w:pPr>
    </w:p>
    <w:bookmarkStart w:id="229" w:name="page230"/>
    <w:bookmarkEnd w:id="229"/>
    <w:p>
      <w:pPr>
        <w:ind w:left="-240" w:right="520" w:firstLine="436"/>
        <w:spacing w:after="0" w:line="277" w:lineRule="auto"/>
        <w:tabs>
          <w:tab w:leader="none" w:pos="455"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240" w:firstLine="436"/>
        <w:spacing w:after="0" w:line="277" w:lineRule="auto"/>
        <w:tabs>
          <w:tab w:leader="none" w:pos="455"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rFonts w:ascii="Arial" w:cs="Arial" w:eastAsia="Arial" w:hAnsi="Arial"/>
          <w:sz w:val="18"/>
          <w:szCs w:val="18"/>
          <w:color w:val="auto"/>
        </w:rPr>
      </w:pPr>
    </w:p>
    <w:p>
      <w:pPr>
        <w:ind w:left="-240" w:right="260" w:firstLine="436"/>
        <w:spacing w:after="0" w:line="277" w:lineRule="auto"/>
        <w:tabs>
          <w:tab w:leader="none" w:pos="415"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Integration. </w:t>
      </w:r>
      <w:r>
        <w:rPr>
          <w:rFonts w:ascii="Arial" w:cs="Arial" w:eastAsia="Arial" w:hAnsi="Arial"/>
          <w:sz w:val="18"/>
          <w:szCs w:val="18"/>
          <w:color w:val="auto"/>
        </w:rPr>
        <w:t>This Agreement supersedes all prior agreements and understandings (whether written or oral) between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or any of them, with respect to the subject matter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20"/>
          </w:cols>
          <w:pgMar w:left="680" w:top="274" w:right="699" w:bottom="1440" w:gutter="0" w:footer="0" w:header="0"/>
        </w:sectPr>
      </w:pPr>
    </w:p>
    <w:bookmarkStart w:id="230" w:name="page231"/>
    <w:bookmarkEnd w:id="23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DYNAMICS SPECIAL PURPOSE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660"/>
          </w:cols>
          <w:pgMar w:left="440" w:top="274" w:right="79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Arial" w:cs="Arial" w:eastAsia="Arial" w:hAnsi="Arial"/>
                <w:sz w:val="14"/>
                <w:szCs w:val="14"/>
                <w:color w:val="auto"/>
                <w:w w:val="96"/>
              </w:rPr>
              <w:t>Underwriter</w:t>
            </w:r>
          </w:p>
        </w:tc>
        <w:tc>
          <w:tcPr>
            <w:tcW w:w="2820" w:type="dxa"/>
            <w:vAlign w:val="bottom"/>
          </w:tcPr>
          <w:p>
            <w:pPr>
              <w:spacing w:after="0"/>
              <w:rPr>
                <w:sz w:val="14"/>
                <w:szCs w:val="14"/>
                <w:color w:val="auto"/>
              </w:rPr>
            </w:pPr>
          </w:p>
        </w:tc>
        <w:tc>
          <w:tcPr>
            <w:tcW w:w="6060" w:type="dxa"/>
            <w:vAlign w:val="bottom"/>
            <w:gridSpan w:val="3"/>
          </w:tcPr>
          <w:p>
            <w:pPr>
              <w:jc w:val="right"/>
              <w:ind w:right="820"/>
              <w:spacing w:after="0"/>
              <w:rPr>
                <w:sz w:val="20"/>
                <w:szCs w:val="20"/>
                <w:color w:val="auto"/>
              </w:rPr>
            </w:pPr>
            <w:r>
              <w:rPr>
                <w:rFonts w:ascii="Arial" w:cs="Arial" w:eastAsia="Arial" w:hAnsi="Arial"/>
                <w:sz w:val="14"/>
                <w:szCs w:val="14"/>
                <w:color w:val="auto"/>
              </w:rPr>
              <w:t>Number of Shares</w:t>
            </w:r>
          </w:p>
        </w:tc>
        <w:tc>
          <w:tcPr>
            <w:tcW w:w="1420" w:type="dxa"/>
            <w:vAlign w:val="bottom"/>
            <w:gridSpan w:val="2"/>
          </w:tcPr>
          <w:p>
            <w:pPr>
              <w:spacing w:after="0"/>
              <w:rPr>
                <w:sz w:val="20"/>
                <w:szCs w:val="20"/>
                <w:color w:val="auto"/>
              </w:rPr>
            </w:pPr>
            <w:r>
              <w:rPr>
                <w:rFonts w:ascii="Arial" w:cs="Arial" w:eastAsia="Arial" w:hAnsi="Arial"/>
                <w:sz w:val="14"/>
                <w:szCs w:val="14"/>
                <w:color w:val="auto"/>
              </w:rPr>
              <w:t>Pro Rata Percentage</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w:t>
            </w:r>
          </w:p>
        </w:tc>
        <w:tc>
          <w:tcPr>
            <w:tcW w:w="420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0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20,000,000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60" w:type="dxa"/>
            <w:vAlign w:val="bottom"/>
            <w:gridSpan w:val="3"/>
            <w:vMerge w:val="restart"/>
          </w:tcPr>
          <w:p>
            <w:pPr>
              <w:jc w:val="right"/>
              <w:ind w:right="3700"/>
              <w:spacing w:after="0"/>
              <w:rPr>
                <w:sz w:val="20"/>
                <w:szCs w:val="20"/>
                <w:color w:val="auto"/>
              </w:rPr>
            </w:pPr>
            <w:r>
              <w:rPr>
                <w:rFonts w:ascii="Arial" w:cs="Arial" w:eastAsia="Arial" w:hAnsi="Arial"/>
                <w:sz w:val="18"/>
                <w:szCs w:val="18"/>
                <w:color w:val="auto"/>
              </w:rPr>
              <w:t>Schedule 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6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33" w:name="page234"/>
    <w:bookmarkEnd w:id="233"/>
    <w:p>
      <w:pPr>
        <w:ind w:left="5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 Provided Orally by Underwriters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initial public offering price per Share is $10.00.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purchased by the Underwriters is 20,000,000.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an option to purchase an additional 3,000,000 Shares to cover over-allotments, if any.</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Annex A</w:t>
      </w:r>
    </w:p>
    <w:p>
      <w:pPr>
        <w:sectPr>
          <w:pgSz w:w="11900" w:h="16838" w:orient="portrait"/>
          <w:cols w:equalWidth="0" w:num="1">
            <w:col w:w="10019"/>
          </w:cols>
          <w:pgMar w:left="440" w:top="270" w:right="1440" w:bottom="1440" w:gutter="0" w:footer="0" w:header="0"/>
        </w:sectPr>
      </w:pPr>
    </w:p>
    <w:bookmarkStart w:id="234" w:name="page235"/>
    <w:bookmarkEnd w:id="234"/>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made to the materials used in the testing the waters presentation made to potential investors by the Company, to the extent such materials are deemed to be a “written communication” within the meaning of Rule 405 under the Securities Act.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Annex B</w:t>
      </w:r>
    </w:p>
    <w:p>
      <w:pPr>
        <w:sectPr>
          <w:pgSz w:w="11900" w:h="16838" w:orient="portrait"/>
          <w:cols w:equalWidth="0" w:num="1">
            <w:col w:w="10800"/>
          </w:cols>
          <w:pgMar w:left="440" w:top="270" w:right="65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DYNAMICS SPECIAL PURPOSE CORP.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The name of the corporation is Dynamics Special Purpose Corp.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9" w:lineRule="exact"/>
        <w:rPr>
          <w:sz w:val="20"/>
          <w:szCs w:val="20"/>
          <w:color w:val="auto"/>
        </w:rPr>
      </w:pPr>
    </w:p>
    <w:p>
      <w:pPr>
        <w:ind w:right="840" w:firstLine="991"/>
        <w:spacing w:after="0" w:line="342" w:lineRule="auto"/>
        <w:rPr>
          <w:sz w:val="20"/>
          <w:szCs w:val="20"/>
          <w:color w:val="auto"/>
        </w:rPr>
      </w:pPr>
      <w:r>
        <w:rPr>
          <w:rFonts w:ascii="Arial" w:cs="Arial" w:eastAsia="Arial" w:hAnsi="Arial"/>
          <w:sz w:val="16"/>
          <w:szCs w:val="16"/>
          <w:color w:val="auto"/>
        </w:rPr>
        <w:t>SECOND: The address of its registered office in the State of Delaware is Corporation Trust Center, 1209 Orange Street, City of Wilmington, County of New Castle, Delaware 19801. The name of its registered agent at such address is The Corporation Trust Company.</w:t>
      </w:r>
    </w:p>
    <w:p>
      <w:pPr>
        <w:spacing w:after="0" w:line="124" w:lineRule="exact"/>
        <w:rPr>
          <w:sz w:val="20"/>
          <w:szCs w:val="20"/>
          <w:color w:val="auto"/>
        </w:rPr>
      </w:pPr>
    </w:p>
    <w:p>
      <w:pPr>
        <w:ind w:right="460" w:firstLine="991"/>
        <w:spacing w:after="0" w:line="308" w:lineRule="auto"/>
        <w:rPr>
          <w:sz w:val="20"/>
          <w:szCs w:val="20"/>
          <w:color w:val="auto"/>
        </w:rPr>
      </w:pPr>
      <w:r>
        <w:rPr>
          <w:rFonts w:ascii="Arial" w:cs="Arial" w:eastAsia="Arial" w:hAnsi="Arial"/>
          <w:sz w:val="17"/>
          <w:szCs w:val="17"/>
          <w:color w:val="auto"/>
        </w:rPr>
        <w:t>THIRD: The purpose of the Corporation is to engage in any lawful act or activity for which corporations may be organized under the General Corporation Law of the State of Delaware as the same exists or may hereafter be amended (“</w:t>
      </w:r>
      <w:r>
        <w:rPr>
          <w:rFonts w:ascii="Arial" w:cs="Arial" w:eastAsia="Arial" w:hAnsi="Arial"/>
          <w:sz w:val="17"/>
          <w:szCs w:val="17"/>
          <w:b w:val="1"/>
          <w:bCs w:val="1"/>
          <w:color w:val="auto"/>
        </w:rPr>
        <w:t>Delaware Law</w:t>
      </w:r>
      <w:r>
        <w:rPr>
          <w:rFonts w:ascii="Arial" w:cs="Arial" w:eastAsia="Arial" w:hAnsi="Arial"/>
          <w:sz w:val="17"/>
          <w:szCs w:val="17"/>
          <w:color w:val="auto"/>
        </w:rPr>
        <w:t>”).</w:t>
      </w:r>
    </w:p>
    <w:p>
      <w:pPr>
        <w:spacing w:after="0" w:line="14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FOURTH: The total number of shares of stock which the Corporation shall have authority to issue is 1,000, and the par value of each such share is $0.01, amounting in the aggregate to $10.00.</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FIFTH: The name and mailing address of the incorporator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80" w:type="dxa"/>
            <w:vAlign w:val="bottom"/>
          </w:tcPr>
          <w:p>
            <w:pPr>
              <w:spacing w:after="0"/>
              <w:rPr>
                <w:sz w:val="20"/>
                <w:szCs w:val="20"/>
                <w:color w:val="auto"/>
              </w:rPr>
            </w:pPr>
            <w:r>
              <w:rPr>
                <w:rFonts w:ascii="Arial" w:cs="Arial" w:eastAsia="Arial" w:hAnsi="Arial"/>
                <w:sz w:val="14"/>
                <w:szCs w:val="14"/>
                <w:b w:val="1"/>
                <w:bCs w:val="1"/>
                <w:color w:val="auto"/>
              </w:rPr>
              <w:t>Mailing Address</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Kelsey D. Stevens</w:t>
            </w: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Davis Polk &amp; Wardwell</w:t>
            </w: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450 Lexington Avenue</w:t>
            </w:r>
          </w:p>
        </w:tc>
      </w:tr>
      <w:tr>
        <w:trPr>
          <w:trHeight w:val="230"/>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New York, New York 10017</w:t>
            </w: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SIXTH: The Board of Directors shall have the power to adopt, amend or repeal the bylaws of the Corporation.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SEVENTH: Election of directors need not be by written ballot unless the bylaws of the Corporation so provide.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EIGHTH: The Corporation expressly elects not to be governed by Section 203 of Delaware Law.</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NINTH: (1) A director of the Corporation shall not be liable to the Corporation or its stockholders for monetary damages for breach of fiduciary duty as a director to the fullest extent permitted by Delaware Law.</w:t>
      </w:r>
    </w:p>
    <w:p>
      <w:pPr>
        <w:sectPr>
          <w:pgSz w:w="11900" w:h="16838" w:orient="portrait"/>
          <w:cols w:equalWidth="0" w:num="1">
            <w:col w:w="11020"/>
          </w:cols>
          <w:pgMar w:left="440" w:top="121" w:right="439" w:bottom="1440" w:gutter="0" w:footer="0" w:header="0"/>
        </w:sectPr>
      </w:pPr>
    </w:p>
    <w:bookmarkStart w:id="236" w:name="page237"/>
    <w:bookmarkEnd w:id="236"/>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(2)(a)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Delaware Law. The right to indemnification conferred in this ARTICLE NINTH shall also include the right to be paid by the Corporation the expenses incurred in connection with any such proceeding in advance of its final disposition to the fullest extent authorized by Delaware Law. The right to indemnification conferred in this ARTICLE NINTH shall be a contract right.</w:t>
      </w:r>
    </w:p>
    <w:p>
      <w:pPr>
        <w:spacing w:after="0" w:line="69" w:lineRule="exact"/>
        <w:rPr>
          <w:sz w:val="20"/>
          <w:szCs w:val="20"/>
          <w:color w:val="auto"/>
        </w:rPr>
      </w:pPr>
    </w:p>
    <w:p>
      <w:pPr>
        <w:ind w:right="740" w:firstLine="987"/>
        <w:spacing w:after="0" w:line="342" w:lineRule="auto"/>
        <w:tabs>
          <w:tab w:leader="none" w:pos="124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Corporation may, by action of its Board of Directors, provide indemnification to such of the employees and agents of the Corporation to such extent and to such effect as the Board of Directors shall determine to be appropriate and authorized by Delaware Law.</w:t>
      </w:r>
    </w:p>
    <w:p>
      <w:pPr>
        <w:spacing w:after="0" w:line="16" w:lineRule="exact"/>
        <w:rPr>
          <w:sz w:val="20"/>
          <w:szCs w:val="20"/>
          <w:color w:val="auto"/>
        </w:rPr>
      </w:pPr>
    </w:p>
    <w:p>
      <w:pPr>
        <w:ind w:right="180" w:firstLine="987"/>
        <w:spacing w:after="0" w:line="257" w:lineRule="auto"/>
        <w:tabs>
          <w:tab w:leader="none" w:pos="12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Delaware Law.</w:t>
      </w:r>
    </w:p>
    <w:p>
      <w:pPr>
        <w:spacing w:after="0" w:line="79"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rights and authority conferred in this ARTICLE NINTH shall not be exclusive of any other right which any person may otherwise have or hereafter acquire.</w:t>
      </w:r>
    </w:p>
    <w:p>
      <w:pPr>
        <w:spacing w:after="0" w:line="62" w:lineRule="exact"/>
        <w:rPr>
          <w:rFonts w:ascii="Arial" w:cs="Arial" w:eastAsia="Arial" w:hAnsi="Arial"/>
          <w:sz w:val="18"/>
          <w:szCs w:val="18"/>
          <w:color w:val="auto"/>
        </w:rPr>
      </w:pPr>
    </w:p>
    <w:p>
      <w:pPr>
        <w:ind w:right="140" w:firstLine="987"/>
        <w:spacing w:after="0" w:line="257" w:lineRule="auto"/>
        <w:tabs>
          <w:tab w:leader="none" w:pos="12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Neither the amendment nor repeal of this ARTICLE NINTH, nor the adoption of any provision of this Certificate of Incorporation or the bylaws of the Corporation, nor, to the fullest extent permitted by Delaware Law,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spacing w:after="0" w:line="8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TENTH: The Corporation reserves the right to amend this Certificate of Incorporation in any manner permitted by Delaware Law and all rights and powers conferred herein on stockholders, directors and officers, if any, are subject to this reserved power.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37" w:name="page238"/>
    <w:bookmarkEnd w:id="2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Certificate of Incorporation this 1st day of March, 2021.</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Kelsey D.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Kelsey D. Stevens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Incorporator</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Certificate of Incorporation – Dynamics Special Purpose Corp.</w:t>
      </w:r>
      <w:r>
        <w:rPr>
          <w:rFonts w:ascii="Arial" w:cs="Arial" w:eastAsia="Arial" w:hAnsi="Arial"/>
          <w:sz w:val="17"/>
          <w:szCs w:val="17"/>
          <w:color w:val="auto"/>
        </w:rPr>
        <w:t>]</w:t>
      </w:r>
    </w:p>
    <w:p>
      <w:pPr>
        <w:sectPr>
          <w:pgSz w:w="11900" w:h="16838" w:orient="portrait"/>
          <w:cols w:equalWidth="0" w:num="1">
            <w:col w:w="9579"/>
          </w:cols>
          <w:pgMar w:left="880" w:top="274"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DYNAMICS SPECIAL PURPOSE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2021</w:t>
      </w:r>
    </w:p>
    <w:p>
      <w:pPr>
        <w:spacing w:after="0" w:line="221"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Dynamics Special Purpose Corp., a corporation organized and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AS FOLLOWS:</w:t>
      </w:r>
    </w:p>
    <w:p>
      <w:pPr>
        <w:spacing w:after="0" w:line="54" w:lineRule="exact"/>
        <w:rPr>
          <w:sz w:val="20"/>
          <w:szCs w:val="20"/>
          <w:color w:val="auto"/>
        </w:rPr>
      </w:pPr>
    </w:p>
    <w:p>
      <w:pPr>
        <w:ind w:right="40" w:firstLine="436"/>
        <w:spacing w:after="0" w:line="282" w:lineRule="auto"/>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name of the Corporation is “</w:t>
      </w:r>
      <w:r>
        <w:rPr>
          <w:rFonts w:ascii="Arial" w:cs="Arial" w:eastAsia="Arial" w:hAnsi="Arial"/>
          <w:sz w:val="18"/>
          <w:szCs w:val="18"/>
          <w:b w:val="1"/>
          <w:bCs w:val="1"/>
          <w:color w:val="auto"/>
        </w:rPr>
        <w:t>Dynamics Special Purpose Corp.</w:t>
      </w:r>
      <w:r>
        <w:rPr>
          <w:rFonts w:ascii="Arial" w:cs="Arial" w:eastAsia="Arial" w:hAnsi="Arial"/>
          <w:sz w:val="18"/>
          <w:szCs w:val="18"/>
          <w:color w:val="auto"/>
        </w:rPr>
        <w:t>”. The original certificate of incorporation of the Corporation was filed with the Secretary of State of the State of Delaware on March 1, 2021 (the “</w:t>
      </w:r>
      <w:r>
        <w:rPr>
          <w:rFonts w:ascii="Arial" w:cs="Arial" w:eastAsia="Arial" w:hAnsi="Arial"/>
          <w:sz w:val="18"/>
          <w:szCs w:val="18"/>
          <w:b w:val="1"/>
          <w:bCs w:val="1"/>
          <w:color w:val="auto"/>
        </w:rPr>
        <w:t>Original Certificate</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right="40" w:firstLine="436"/>
        <w:spacing w:after="0" w:line="261" w:lineRule="auto"/>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b w:val="1"/>
          <w:bCs w:val="1"/>
          <w:color w:val="auto"/>
        </w:rPr>
        <w:t>Amended and Restated Certificate</w:t>
      </w:r>
      <w:r>
        <w:rPr>
          <w:rFonts w:ascii="Arial" w:cs="Arial" w:eastAsia="Arial" w:hAnsi="Arial"/>
          <w:sz w:val="18"/>
          <w:szCs w:val="18"/>
          <w:color w:val="auto"/>
        </w:rPr>
        <w:t>”), which both restates and amends the provisions of the Original Certificate, was duly adopted in accordance with Sections 242 and 245 of the General Corporation Law of the State of Delaware, as amended from time to time (the “</w:t>
      </w:r>
      <w:r>
        <w:rPr>
          <w:rFonts w:ascii="Arial" w:cs="Arial" w:eastAsia="Arial" w:hAnsi="Arial"/>
          <w:sz w:val="18"/>
          <w:szCs w:val="18"/>
          <w:b w:val="1"/>
          <w:bCs w:val="1"/>
          <w:color w:val="auto"/>
        </w:rPr>
        <w:t>DGCL</w:t>
      </w:r>
      <w:r>
        <w:rPr>
          <w:rFonts w:ascii="Arial" w:cs="Arial" w:eastAsia="Arial" w:hAnsi="Arial"/>
          <w:sz w:val="18"/>
          <w:szCs w:val="18"/>
          <w:color w:val="auto"/>
        </w:rPr>
        <w:t>”), and by written consent of the Corporation’s stockholders in accordance with Section 228 of the DGCL.</w:t>
      </w:r>
    </w:p>
    <w:p>
      <w:pPr>
        <w:spacing w:after="0" w:line="75" w:lineRule="exact"/>
        <w:rPr>
          <w:rFonts w:ascii="Arial" w:cs="Arial" w:eastAsia="Arial" w:hAnsi="Arial"/>
          <w:sz w:val="18"/>
          <w:szCs w:val="18"/>
          <w:color w:val="auto"/>
        </w:rPr>
      </w:pPr>
    </w:p>
    <w:p>
      <w:pPr>
        <w:ind w:left="620" w:hanging="184"/>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Amended and Restated Certificate shall become effective on the date of filing with the Secretary of State of Delaware.</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AME</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Dynamics Special Purpose Corp.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URPOSE</w:t>
      </w:r>
    </w:p>
    <w:p>
      <w:pPr>
        <w:spacing w:after="0" w:line="21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7"/>
          <w:szCs w:val="17"/>
          <w:b w:val="1"/>
          <w:bCs w:val="1"/>
          <w:color w:val="auto"/>
        </w:rPr>
        <w:t>Business Combination</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239" w:name="page240"/>
    <w:bookmarkEnd w:id="239"/>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EGISTERED</w:t>
      </w:r>
      <w:r>
        <w:rPr>
          <w:rFonts w:ascii="Arial" w:cs="Arial" w:eastAsia="Arial" w:hAnsi="Arial"/>
          <w:sz w:val="18"/>
          <w:szCs w:val="18"/>
          <w:color w:val="auto"/>
        </w:rPr>
        <w:t xml:space="preserve"> A</w:t>
      </w:r>
      <w:r>
        <w:rPr>
          <w:rFonts w:ascii="Arial" w:cs="Arial" w:eastAsia="Arial" w:hAnsi="Arial"/>
          <w:sz w:val="14"/>
          <w:szCs w:val="14"/>
          <w:color w:val="auto"/>
        </w:rPr>
        <w:t>GENT</w:t>
      </w:r>
    </w:p>
    <w:p>
      <w:pPr>
        <w:spacing w:after="0" w:line="211"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The address of the Corporation’s registered office in the State of Delaware is located at c/o The Corporation Trust Company, Corporation Trust Center, 1209 Orange Street, Wilmington, New Castle County, Delaware, 19801. The name of its registered agent at such address is The Corporation Trust Company.</w:t>
      </w:r>
    </w:p>
    <w:p>
      <w:pPr>
        <w:spacing w:after="0" w:line="40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APITALIZATION</w:t>
      </w:r>
    </w:p>
    <w:p>
      <w:pPr>
        <w:spacing w:after="0" w:line="21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Authorized Capital Stock</w:t>
      </w:r>
      <w:r>
        <w:rPr>
          <w:rFonts w:ascii="Arial" w:cs="Arial" w:eastAsia="Arial" w:hAnsi="Arial"/>
          <w:sz w:val="16"/>
          <w:szCs w:val="16"/>
          <w:color w:val="auto"/>
        </w:rPr>
        <w:t>. The total number of shares of all classes of capital stock, each with a par value of $0.0001 per share, which the Corporation is authorized to issue is 111,000,000 shares, consisting of (a) 110,000,000 shares of common stock (the “</w:t>
      </w:r>
      <w:r>
        <w:rPr>
          <w:rFonts w:ascii="Arial" w:cs="Arial" w:eastAsia="Arial" w:hAnsi="Arial"/>
          <w:sz w:val="16"/>
          <w:szCs w:val="16"/>
          <w:b w:val="1"/>
          <w:bCs w:val="1"/>
          <w:color w:val="auto"/>
        </w:rPr>
        <w:t>Common Stock</w:t>
      </w:r>
      <w:r>
        <w:rPr>
          <w:rFonts w:ascii="Arial" w:cs="Arial" w:eastAsia="Arial" w:hAnsi="Arial"/>
          <w:sz w:val="16"/>
          <w:szCs w:val="16"/>
          <w:color w:val="auto"/>
        </w:rPr>
        <w:t>”), including</w:t>
      </w:r>
    </w:p>
    <w:p>
      <w:pPr>
        <w:ind w:left="4" w:right="60" w:hanging="4"/>
        <w:spacing w:after="0" w:line="260" w:lineRule="auto"/>
        <w:tabs>
          <w:tab w:leader="none" w:pos="21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100,000,000 shares of Class A Common Stock (the “</w:t>
      </w:r>
      <w:r>
        <w:rPr>
          <w:rFonts w:ascii="Arial" w:cs="Arial" w:eastAsia="Arial" w:hAnsi="Arial"/>
          <w:sz w:val="18"/>
          <w:szCs w:val="18"/>
          <w:b w:val="1"/>
          <w:bCs w:val="1"/>
          <w:color w:val="auto"/>
        </w:rPr>
        <w:t>Class A Common Stock</w:t>
      </w:r>
      <w:r>
        <w:rPr>
          <w:rFonts w:ascii="Arial" w:cs="Arial" w:eastAsia="Arial" w:hAnsi="Arial"/>
          <w:sz w:val="18"/>
          <w:szCs w:val="18"/>
          <w:color w:val="auto"/>
        </w:rPr>
        <w:t>”) and (ii) 10,000,000 shares of Class B Common Stock (the “</w:t>
      </w:r>
      <w:r>
        <w:rPr>
          <w:rFonts w:ascii="Arial" w:cs="Arial" w:eastAsia="Arial" w:hAnsi="Arial"/>
          <w:sz w:val="18"/>
          <w:szCs w:val="18"/>
          <w:b w:val="1"/>
          <w:b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i w:val="1"/>
          <w:iCs w:val="1"/>
          <w:color w:val="auto"/>
        </w:rPr>
        <w:t>Preferred Stock</w:t>
      </w:r>
      <w:r>
        <w:rPr>
          <w:rFonts w:ascii="Arial" w:cs="Arial" w:eastAsia="Arial" w:hAnsi="Arial"/>
          <w:sz w:val="17"/>
          <w:szCs w:val="17"/>
          <w:color w:val="auto"/>
        </w:rPr>
        <w:t>. Subject to Article IX of this Amended and Restated Certificate, the Board of Directors of the Corporation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is hereby expressly authorized to provide out of the unissued shares of the Preferred Stock for one or more series of Preferred Stock and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establish from time to time the number of shares to be included in each such series and to fix the voting rights, if any, designations, powers, preferences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relative, participating, optional, special and other rights, if any, of each such series and any qualifications, limitations and restrictions thereof, 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shall be stated in the resolution or resolutions adopted by the Board providing for the issuance of such series and included in a certificate of designation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law, now or hereafter, to adopt any such resolution or resolutions.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Common Stock.</w:t>
      </w:r>
    </w:p>
    <w:p>
      <w:pPr>
        <w:spacing w:after="0" w:line="117" w:lineRule="exact"/>
        <w:rPr>
          <w:sz w:val="20"/>
          <w:szCs w:val="20"/>
          <w:color w:val="auto"/>
        </w:rPr>
      </w:pPr>
    </w:p>
    <w:p>
      <w:pPr>
        <w:ind w:left="684" w:hanging="244"/>
        <w:spacing w:after="0"/>
        <w:tabs>
          <w:tab w:leader="none" w:pos="684"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20" w:firstLine="419"/>
        <w:spacing w:after="0" w:line="277" w:lineRule="auto"/>
        <w:tabs>
          <w:tab w:leader="none" w:pos="108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the Common Stock shall exclusively possess all voting power with respect to the Corporation.</w:t>
      </w:r>
    </w:p>
    <w:p>
      <w:pPr>
        <w:spacing w:after="0" w:line="62" w:lineRule="exact"/>
        <w:rPr>
          <w:rFonts w:ascii="Arial" w:cs="Arial" w:eastAsia="Arial" w:hAnsi="Arial"/>
          <w:sz w:val="18"/>
          <w:szCs w:val="18"/>
          <w:color w:val="auto"/>
        </w:rPr>
      </w:pPr>
    </w:p>
    <w:p>
      <w:pPr>
        <w:ind w:left="444" w:right="60" w:firstLine="419"/>
        <w:spacing w:after="0" w:line="263" w:lineRule="auto"/>
        <w:tabs>
          <w:tab w:leader="none" w:pos="113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sectPr>
      </w:pPr>
    </w:p>
    <w:bookmarkStart w:id="240" w:name="page241"/>
    <w:bookmarkEnd w:id="240"/>
    <w:p>
      <w:pPr>
        <w:ind w:left="4" w:right="100" w:firstLine="419"/>
        <w:spacing w:after="0" w:line="286" w:lineRule="auto"/>
        <w:tabs>
          <w:tab w:leader="none" w:pos="741" w:val="left"/>
        </w:tabs>
        <w:numPr>
          <w:ilvl w:val="1"/>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closing of the initial Business Combination, the holders of Class B Common Stock shall have the exclusive right to elect, remove and replace any director, and the holders of Class A Common Stock shall have no right to vote on the election, removal or replacement of any director prior to the closing of the initial Business Combination. This Section 4.3(a)(iii) may only be amended by a resolution passed by holders of a majority of the shares of outstanding Class B Common Stock. Following the initial Business Combination, except as otherwise required by law or this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Amended and Restated Certificate (including any Preferred Stock Designation) or the DGCL.</w:t>
      </w:r>
    </w:p>
    <w:p>
      <w:pPr>
        <w:spacing w:after="0" w:line="65" w:lineRule="exact"/>
        <w:rPr>
          <w:rFonts w:ascii="Arial" w:cs="Arial" w:eastAsia="Arial" w:hAnsi="Arial"/>
          <w:sz w:val="16"/>
          <w:szCs w:val="16"/>
          <w:color w:val="auto"/>
        </w:rPr>
      </w:pPr>
    </w:p>
    <w:p>
      <w:pPr>
        <w:ind w:left="264" w:hanging="264"/>
        <w:spacing w:after="0"/>
        <w:tabs>
          <w:tab w:leader="none" w:pos="264"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Class B Common Stock</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 w:right="120" w:firstLine="419"/>
        <w:spacing w:after="0" w:line="266" w:lineRule="auto"/>
        <w:tabs>
          <w:tab w:leader="none" w:pos="64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Ratio</w:t>
      </w:r>
      <w:r>
        <w:rPr>
          <w:rFonts w:ascii="Arial" w:cs="Arial" w:eastAsia="Arial" w:hAnsi="Arial"/>
          <w:sz w:val="18"/>
          <w:szCs w:val="18"/>
          <w:color w:val="auto"/>
        </w:rPr>
        <w:t>”) (A) at any time and from time to time at the option of the holder thereof and (B) automatically upon the closing of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w:t>
      </w:r>
    </w:p>
    <w:p>
      <w:pPr>
        <w:spacing w:after="0" w:line="72" w:lineRule="exact"/>
        <w:rPr>
          <w:sz w:val="20"/>
          <w:szCs w:val="20"/>
          <w:color w:val="auto"/>
        </w:rPr>
      </w:pPr>
    </w:p>
    <w:p>
      <w:pPr>
        <w:jc w:val="both"/>
        <w:ind w:left="4" w:firstLine="419"/>
        <w:spacing w:after="0" w:line="301" w:lineRule="auto"/>
        <w:tabs>
          <w:tab w:leader="none" w:pos="69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Notwithstanding the Initial Conversion Ratio, in the case that additional shares of Class A Common Stock, or equity-linked securities (as defined below), are issued or deemed issued in excess of the amounts sold in the Corporation’s initial public offering of securities (the “</w:t>
      </w:r>
      <w:r>
        <w:rPr>
          <w:rFonts w:ascii="Arial" w:cs="Arial" w:eastAsia="Arial" w:hAnsi="Arial"/>
          <w:sz w:val="16"/>
          <w:szCs w:val="16"/>
          <w:b w:val="1"/>
          <w:bCs w:val="1"/>
          <w:color w:val="auto"/>
        </w:rPr>
        <w:t>Offering</w:t>
      </w:r>
      <w:r>
        <w:rPr>
          <w:rFonts w:ascii="Arial" w:cs="Arial" w:eastAsia="Arial" w:hAnsi="Arial"/>
          <w:sz w:val="16"/>
          <w:szCs w:val="16"/>
          <w:color w:val="auto"/>
        </w:rPr>
        <w:t>”) and related to the closing of the initial Business Combination, all issued and outstanding shares of Class B Common Stock shall automatically convert into shares of Class A Common Stock at the time of the closing of the initial Business Combination at a ratio for which:</w:t>
      </w:r>
    </w:p>
    <w:p>
      <w:pPr>
        <w:spacing w:after="0" w:line="49" w:lineRule="exact"/>
        <w:rPr>
          <w:rFonts w:ascii="Arial" w:cs="Arial" w:eastAsia="Arial" w:hAnsi="Arial"/>
          <w:sz w:val="16"/>
          <w:szCs w:val="16"/>
          <w:color w:val="auto"/>
        </w:rPr>
      </w:pPr>
    </w:p>
    <w:p>
      <w:pPr>
        <w:ind w:left="1244" w:hanging="292"/>
        <w:spacing w:after="0"/>
        <w:tabs>
          <w:tab w:leader="none" w:pos="124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numerator shall be equal to the sum of (1) 25% of all shares of Class A Common Stock issued or issuable (upon the</w:t>
      </w:r>
    </w:p>
    <w:p>
      <w:pPr>
        <w:spacing w:after="0" w:line="34" w:lineRule="exact"/>
        <w:rPr>
          <w:rFonts w:ascii="Arial" w:cs="Arial" w:eastAsia="Arial" w:hAnsi="Arial"/>
          <w:sz w:val="17"/>
          <w:szCs w:val="17"/>
          <w:color w:val="auto"/>
        </w:rPr>
      </w:pPr>
    </w:p>
    <w:p>
      <w:pPr>
        <w:ind w:left="544" w:right="60"/>
        <w:spacing w:after="0" w:line="271" w:lineRule="auto"/>
        <w:rPr>
          <w:rFonts w:ascii="Arial" w:cs="Arial" w:eastAsia="Arial" w:hAnsi="Arial"/>
          <w:sz w:val="17"/>
          <w:szCs w:val="17"/>
          <w:color w:val="auto"/>
        </w:rPr>
      </w:pPr>
      <w:r>
        <w:rPr>
          <w:rFonts w:ascii="Arial" w:cs="Arial" w:eastAsia="Arial" w:hAnsi="Arial"/>
          <w:sz w:val="17"/>
          <w:szCs w:val="17"/>
          <w:color w:val="auto"/>
        </w:rPr>
        <w:t>conversion or exercise of any equity-linked securities or otherwise) by the Corporation, related to or in connection with the consummation of the initial Business Combination (excluding any shares of Class A Common Stock or equity-linked securities issued or issuable to any seller in the initial Business Combination, any shares of Class A Common Stock and any private placement shares issued to Dynamics Sponsor LLC (the “</w:t>
      </w:r>
      <w:r>
        <w:rPr>
          <w:rFonts w:ascii="Arial" w:cs="Arial" w:eastAsia="Arial" w:hAnsi="Arial"/>
          <w:sz w:val="17"/>
          <w:szCs w:val="17"/>
          <w:b w:val="1"/>
          <w:bCs w:val="1"/>
          <w:color w:val="auto"/>
        </w:rPr>
        <w:t>Sponsor</w:t>
      </w:r>
      <w:r>
        <w:rPr>
          <w:rFonts w:ascii="Arial" w:cs="Arial" w:eastAsia="Arial" w:hAnsi="Arial"/>
          <w:sz w:val="17"/>
          <w:szCs w:val="17"/>
          <w:color w:val="auto"/>
        </w:rPr>
        <w:t>”) or its affiliates upon conversion of loans to the Corporation) plus (2) the number of shares of Class B Common Stock issued and outstanding prior to the closing of the initial Business Combination; and</w:t>
      </w:r>
    </w:p>
    <w:p>
      <w:pPr>
        <w:spacing w:after="0" w:line="111"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876" w:top="274" w:right="439" w:bottom="1440" w:gutter="0" w:footer="0" w:header="0"/>
        </w:sectPr>
      </w:pPr>
    </w:p>
    <w:bookmarkStart w:id="241" w:name="page242"/>
    <w:bookmarkEnd w:id="241"/>
    <w:p>
      <w:pPr>
        <w:ind w:left="980" w:right="20" w:firstLine="408"/>
        <w:spacing w:after="0" w:line="277" w:lineRule="auto"/>
        <w:tabs>
          <w:tab w:leader="none" w:pos="1666"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denominator shall be the number of shares of Class B Common Stock issued and outstanding prior to the closing of the initial Business Combination.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used herein, the term “equity-linked securities” means any securities of the Corporation which are convertible into or exchangeable or exercisable for shares of Class A Common Stock.</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Section 4.3(b)(iii), and (ii) in no event shall the Class B Common Stock convert into Class A Common Stock at a ratio that is less than one-for-one.</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Section 4.3(b).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Section 4.3(b) and the denominator of which shall be the total number of issued and outstanding shares of Class B Common Stock at the time of conversion.</w:t>
      </w:r>
    </w:p>
    <w:p>
      <w:pPr>
        <w:spacing w:after="0" w:line="84" w:lineRule="exact"/>
        <w:rPr>
          <w:sz w:val="20"/>
          <w:szCs w:val="20"/>
          <w:color w:val="auto"/>
        </w:rPr>
      </w:pPr>
    </w:p>
    <w:p>
      <w:pPr>
        <w:ind w:left="440" w:right="120" w:firstLine="419"/>
        <w:spacing w:after="0" w:line="259" w:lineRule="auto"/>
        <w:tabs>
          <w:tab w:leader="none" w:pos="1178"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Except as otherwise required by law or this Amended and Restated Certificate (including any Preferred Stock Designation),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Amended and Restated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42" w:name="page243"/>
    <w:bookmarkEnd w:id="242"/>
    <w:p>
      <w:pPr>
        <w:ind w:left="44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60" w:lineRule="exact"/>
        <w:rPr>
          <w:sz w:val="20"/>
          <w:szCs w:val="20"/>
          <w:color w:val="auto"/>
        </w:rPr>
      </w:pPr>
    </w:p>
    <w:p>
      <w:pPr>
        <w:ind w:firstLine="436"/>
        <w:spacing w:after="0" w:line="279" w:lineRule="auto"/>
        <w:tabs>
          <w:tab w:leader="none" w:pos="685"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Subject to applicable law, the rights, if any, of the holders of any outstanding series of the Preferred Stock and the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IX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63" w:lineRule="exact"/>
        <w:rPr>
          <w:rFonts w:ascii="Arial" w:cs="Arial" w:eastAsia="Arial" w:hAnsi="Arial"/>
          <w:sz w:val="17"/>
          <w:szCs w:val="17"/>
          <w:color w:val="auto"/>
        </w:rPr>
      </w:pPr>
    </w:p>
    <w:p>
      <w:pPr>
        <w:ind w:right="20" w:firstLine="436"/>
        <w:spacing w:after="0" w:line="296" w:lineRule="auto"/>
        <w:tabs>
          <w:tab w:leader="none" w:pos="69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Liquidation, Dissolution or Winding Up of the Corporation</w:t>
      </w:r>
      <w:r>
        <w:rPr>
          <w:rFonts w:ascii="Arial" w:cs="Arial" w:eastAsia="Arial" w:hAnsi="Arial"/>
          <w:sz w:val="16"/>
          <w:szCs w:val="16"/>
          <w:color w:val="auto"/>
        </w:rPr>
        <w:t>. Subject to applicable law, the rights, if any, of the holders of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the Preferred Stock and the provisions of Article IX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6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Rights and Options</w:t>
      </w:r>
      <w:r>
        <w:rPr>
          <w:rFonts w:ascii="Arial" w:cs="Arial" w:eastAsia="Arial" w:hAnsi="Arial"/>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consideration to be received for any shares of capital stock issuable upon exercise thereof may not be less than the par value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 OF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21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Board Powers</w:t>
      </w:r>
      <w:r>
        <w:rPr>
          <w:rFonts w:ascii="Arial" w:cs="Arial" w:eastAsia="Arial" w:hAnsi="Arial"/>
          <w:sz w:val="17"/>
          <w:szCs w:val="17"/>
          <w:color w:val="auto"/>
        </w:rPr>
        <w:t>. The business and affairs of the Corporation shall be managed by, or under the direction of, the Board. In addition to the powers and authority expressly conferred upon the Board by statute, this Amended and Restated Certificate or the Bylaws of the Corporation then in effect (the “</w:t>
      </w:r>
      <w:r>
        <w:rPr>
          <w:rFonts w:ascii="Arial" w:cs="Arial" w:eastAsia="Arial" w:hAnsi="Arial"/>
          <w:sz w:val="17"/>
          <w:szCs w:val="17"/>
          <w:b w:val="1"/>
          <w:bCs w:val="1"/>
          <w:color w:val="auto"/>
        </w:rPr>
        <w:t>Bylaws</w:t>
      </w:r>
      <w:r>
        <w:rPr>
          <w:rFonts w:ascii="Arial" w:cs="Arial" w:eastAsia="Arial" w:hAnsi="Arial"/>
          <w:sz w:val="17"/>
          <w:szCs w:val="17"/>
          <w:color w:val="auto"/>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Bylaws hereafter adopted by the stockholders of the Corporation shall invalidate any prior act of the Board that would have been valid if such Bylaws had not been adopted.</w:t>
      </w:r>
    </w:p>
    <w:p>
      <w:pPr>
        <w:spacing w:after="0" w:line="17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Number, Election and Term.</w:t>
      </w:r>
      <w:r>
        <w:rPr>
          <w:rFonts w:ascii="Arial" w:cs="Arial" w:eastAsia="Arial" w:hAnsi="Arial"/>
          <w:sz w:val="18"/>
          <w:szCs w:val="18"/>
          <w:color w:val="auto"/>
        </w:rPr>
        <w:t xml:space="preserve"> (a) The number of directors of the Corporation shall be fixed from time to time exclusively by the Board pursuant to a resolution adopted by a majority of the Board, subject to any contractual rights of stockholders or any series of the Preferred Stock to elect directors.</w:t>
      </w:r>
    </w:p>
    <w:p>
      <w:pPr>
        <w:spacing w:after="0" w:line="76" w:lineRule="exact"/>
        <w:rPr>
          <w:sz w:val="20"/>
          <w:szCs w:val="20"/>
          <w:color w:val="auto"/>
        </w:rPr>
      </w:pPr>
    </w:p>
    <w:p>
      <w:pPr>
        <w:jc w:val="both"/>
        <w:ind w:right="280" w:firstLine="436"/>
        <w:spacing w:after="0" w:line="263"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Subject to Section 5.5 hereof, commencing at the first annual meeting of the stockholders of the Corporation, and at each annual meeting of the stockholders thereafter, directors elected to succeed those directors whose terms expire shall be elected for a term of office to expire at the second annual meeting of the stockholders after their election.</w:t>
      </w:r>
    </w:p>
    <w:p>
      <w:pPr>
        <w:spacing w:after="0" w:line="75" w:lineRule="exact"/>
        <w:rPr>
          <w:rFonts w:ascii="Arial" w:cs="Arial" w:eastAsia="Arial" w:hAnsi="Arial"/>
          <w:sz w:val="18"/>
          <w:szCs w:val="18"/>
          <w:color w:val="auto"/>
        </w:rPr>
      </w:pPr>
    </w:p>
    <w:p>
      <w:pPr>
        <w:ind w:right="140" w:firstLine="436"/>
        <w:spacing w:after="0" w:line="342" w:lineRule="auto"/>
        <w:tabs>
          <w:tab w:leader="none" w:pos="68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Subject to Section 5.5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5" w:lineRule="exact"/>
        <w:rPr>
          <w:rFonts w:ascii="Arial" w:cs="Arial" w:eastAsia="Arial" w:hAnsi="Arial"/>
          <w:sz w:val="16"/>
          <w:szCs w:val="16"/>
          <w:color w:val="auto"/>
        </w:rPr>
      </w:pPr>
    </w:p>
    <w:p>
      <w:pPr>
        <w:ind w:left="700" w:hanging="264"/>
        <w:spacing w:after="0"/>
        <w:tabs>
          <w:tab w:leader="none" w:pos="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i w:val="1"/>
          <w:iCs w:val="1"/>
          <w:color w:val="auto"/>
        </w:rPr>
        <w:t>Newly Created Directorships and Vacancies</w:t>
      </w:r>
      <w:r>
        <w:rPr>
          <w:rFonts w:ascii="Arial" w:cs="Arial" w:eastAsia="Arial" w:hAnsi="Arial"/>
          <w:sz w:val="16"/>
          <w:szCs w:val="16"/>
          <w:color w:val="auto"/>
        </w:rPr>
        <w:t>. Subject to Section 5.5 hereof and the contractual rights of any stockholder, in accordance with the DGCL,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44" w:name="page245"/>
    <w:bookmarkEnd w:id="244"/>
    <w:p>
      <w:pPr>
        <w:jc w:val="both"/>
        <w:ind w:right="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Arial" w:cs="Arial" w:eastAsia="Arial" w:hAnsi="Arial"/>
          <w:sz w:val="16"/>
          <w:szCs w:val="16"/>
          <w:i w:val="1"/>
          <w:iCs w:val="1"/>
          <w:color w:val="auto"/>
        </w:rPr>
        <w:t>Removal</w:t>
      </w:r>
      <w:r>
        <w:rPr>
          <w:rFonts w:ascii="Arial" w:cs="Arial" w:eastAsia="Arial" w:hAnsi="Arial"/>
          <w:sz w:val="16"/>
          <w:szCs w:val="16"/>
          <w:color w:val="auto"/>
        </w:rPr>
        <w:t>. Subject to Section 5.5 hereof and the contractual rights of any stockholder, in accordance with the DGCL,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4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i w:val="1"/>
          <w:iCs w:val="1"/>
          <w:color w:val="auto"/>
        </w:rPr>
        <w:t>Preferred Stock – Directors</w:t>
      </w:r>
      <w:r>
        <w:rPr>
          <w:rFonts w:ascii="Arial" w:cs="Arial" w:eastAsia="Arial" w:hAnsi="Arial"/>
          <w:sz w:val="17"/>
          <w:szCs w:val="17"/>
          <w:color w:val="auto"/>
        </w:rPr>
        <w:t>. Notwithstanding any other provision of this Article V,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Article V unless expressly provided by such terms.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YLAWS</w:t>
      </w:r>
    </w:p>
    <w:p>
      <w:pPr>
        <w:spacing w:after="0" w:line="211"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 xml:space="preserve">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provided further, however, that no Bylaws hereafter adopted by the stockholders shall invalidate any prior act of the Board that would have been valid if such Bylaws had not been adopted.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EETINGS OF</w:t>
      </w:r>
      <w:r>
        <w:rPr>
          <w:rFonts w:ascii="Arial" w:cs="Arial" w:eastAsia="Arial" w:hAnsi="Arial"/>
          <w:sz w:val="18"/>
          <w:szCs w:val="18"/>
          <w:color w:val="auto"/>
        </w:rPr>
        <w:t xml:space="preserve"> S</w:t>
      </w:r>
      <w:r>
        <w:rPr>
          <w:rFonts w:ascii="Arial" w:cs="Arial" w:eastAsia="Arial" w:hAnsi="Arial"/>
          <w:sz w:val="14"/>
          <w:szCs w:val="14"/>
          <w:color w:val="auto"/>
        </w:rPr>
        <w:t>TOCKHOLDERS</w:t>
      </w:r>
      <w:r>
        <w:rPr>
          <w:rFonts w:ascii="Arial" w:cs="Arial" w:eastAsia="Arial" w:hAnsi="Arial"/>
          <w:sz w:val="18"/>
          <w:szCs w:val="18"/>
          <w:color w:val="auto"/>
        </w:rPr>
        <w:t>; A</w:t>
      </w:r>
      <w:r>
        <w:rPr>
          <w:rFonts w:ascii="Arial" w:cs="Arial" w:eastAsia="Arial" w:hAnsi="Arial"/>
          <w:sz w:val="14"/>
          <w:szCs w:val="14"/>
          <w:color w:val="auto"/>
        </w:rPr>
        <w:t>CTION BY</w:t>
      </w:r>
      <w:r>
        <w:rPr>
          <w:rFonts w:ascii="Arial" w:cs="Arial" w:eastAsia="Arial" w:hAnsi="Arial"/>
          <w:sz w:val="18"/>
          <w:szCs w:val="18"/>
          <w:color w:val="auto"/>
        </w:rPr>
        <w:t xml:space="preserve"> W</w:t>
      </w:r>
      <w:r>
        <w:rPr>
          <w:rFonts w:ascii="Arial" w:cs="Arial" w:eastAsia="Arial" w:hAnsi="Arial"/>
          <w:sz w:val="14"/>
          <w:szCs w:val="14"/>
          <w:color w:val="auto"/>
        </w:rPr>
        <w:t>RITTEN</w:t>
      </w:r>
      <w:r>
        <w:rPr>
          <w:rFonts w:ascii="Arial" w:cs="Arial" w:eastAsia="Arial" w:hAnsi="Arial"/>
          <w:sz w:val="18"/>
          <w:szCs w:val="18"/>
          <w:color w:val="auto"/>
        </w:rPr>
        <w:t xml:space="preserve"> C</w:t>
      </w:r>
      <w:r>
        <w:rPr>
          <w:rFonts w:ascii="Arial" w:cs="Arial" w:eastAsia="Arial" w:hAnsi="Arial"/>
          <w:sz w:val="14"/>
          <w:szCs w:val="14"/>
          <w:color w:val="auto"/>
        </w:rPr>
        <w:t>ONSENT</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Special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Executive Chair of the Board, the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45" w:name="page246"/>
    <w:bookmarkEnd w:id="245"/>
    <w:p>
      <w:pPr>
        <w:ind w:right="9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Arial" w:cs="Arial" w:eastAsia="Arial" w:hAnsi="Arial"/>
          <w:sz w:val="16"/>
          <w:szCs w:val="16"/>
          <w:i w:val="1"/>
          <w:iCs w:val="1"/>
          <w:color w:val="auto"/>
        </w:rPr>
        <w:t>Advance Notice</w:t>
      </w:r>
      <w:r>
        <w:rPr>
          <w:rFonts w:ascii="Arial" w:cs="Arial" w:eastAsia="Arial" w:hAnsi="Arial"/>
          <w:sz w:val="16"/>
          <w:szCs w:val="16"/>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24" w:lineRule="exact"/>
        <w:rPr>
          <w:sz w:val="20"/>
          <w:szCs w:val="20"/>
          <w:color w:val="auto"/>
        </w:rPr>
      </w:pPr>
    </w:p>
    <w:p>
      <w:pPr>
        <w:ind w:right="320" w:firstLine="440"/>
        <w:spacing w:after="0" w:line="275"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i w:val="1"/>
          <w:iCs w:val="1"/>
          <w:color w:val="auto"/>
        </w:rPr>
        <w:t>Action by Written Consent</w:t>
      </w:r>
      <w:r>
        <w:rPr>
          <w:rFonts w:ascii="Arial" w:cs="Arial" w:eastAsia="Arial" w:hAnsi="Arial"/>
          <w:sz w:val="17"/>
          <w:szCs w:val="17"/>
          <w:color w:val="auto"/>
        </w:rPr>
        <w:t>. Except as may be otherwise provided for or fixed pursuant to this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our Class B Common Stock with respect to which action may be taken by written consent.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IMITED</w:t>
      </w:r>
      <w:r>
        <w:rPr>
          <w:rFonts w:ascii="Arial" w:cs="Arial" w:eastAsia="Arial" w:hAnsi="Arial"/>
          <w:sz w:val="18"/>
          <w:szCs w:val="18"/>
          <w:color w:val="auto"/>
        </w:rPr>
        <w:t xml:space="preserve"> L</w:t>
      </w:r>
      <w:r>
        <w:rPr>
          <w:rFonts w:ascii="Arial" w:cs="Arial" w:eastAsia="Arial" w:hAnsi="Arial"/>
          <w:sz w:val="14"/>
          <w:szCs w:val="14"/>
          <w:color w:val="auto"/>
        </w:rPr>
        <w:t>IABILITY</w:t>
      </w:r>
      <w:r>
        <w:rPr>
          <w:rFonts w:ascii="Arial" w:cs="Arial" w:eastAsia="Arial" w:hAnsi="Arial"/>
          <w:sz w:val="18"/>
          <w:szCs w:val="18"/>
          <w:color w:val="auto"/>
        </w:rPr>
        <w:t>; I</w:t>
      </w:r>
      <w:r>
        <w:rPr>
          <w:rFonts w:ascii="Arial" w:cs="Arial" w:eastAsia="Arial" w:hAnsi="Arial"/>
          <w:sz w:val="14"/>
          <w:szCs w:val="14"/>
          <w:color w:val="auto"/>
        </w:rPr>
        <w:t>NDEMNIFICATION</w:t>
      </w:r>
    </w:p>
    <w:p>
      <w:pPr>
        <w:spacing w:after="0" w:line="211"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Limitation of Director Liability</w:t>
      </w:r>
      <w:r>
        <w:rPr>
          <w:rFonts w:ascii="Arial" w:cs="Arial" w:eastAsia="Arial" w:hAnsi="Arial"/>
          <w:sz w:val="17"/>
          <w:szCs w:val="17"/>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such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i w:val="1"/>
          <w:iCs w:val="1"/>
          <w:color w:val="auto"/>
        </w:rPr>
        <w:t>Indemnification and Advancement of Expenses</w:t>
      </w:r>
      <w:r>
        <w:rPr>
          <w:rFonts w:ascii="Arial" w:cs="Arial" w:eastAsia="Arial" w:hAnsi="Arial"/>
          <w:sz w:val="17"/>
          <w:szCs w:val="17"/>
          <w:color w:val="auto"/>
        </w:rPr>
        <w:t>. (a) To the fullest extent permitted by applicable law, as the same exists or may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hereafter be amended, the Corporation shall indemnify and hold harmless each person who is or was made a party or is threatened to be made a party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is otherwise involved in any threatened, pending or completed action, suit or proceeding, whether civil, criminal, administrative or investigative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serving at the request of the Corporation as a director, officer, employee or agent of another corporation or of a partnership, joint venture,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enterprise or nonprofit entity, including service with respect to an employee benefit plan (an “</w:t>
      </w:r>
      <w:r>
        <w:rPr>
          <w:rFonts w:ascii="Arial" w:cs="Arial" w:eastAsia="Arial" w:hAnsi="Arial"/>
          <w:sz w:val="16"/>
          <w:szCs w:val="16"/>
          <w:b w:val="1"/>
          <w:bCs w:val="1"/>
          <w:color w:val="auto"/>
        </w:rPr>
        <w:t>indemnitee</w:t>
      </w:r>
      <w:r>
        <w:rPr>
          <w:rFonts w:ascii="Arial" w:cs="Arial" w:eastAsia="Arial" w:hAnsi="Arial"/>
          <w:sz w:val="16"/>
          <w:szCs w:val="16"/>
          <w:color w:val="auto"/>
        </w:rPr>
        <w:t>”), whether the basis of such proceeding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alleged action in an official capacity as a director, officer, employee or agent, or in any other capacity while serving as a director, officer, employee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against all liability and loss suffered and expenses (including, without limitation, attorneys’ fees, judgments, fines, excise taxes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Retirement Income Security Act of 1974, as amended (the “</w:t>
      </w:r>
      <w:r>
        <w:rPr>
          <w:rFonts w:ascii="Arial" w:cs="Arial" w:eastAsia="Arial" w:hAnsi="Arial"/>
          <w:sz w:val="16"/>
          <w:szCs w:val="16"/>
          <w:b w:val="1"/>
          <w:bCs w:val="1"/>
          <w:color w:val="auto"/>
        </w:rPr>
        <w:t>ERISA excise taxes</w:t>
      </w:r>
      <w:r>
        <w:rPr>
          <w:rFonts w:ascii="Arial" w:cs="Arial" w:eastAsia="Arial" w:hAnsi="Arial"/>
          <w:sz w:val="16"/>
          <w:szCs w:val="16"/>
          <w:color w:val="auto"/>
        </w:rPr>
        <w:t>”) and penalties and amounts paid in settlement) reasonably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by such indemnitee in connection with such proceeding. The Corporation shall to the fullest extent not prohibited by applicable law pay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(including, without limitation, attorneys’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46" w:name="page247"/>
    <w:bookmarkEnd w:id="24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fees, judgments, fines, ERISA excise taxes and penalties and amounts paid in settlement) incurred by an indemnitee in defending or otherwise participating in any proceeding in advance of its final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solely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73" w:lineRule="exact"/>
        <w:rPr>
          <w:sz w:val="20"/>
          <w:szCs w:val="20"/>
          <w:color w:val="auto"/>
        </w:rPr>
      </w:pPr>
    </w:p>
    <w:p>
      <w:pPr>
        <w:ind w:right="20" w:firstLine="436"/>
        <w:spacing w:after="0" w:line="263"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rights to indemnification and advancement of expenses conferred on any indemnitee by this Section 8.2 shall not be exclusive of any other rights that any indemnitee may have or hereafter acquire under law, this Amended and Restated Certificate, the Bylaws, an agreement, vote of stockholders or disinterested directors, or otherwise.</w:t>
      </w:r>
    </w:p>
    <w:p>
      <w:pPr>
        <w:spacing w:after="0" w:line="75" w:lineRule="exact"/>
        <w:rPr>
          <w:rFonts w:ascii="Arial" w:cs="Arial" w:eastAsia="Arial" w:hAnsi="Arial"/>
          <w:sz w:val="18"/>
          <w:szCs w:val="18"/>
          <w:color w:val="auto"/>
        </w:rPr>
      </w:pPr>
    </w:p>
    <w:p>
      <w:pPr>
        <w:ind w:firstLine="436"/>
        <w:spacing w:after="0" w:line="293" w:lineRule="auto"/>
        <w:tabs>
          <w:tab w:leader="none" w:pos="6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Any repeal or amendment of this Section 8.2 by the stockholders of the Corporation or by changes in law, or the adoption of any other provision of this Amended and Restated Certificate inconsistent with this 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56" w:lineRule="exact"/>
        <w:rPr>
          <w:rFonts w:ascii="Arial" w:cs="Arial" w:eastAsia="Arial" w:hAnsi="Arial"/>
          <w:sz w:val="16"/>
          <w:szCs w:val="16"/>
          <w:color w:val="auto"/>
        </w:rPr>
      </w:pPr>
    </w:p>
    <w:p>
      <w:pPr>
        <w:ind w:firstLine="436"/>
        <w:spacing w:after="0" w:line="277"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This Section 8.2 shall not limit the right of the Corporation, to the extent and in the manner authorized or permitted by law, to indemnify and to advance expenses to persons other than indemnitees.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w:t>
      </w:r>
      <w:r>
        <w:rPr>
          <w:rFonts w:ascii="Arial" w:cs="Arial" w:eastAsia="Arial" w:hAnsi="Arial"/>
          <w:sz w:val="18"/>
          <w:szCs w:val="18"/>
          <w:color w:val="auto"/>
        </w:rPr>
        <w:t xml:space="preserve"> R</w:t>
      </w:r>
      <w:r>
        <w:rPr>
          <w:rFonts w:ascii="Arial" w:cs="Arial" w:eastAsia="Arial" w:hAnsi="Arial"/>
          <w:sz w:val="14"/>
          <w:szCs w:val="14"/>
          <w:color w:val="auto"/>
        </w:rPr>
        <w:t>EQUIREMENTS</w:t>
      </w:r>
      <w:r>
        <w:rPr>
          <w:rFonts w:ascii="Arial" w:cs="Arial" w:eastAsia="Arial" w:hAnsi="Arial"/>
          <w:sz w:val="18"/>
          <w:szCs w:val="18"/>
          <w:color w:val="auto"/>
        </w:rPr>
        <w:t>; E</w:t>
      </w:r>
      <w:r>
        <w:rPr>
          <w:rFonts w:ascii="Arial" w:cs="Arial" w:eastAsia="Arial" w:hAnsi="Arial"/>
          <w:sz w:val="14"/>
          <w:szCs w:val="14"/>
          <w:color w:val="auto"/>
        </w:rPr>
        <w:t>XISTENCE</w:t>
      </w:r>
    </w:p>
    <w:p>
      <w:pPr>
        <w:spacing w:after="0" w:line="21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 The provisions of this Article IX shall apply during the period commencing upon the effectiveness of this Amended and Restated Certificate and terminating upon the consummation of the Corporation’s initial Business Combination and no amendment to this Article IX shall be effective prior to the consummation of the initial Business Combination unless approved by the affirmative vote of the holders of at least sixty-five percent (65%) of all then outstanding shares of the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47" w:name="page248"/>
    <w:bookmarkEnd w:id="247"/>
    <w:p>
      <w:pPr>
        <w:ind w:right="80" w:firstLine="436"/>
        <w:spacing w:after="0" w:line="286" w:lineRule="auto"/>
        <w:tabs>
          <w:tab w:leader="none" w:pos="695" w:val="left"/>
        </w:tabs>
        <w:numPr>
          <w:ilvl w:val="0"/>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May 7, 2021, as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deposited in a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established for the benefit of the Public Stockholders (each as defined below) pursuant to a trust agreement described in the Registration Statement. Except for the withdrawal of interest to pay franchise and income taxes,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not previously properly redeemed in accordance with clause (iii) below if the Corporation does not complete its initial Business Combination within 24 months from the closing of the Offering and (iii) the redemption of any Offering Shares properly submitted in connection with a stockholder vote seeking to amend any provisions of this Amended and Restated Certificate relating to stockholders’ rights or pre-initial Business Combination activity (as described in Section 9.7). Holders of shares of the Common Stock included as part of the units sold in the Offering (the “</w:t>
      </w:r>
      <w:r>
        <w:rPr>
          <w:rFonts w:ascii="Arial" w:cs="Arial" w:eastAsia="Arial" w:hAnsi="Arial"/>
          <w:sz w:val="16"/>
          <w:szCs w:val="16"/>
          <w:b w:val="1"/>
          <w:bCs w:val="1"/>
          <w:color w:val="auto"/>
        </w:rPr>
        <w:t>Offering Shares</w:t>
      </w:r>
      <w:r>
        <w:rPr>
          <w:rFonts w:ascii="Arial" w:cs="Arial" w:eastAsia="Arial" w:hAnsi="Arial"/>
          <w:sz w:val="16"/>
          <w:szCs w:val="16"/>
          <w:color w:val="auto"/>
        </w:rPr>
        <w:t>”) (whether such Offering Shares were purchased in the Offering or in the secondary market following the Offering and whether or not such holders are the Sponsor or officers or directors of the Corporation, or any affiliates of any of the foregoing) are referred to herein as “</w:t>
      </w:r>
      <w:r>
        <w:rPr>
          <w:rFonts w:ascii="Arial" w:cs="Arial" w:eastAsia="Arial" w:hAnsi="Arial"/>
          <w:sz w:val="16"/>
          <w:szCs w:val="16"/>
          <w:b w:val="1"/>
          <w:bCs w:val="1"/>
          <w:color w:val="auto"/>
        </w:rPr>
        <w:t>Public Stockholders</w:t>
      </w:r>
      <w:r>
        <w:rPr>
          <w:rFonts w:ascii="Arial" w:cs="Arial" w:eastAsia="Arial" w:hAnsi="Arial"/>
          <w:sz w:val="16"/>
          <w:szCs w:val="16"/>
          <w:color w:val="auto"/>
        </w:rPr>
        <w:t>.”</w:t>
      </w:r>
    </w:p>
    <w:p>
      <w:pPr>
        <w:spacing w:after="0" w:line="17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Redemption Rights</w:t>
      </w:r>
      <w:r>
        <w:rPr>
          <w:rFonts w:ascii="Arial" w:cs="Arial" w:eastAsia="Arial" w:hAnsi="Arial"/>
          <w:sz w:val="16"/>
          <w:szCs w:val="16"/>
          <w:color w:val="auto"/>
        </w:rPr>
        <w:t>. (a) 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Sections 9.2(b) and 9.2(c) (such rights of such holders to have their Offering Shares redeemed pursuant to such Sections, the “</w:t>
      </w:r>
      <w:r>
        <w:rPr>
          <w:rFonts w:ascii="Arial" w:cs="Arial" w:eastAsia="Arial" w:hAnsi="Arial"/>
          <w:sz w:val="16"/>
          <w:szCs w:val="16"/>
          <w:b w:val="1"/>
          <w:bCs w:val="1"/>
          <w:color w:val="auto"/>
        </w:rPr>
        <w:t>Redemption Rights</w:t>
      </w:r>
      <w:r>
        <w:rPr>
          <w:rFonts w:ascii="Arial" w:cs="Arial" w:eastAsia="Arial" w:hAnsi="Arial"/>
          <w:sz w:val="16"/>
          <w:szCs w:val="16"/>
          <w:color w:val="auto"/>
        </w:rPr>
        <w:t>”) hereof for cash equal to the applicable redemption price per share determined in accordance with Section 9.2(b) hereof (the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Corporation shall not redeem Offering Shares to the extent that such redemption would result in the Corporation’s failure to have net tangible assets (as determined in accordance with Rule 3a51-1(g)(1)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any successor rule)) of at least $5,000,001 or any greater net tangible asset or cash requirement which may be contained in the agreement relating to the initial Business Combination upon consummation of the initial Business Combination and after payment of deferred underwriting commissions (such limitation hereinafter called the “</w:t>
      </w:r>
      <w:r>
        <w:rPr>
          <w:rFonts w:ascii="Arial" w:cs="Arial" w:eastAsia="Arial" w:hAnsi="Arial"/>
          <w:sz w:val="16"/>
          <w:szCs w:val="16"/>
          <w:b w:val="1"/>
          <w:bCs w:val="1"/>
          <w:color w:val="auto"/>
        </w:rPr>
        <w:t>Redemption Limitation</w:t>
      </w:r>
      <w:r>
        <w:rPr>
          <w:rFonts w:ascii="Arial" w:cs="Arial" w:eastAsia="Arial" w:hAnsi="Arial"/>
          <w:sz w:val="16"/>
          <w:szCs w:val="16"/>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48" w:name="page249"/>
    <w:bookmarkEnd w:id="248"/>
    <w:p>
      <w:pPr>
        <w:ind w:firstLine="436"/>
        <w:spacing w:after="0" w:line="284" w:lineRule="auto"/>
        <w:tabs>
          <w:tab w:leader="none" w:pos="695"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Corporation offers to redeem the Offering Shares other than in conjunction with a stockholder vote on an initial Business Combination with a proxy solicitation pursuant to Regulation 14A of the Exchange Act (or any successor rules or regulations) and filing proxy materials with the SEC, the Corporation shall offer to redeem the Offering Shares upon the consummation of the initial Business Combination, subject to lawfully available funds therefor, in accordance with the provisions of Section 9.2(a) hereof, pursuant to a tender offer in accordance with Rule 13e-4 and Regulation 14E of the Exchange Act (or any successor rule or regulation) (such rules and regulations hereinafter called the “</w:t>
      </w:r>
      <w:r>
        <w:rPr>
          <w:rFonts w:ascii="Arial" w:cs="Arial" w:eastAsia="Arial" w:hAnsi="Arial"/>
          <w:sz w:val="16"/>
          <w:szCs w:val="16"/>
          <w:b w:val="1"/>
          <w:bCs w:val="1"/>
          <w:color w:val="auto"/>
        </w:rPr>
        <w:t>Tender Offer 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of the Exchange Act (or any successor rule or regulation) (such rules and regulations hereinafter called the “</w:t>
      </w:r>
      <w:r>
        <w:rPr>
          <w:rFonts w:ascii="Arial" w:cs="Arial" w:eastAsia="Arial" w:hAnsi="Arial"/>
          <w:sz w:val="16"/>
          <w:szCs w:val="16"/>
          <w:b w:val="1"/>
          <w:bCs w:val="1"/>
          <w:color w:val="auto"/>
        </w:rPr>
        <w:t>Proxy Solicitation Rules</w:t>
      </w:r>
      <w:r>
        <w:rPr>
          <w:rFonts w:ascii="Arial" w:cs="Arial" w:eastAsia="Arial" w:hAnsi="Arial"/>
          <w:sz w:val="16"/>
          <w:szCs w:val="16"/>
          <w:color w:val="auto"/>
        </w:rPr>
        <w:t xml:space="preserve">”), even if such information is not required under the Tender Offer Rules;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 stockholder vote is required by law to approve the proposed initial Business Combination, or the Corporation decides to submit the</w:t>
      </w:r>
      <w:r>
        <w:rPr>
          <w:rFonts w:ascii="Arial" w:cs="Arial" w:eastAsia="Arial" w:hAnsi="Arial"/>
          <w:sz w:val="16"/>
          <w:szCs w:val="16"/>
          <w:i w:val="1"/>
          <w:iCs w:val="1"/>
          <w:color w:val="auto"/>
        </w:rPr>
        <w:t xml:space="preserve"> </w:t>
      </w:r>
      <w:r>
        <w:rPr>
          <w:rFonts w:ascii="Arial" w:cs="Arial" w:eastAsia="Arial" w:hAnsi="Arial"/>
          <w:sz w:val="16"/>
          <w:szCs w:val="16"/>
          <w:color w:val="auto"/>
        </w:rPr>
        <w:t>proposed initial Business Combination to the stockholders for their approval for business or other legal reasons, the Corporation shall offer to redeem the Offering Shares, subject to lawfully available funds therefor, in accordance with the provisions of Section 9.2(a) hereof, in conjunction with a proxy solicitation pursuant to the Proxy Solicitation Rules (and not the Tender Offer Rules) at a price per share equal to the Redemption Price calculated in accordance with the following provisions of this Section 9.2(b).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earned on the funds held in the Trust Account and not previously released to the Corporation to pay its franchise and income taxes, by (ii) the total number of then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shall be equal to the quotient obtained by dividing: (A) the aggregate amount on deposit in the Trust Account as of two business days prior to the consummation of the initial Business Combination, including interest earned on the funds held in the Trust Account and not previously released to the Corporation to pay its franchise and income taxes, by (B) the total number of then outstanding Offering Shares.</w:t>
      </w:r>
    </w:p>
    <w:p>
      <w:pPr>
        <w:spacing w:after="0" w:line="68" w:lineRule="exact"/>
        <w:rPr>
          <w:rFonts w:ascii="Arial" w:cs="Arial" w:eastAsia="Arial" w:hAnsi="Arial"/>
          <w:sz w:val="16"/>
          <w:szCs w:val="16"/>
          <w:color w:val="auto"/>
        </w:rPr>
      </w:pPr>
    </w:p>
    <w:p>
      <w:pPr>
        <w:ind w:firstLine="436"/>
        <w:spacing w:after="0" w:line="259"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8"/>
          <w:szCs w:val="18"/>
          <w:b w:val="1"/>
          <w:bCs w:val="1"/>
          <w:color w:val="auto"/>
        </w:rPr>
        <w:t>group</w:t>
      </w:r>
      <w:r>
        <w:rPr>
          <w:rFonts w:ascii="Arial" w:cs="Arial" w:eastAsia="Arial" w:hAnsi="Arial"/>
          <w:sz w:val="18"/>
          <w:szCs w:val="18"/>
          <w:color w:val="auto"/>
        </w:rPr>
        <w:t>” (as defined under Section 13(d)(3) of the Exchange Act), shall be restricted from seeking Redemption Rights with respect to more than an aggregate of 15% of the Offering Shares without the prior consent of the Corporation.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49" w:name="page250"/>
    <w:bookmarkEnd w:id="249"/>
    <w:p>
      <w:pPr>
        <w:ind w:firstLine="436"/>
        <w:spacing w:after="0" w:line="289" w:lineRule="auto"/>
        <w:tabs>
          <w:tab w:leader="none" w:pos="695"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Corporation has not consummated an initial Business Combination within 24 months from the closing of the Offering, the Corporation shall (i) cease all operations except for the purpose of winding up, (ii) as promptly as reasonably possible but not more than ten business days thereafter subject to lawfully available funds therefor, redeem 100% of the Offering Shares in consideration of a per-share price, payable in cash, equal to the quotient obtained by dividing (A) the aggregate amount then on deposit in the Trust Account, including interest not previously released to the Corporation to pay its franchise and income taxes (less up to $100,000 of such net interest to pay dissolution expenses),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58" w:lineRule="exact"/>
        <w:rPr>
          <w:rFonts w:ascii="Arial" w:cs="Arial" w:eastAsia="Arial" w:hAnsi="Arial"/>
          <w:sz w:val="16"/>
          <w:szCs w:val="16"/>
          <w:color w:val="auto"/>
        </w:rPr>
      </w:pPr>
    </w:p>
    <w:p>
      <w:pPr>
        <w:ind w:right="240" w:firstLine="436"/>
        <w:spacing w:after="0" w:line="259"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and (ii) the Redemption Limitation is not exceeded.</w:t>
      </w:r>
    </w:p>
    <w:p>
      <w:pPr>
        <w:spacing w:after="0" w:line="78" w:lineRule="exact"/>
        <w:rPr>
          <w:rFonts w:ascii="Arial" w:cs="Arial" w:eastAsia="Arial" w:hAnsi="Arial"/>
          <w:sz w:val="18"/>
          <w:szCs w:val="18"/>
          <w:color w:val="auto"/>
        </w:rPr>
      </w:pPr>
    </w:p>
    <w:p>
      <w:pPr>
        <w:ind w:right="740" w:firstLine="436"/>
        <w:spacing w:after="0" w:line="277" w:lineRule="auto"/>
        <w:tabs>
          <w:tab w:leader="none" w:pos="66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Corporation conducts a tender offer pursuant to Section 9.2(b), the Corporation shall consummate the proposed initial Business Combination only if the Redemption Limitation is not exceeded.</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Distributions from the Trust Account</w:t>
      </w:r>
      <w:r>
        <w:rPr>
          <w:rFonts w:ascii="Arial" w:cs="Arial" w:eastAsia="Arial" w:hAnsi="Arial"/>
          <w:sz w:val="18"/>
          <w:szCs w:val="18"/>
          <w:color w:val="auto"/>
        </w:rPr>
        <w:t>. (a) A Public Stockholder shall be entitled to receive funds from the Trust Account only as provided in Sections 9.2(a), 9.2(b), 9.2(d) or 9.7 hereof, as applicable. In no other circumstances shall a Public Stockholder have any right or interest of any kind in or to distributions from the Trust Account, and no stockholder other than a Public Stockholder shall have any interest in or to the Trust Account.</w:t>
      </w:r>
    </w:p>
    <w:p>
      <w:pPr>
        <w:spacing w:after="0" w:line="79" w:lineRule="exact"/>
        <w:rPr>
          <w:sz w:val="20"/>
          <w:szCs w:val="20"/>
          <w:color w:val="auto"/>
        </w:rPr>
      </w:pPr>
    </w:p>
    <w:p>
      <w:pPr>
        <w:ind w:right="200" w:firstLine="436"/>
        <w:spacing w:after="0" w:line="286" w:lineRule="auto"/>
        <w:tabs>
          <w:tab w:leader="none" w:pos="69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57" w:lineRule="exact"/>
        <w:rPr>
          <w:rFonts w:ascii="Arial" w:cs="Arial" w:eastAsia="Arial" w:hAnsi="Arial"/>
          <w:sz w:val="17"/>
          <w:szCs w:val="17"/>
          <w:color w:val="auto"/>
        </w:rPr>
      </w:pPr>
    </w:p>
    <w:p>
      <w:pPr>
        <w:ind w:right="140" w:firstLine="436"/>
        <w:spacing w:after="0" w:line="259" w:lineRule="auto"/>
        <w:tabs>
          <w:tab w:leader="none" w:pos="6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including the requirement that any Public Stockholder holder that holds Offering Shares beneficially through a nominee must identify itself to the Corporation in connection with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50" w:name="page251"/>
    <w:bookmarkEnd w:id="250"/>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redemption election in order to validly redeem such Offering Shares. Holders of Offering Shares seeking to exercise their Redemption Rights may be required to either tender their certificates (if any) to the Corporation’s transfer agent or to deliver their shares to the transfer agent electronically using The Depository Trust Company’s DWAC (Deposit/Withdrawal At Custodian) System, at the holder’s option, in each case up to two business days prior to the originally scheduled vote on the proposal to approve a Business Combination. Payment of the amounts necessary to satisfy the Redemption Rights properly exercised shall be made as promptly as practical after the consummation of the initial Business Combination.</w:t>
      </w:r>
    </w:p>
    <w:p>
      <w:pPr>
        <w:spacing w:after="0" w:line="16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Share Issuances</w:t>
      </w:r>
      <w:r>
        <w:rPr>
          <w:rFonts w:ascii="Arial" w:cs="Arial" w:eastAsia="Arial" w:hAnsi="Arial"/>
          <w:sz w:val="18"/>
          <w:szCs w:val="18"/>
          <w:color w:val="auto"/>
        </w:rPr>
        <w:t>. Prior to the consummation of the Corporation’s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Article IX.</w:t>
      </w:r>
    </w:p>
    <w:p>
      <w:pPr>
        <w:spacing w:after="0" w:line="18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 In the event the Corporation enters into an initial Business Combination with a target business that is affiliated with the Sponsor, or the directors or officers of the Corporation, the Corporation, or a committee of the independent directors of the Corporation, shall, to the extent required by applicable law or based upon the direction of the Board or a committee thereof, obtain an opinion from an independent investment banking firm or another entity that commonly renders valuation opinions that such Business Combination is fair to the Corporation from a financial point of view.</w:t>
      </w:r>
    </w:p>
    <w:p>
      <w:pPr>
        <w:spacing w:after="0" w:line="188"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No Transactions with Other Blank Check Companies</w:t>
      </w:r>
      <w:r>
        <w:rPr>
          <w:rFonts w:ascii="Arial" w:cs="Arial" w:eastAsia="Arial" w:hAnsi="Arial"/>
          <w:sz w:val="18"/>
          <w:szCs w:val="18"/>
          <w:color w:val="auto"/>
        </w:rPr>
        <w:t>. The Corporation shall not enter into an initial Business Combination with another blank check company or a similar company with nominal operations.</w:t>
      </w:r>
    </w:p>
    <w:p>
      <w:pPr>
        <w:spacing w:after="0" w:line="170" w:lineRule="exact"/>
        <w:rPr>
          <w:sz w:val="20"/>
          <w:szCs w:val="20"/>
          <w:color w:val="auto"/>
        </w:rPr>
      </w:pPr>
    </w:p>
    <w:p>
      <w:pPr>
        <w:ind w:right="160" w:firstLine="440"/>
        <w:spacing w:after="0" w:line="270"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i w:val="1"/>
          <w:iCs w:val="1"/>
          <w:color w:val="auto"/>
        </w:rPr>
        <w:t>Additional Redemption Rights</w:t>
      </w:r>
      <w:r>
        <w:rPr>
          <w:rFonts w:ascii="Arial" w:cs="Arial" w:eastAsia="Arial" w:hAnsi="Arial"/>
          <w:sz w:val="17"/>
          <w:szCs w:val="17"/>
          <w:color w:val="auto"/>
        </w:rPr>
        <w:t xml:space="preserve">. If, in accordance with Section 9.1(a), any amendment is made to Section 9.2(d) to modify the substance or timing of the Corporation’s obligation to allow redemption in connection with the initial Business Combination or the Corporation’s obligation to redeem 100% of the Offering Shares if the Corporation has not consummated an initial Business Combination within 24 months from the closing of the Offering or with respect to any other provision relating to stockholders’ rights or pre-initial Business Combination activity, the Public Stockholders shall be provided with the opportunity to redeem their Offering Shares upon the approval of any such amendment, at a per-share price, payable in cash, equal to the aggregate amount then on deposit in the Trust Account, including interest earned on the funds held in the Trust Account and not previously released to the Corporation to pay its franchise and income taxes, divided by the number of then outstanding Offering Shares;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such amendment will be voided, and this Article IX will remain unchanged, if any stockholders who wish to redeem are</w:t>
      </w:r>
      <w:r>
        <w:rPr>
          <w:rFonts w:ascii="Arial" w:cs="Arial" w:eastAsia="Arial" w:hAnsi="Arial"/>
          <w:sz w:val="17"/>
          <w:szCs w:val="17"/>
          <w:i w:val="1"/>
          <w:iCs w:val="1"/>
          <w:color w:val="auto"/>
        </w:rPr>
        <w:t xml:space="preserve"> </w:t>
      </w:r>
      <w:r>
        <w:rPr>
          <w:rFonts w:ascii="Arial" w:cs="Arial" w:eastAsia="Arial" w:hAnsi="Arial"/>
          <w:sz w:val="17"/>
          <w:szCs w:val="17"/>
          <w:color w:val="auto"/>
        </w:rPr>
        <w:t>unable to redeem due to the Redemption Limitation.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1" w:name="page252"/>
    <w:bookmarkEnd w:id="251"/>
    <w:p>
      <w:pPr>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9.8. </w:t>
      </w:r>
      <w:r>
        <w:rPr>
          <w:rFonts w:ascii="Arial" w:cs="Arial" w:eastAsia="Arial" w:hAnsi="Arial"/>
          <w:sz w:val="16"/>
          <w:szCs w:val="16"/>
          <w:i w:val="1"/>
          <w:iCs w:val="1"/>
          <w:color w:val="auto"/>
        </w:rPr>
        <w:t>Minimum Value of Target</w:t>
      </w:r>
      <w:r>
        <w:rPr>
          <w:rFonts w:ascii="Arial" w:cs="Arial" w:eastAsia="Arial" w:hAnsi="Arial"/>
          <w:sz w:val="16"/>
          <w:szCs w:val="16"/>
          <w:color w:val="auto"/>
        </w:rPr>
        <w:t>. The Corporation’s initial Business Combination must occur with one or more businesses that together have an aggregate fair market value of at least 80% of the net assets held in the Trust Account (excluding the deferred underwriting discounts and commissions and taxes payable on the income earned on the Trust Account) at the time of the agreement to enter into the initial Business Combination.</w:t>
      </w:r>
    </w:p>
    <w:p>
      <w:pPr>
        <w:spacing w:after="0" w:line="14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i w:val="1"/>
          <w:iCs w:val="1"/>
          <w:color w:val="auto"/>
        </w:rPr>
        <w:t>Approval of Business Combination by Independent Directors</w:t>
      </w:r>
      <w:r>
        <w:rPr>
          <w:rFonts w:ascii="Arial" w:cs="Arial" w:eastAsia="Arial" w:hAnsi="Arial"/>
          <w:sz w:val="18"/>
          <w:szCs w:val="18"/>
          <w:color w:val="auto"/>
        </w:rPr>
        <w:t>. The Corporation’s initial Business Combination must be approved by a majority of the independent directors of the Corporation.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ORPORATE</w:t>
      </w:r>
      <w:r>
        <w:rPr>
          <w:rFonts w:ascii="Arial" w:cs="Arial" w:eastAsia="Arial" w:hAnsi="Arial"/>
          <w:sz w:val="18"/>
          <w:szCs w:val="18"/>
          <w:color w:val="auto"/>
        </w:rPr>
        <w:t xml:space="preserve"> O</w:t>
      </w:r>
      <w:r>
        <w:rPr>
          <w:rFonts w:ascii="Arial" w:cs="Arial" w:eastAsia="Arial" w:hAnsi="Arial"/>
          <w:sz w:val="14"/>
          <w:szCs w:val="14"/>
          <w:color w:val="auto"/>
        </w:rPr>
        <w:t>PPORTUNITY</w:t>
      </w:r>
    </w:p>
    <w:p>
      <w:pPr>
        <w:spacing w:after="0" w:line="211"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 OF</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C</w:t>
      </w:r>
      <w:r>
        <w:rPr>
          <w:rFonts w:ascii="Arial" w:cs="Arial" w:eastAsia="Arial" w:hAnsi="Arial"/>
          <w:sz w:val="14"/>
          <w:szCs w:val="14"/>
          <w:color w:val="auto"/>
        </w:rPr>
        <w:t>ERTIFICATE OF</w:t>
      </w:r>
      <w:r>
        <w:rPr>
          <w:rFonts w:ascii="Arial" w:cs="Arial" w:eastAsia="Arial" w:hAnsi="Arial"/>
          <w:sz w:val="18"/>
          <w:szCs w:val="18"/>
          <w:color w:val="auto"/>
        </w:rPr>
        <w:t xml:space="preserve"> I</w:t>
      </w:r>
      <w:r>
        <w:rPr>
          <w:rFonts w:ascii="Arial" w:cs="Arial" w:eastAsia="Arial" w:hAnsi="Arial"/>
          <w:sz w:val="14"/>
          <w:szCs w:val="14"/>
          <w:color w:val="auto"/>
        </w:rPr>
        <w:t>NCORPORATION</w:t>
      </w:r>
    </w:p>
    <w:p>
      <w:pPr>
        <w:spacing w:after="0" w:line="21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Article VIII, all rights, preferences and privileges of whatever nature herein conferred upon stockholders, directors or any other persons by and pursuant to this Amended and Restated Certificate in its present form or as hereafter amended are granted subject to the right reserved in this Article XI;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Article IX and Section 4.3(a)(iii) of this Amended and Restated Certificate may be amended only as provided therein.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XCLUSIVE</w:t>
      </w:r>
      <w:r>
        <w:rPr>
          <w:rFonts w:ascii="Arial" w:cs="Arial" w:eastAsia="Arial" w:hAnsi="Arial"/>
          <w:sz w:val="18"/>
          <w:szCs w:val="18"/>
          <w:color w:val="auto"/>
        </w:rPr>
        <w:t xml:space="preserve"> F</w:t>
      </w:r>
      <w:r>
        <w:rPr>
          <w:rFonts w:ascii="Arial" w:cs="Arial" w:eastAsia="Arial" w:hAnsi="Arial"/>
          <w:sz w:val="14"/>
          <w:szCs w:val="14"/>
          <w:color w:val="auto"/>
        </w:rPr>
        <w:t>ORUM FOR</w:t>
      </w:r>
      <w:r>
        <w:rPr>
          <w:rFonts w:ascii="Arial" w:cs="Arial" w:eastAsia="Arial" w:hAnsi="Arial"/>
          <w:sz w:val="18"/>
          <w:szCs w:val="18"/>
          <w:color w:val="auto"/>
        </w:rPr>
        <w:t xml:space="preserve"> C</w:t>
      </w:r>
      <w:r>
        <w:rPr>
          <w:rFonts w:ascii="Arial" w:cs="Arial" w:eastAsia="Arial" w:hAnsi="Arial"/>
          <w:sz w:val="14"/>
          <w:szCs w:val="14"/>
          <w:color w:val="auto"/>
        </w:rPr>
        <w:t>ERTAIN</w:t>
      </w:r>
      <w:r>
        <w:rPr>
          <w:rFonts w:ascii="Arial" w:cs="Arial" w:eastAsia="Arial" w:hAnsi="Arial"/>
          <w:sz w:val="18"/>
          <w:szCs w:val="18"/>
          <w:color w:val="auto"/>
        </w:rPr>
        <w:t xml:space="preserve"> L</w:t>
      </w:r>
      <w:r>
        <w:rPr>
          <w:rFonts w:ascii="Arial" w:cs="Arial" w:eastAsia="Arial" w:hAnsi="Arial"/>
          <w:sz w:val="14"/>
          <w:szCs w:val="14"/>
          <w:color w:val="auto"/>
        </w:rPr>
        <w:t>AWSUITS</w:t>
      </w:r>
    </w:p>
    <w:p>
      <w:pPr>
        <w:spacing w:after="0" w:line="211"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Forum</w:t>
      </w:r>
      <w:r>
        <w:rPr>
          <w:rFonts w:ascii="Arial" w:cs="Arial" w:eastAsia="Arial" w:hAnsi="Arial"/>
          <w:sz w:val="16"/>
          <w:szCs w:val="16"/>
          <w:color w:val="auto"/>
        </w:rPr>
        <w:t>. (a) Subject to clause (b) immediately below, and unless the Corporation consents in writing to the selection of an alternative forum, to the fullest extent permitted by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(b) Notwithstanding the foregoing, (i) the provisions of this Section 12.1 will not apply to suits brought to enforce any duty or liability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6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i w:val="1"/>
          <w:iCs w:val="1"/>
          <w:color w:val="auto"/>
        </w:rPr>
        <w:t>Consent to Jurisdiction</w:t>
      </w:r>
      <w:r>
        <w:rPr>
          <w:rFonts w:ascii="Arial" w:cs="Arial" w:eastAsia="Arial" w:hAnsi="Arial"/>
          <w:sz w:val="17"/>
          <w:szCs w:val="17"/>
          <w:color w:val="auto"/>
        </w:rPr>
        <w:t>. If any action the subject matter of which is within the scope of Section 12.1(a) immediately above is filed in a court other than a court located within the State of Delaware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stockholder, such stockholder shall be deemed to have consented to (a) the personal jurisdiction of the state and federal courts located within the State of Delaware in connection with any action brought in any such court to enforce Section 12.1(a) immediately above (an “</w:t>
      </w:r>
      <w:r>
        <w:rPr>
          <w:rFonts w:ascii="Arial" w:cs="Arial" w:eastAsia="Arial" w:hAnsi="Arial"/>
          <w:sz w:val="17"/>
          <w:szCs w:val="17"/>
          <w:b w:val="1"/>
          <w:bCs w:val="1"/>
          <w:color w:val="auto"/>
        </w:rPr>
        <w:t>FSC Enforcement Action</w:t>
      </w:r>
      <w:r>
        <w:rPr>
          <w:rFonts w:ascii="Arial" w:cs="Arial" w:eastAsia="Arial" w:hAnsi="Arial"/>
          <w:sz w:val="17"/>
          <w:szCs w:val="17"/>
          <w:color w:val="auto"/>
        </w:rPr>
        <w:t>”) and (b) having service of process made upon such stockholder in any such FSC Enforcement Action by service upon such stockholder’s counsel in the Foreign Action as agent for such stockholder. If any action the subject matter of which is within the scope of Section 12.1(b) above is filed in a court other than a federal district court of the United States of America (a “</w:t>
      </w:r>
      <w:r>
        <w:rPr>
          <w:rFonts w:ascii="Arial" w:cs="Arial" w:eastAsia="Arial" w:hAnsi="Arial"/>
          <w:sz w:val="17"/>
          <w:szCs w:val="17"/>
          <w:b w:val="1"/>
          <w:bCs w:val="1"/>
          <w:color w:val="auto"/>
        </w:rPr>
        <w:t>Foreign Securities Act Action</w:t>
      </w:r>
      <w:r>
        <w:rPr>
          <w:rFonts w:ascii="Arial" w:cs="Arial" w:eastAsia="Arial" w:hAnsi="Arial"/>
          <w:sz w:val="17"/>
          <w:szCs w:val="17"/>
          <w:color w:val="auto"/>
        </w:rPr>
        <w:t>”) in the name of any stockholder (current, former or future), such stockholder shall be deemed to have consented to: (x) the personal jurisdiction of the federal district courts of the United States of America in connection with any action brought in any such court to enforce Section 12.1(b) above (a “</w:t>
      </w:r>
      <w:r>
        <w:rPr>
          <w:rFonts w:ascii="Arial" w:cs="Arial" w:eastAsia="Arial" w:hAnsi="Arial"/>
          <w:sz w:val="17"/>
          <w:szCs w:val="17"/>
          <w:b w:val="1"/>
          <w:bCs w:val="1"/>
          <w:color w:val="auto"/>
        </w:rPr>
        <w:t>Foreign Securities Act Enforcement Action</w:t>
      </w:r>
      <w:r>
        <w:rPr>
          <w:rFonts w:ascii="Arial" w:cs="Arial" w:eastAsia="Arial" w:hAnsi="Arial"/>
          <w:sz w:val="17"/>
          <w:szCs w:val="17"/>
          <w:color w:val="auto"/>
        </w:rPr>
        <w:t>”), and (y) having service of process made upon such stockholder in any such enforcement action by service upon such stockholder’s counsel in the Foreign Securities Act Enforcement Action as agent for such stockholder.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53" w:name="page254"/>
    <w:bookmarkEnd w:id="253"/>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12.3.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or provisions of this Article XII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 (including, without limitation, each portion of any sentence of this Article XII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XII.</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PPLICATION OF</w:t>
      </w:r>
      <w:r>
        <w:rPr>
          <w:rFonts w:ascii="Arial" w:cs="Arial" w:eastAsia="Arial" w:hAnsi="Arial"/>
          <w:sz w:val="18"/>
          <w:szCs w:val="18"/>
          <w:color w:val="auto"/>
        </w:rPr>
        <w:t xml:space="preserve"> DGCL S</w:t>
      </w:r>
      <w:r>
        <w:rPr>
          <w:rFonts w:ascii="Arial" w:cs="Arial" w:eastAsia="Arial" w:hAnsi="Arial"/>
          <w:sz w:val="14"/>
          <w:szCs w:val="14"/>
          <w:color w:val="auto"/>
        </w:rPr>
        <w:t>ECTION</w:t>
      </w:r>
      <w:r>
        <w:rPr>
          <w:rFonts w:ascii="Arial" w:cs="Arial" w:eastAsia="Arial" w:hAnsi="Arial"/>
          <w:sz w:val="18"/>
          <w:szCs w:val="18"/>
          <w:color w:val="auto"/>
        </w:rPr>
        <w:t xml:space="preserve"> 203</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i w:val="1"/>
          <w:iCs w:val="1"/>
          <w:color w:val="auto"/>
        </w:rPr>
        <w:t>Section 203 of the DGCL</w:t>
      </w:r>
      <w:r>
        <w:rPr>
          <w:rFonts w:ascii="Arial" w:cs="Arial" w:eastAsia="Arial" w:hAnsi="Arial"/>
          <w:sz w:val="18"/>
          <w:szCs w:val="18"/>
          <w:color w:val="auto"/>
        </w:rPr>
        <w:t>. The Corporation hereby expressly elects not to be governed by Section 203 of the DGCL.</w:t>
      </w:r>
    </w:p>
    <w:p>
      <w:pPr>
        <w:spacing w:after="0" w:line="225"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i w:val="1"/>
          <w:iCs w:val="1"/>
          <w:color w:val="auto"/>
        </w:rPr>
        <w:t>Limitation on Business Combinations</w:t>
      </w:r>
      <w:r>
        <w:rPr>
          <w:rFonts w:ascii="Arial" w:cs="Arial" w:eastAsia="Arial" w:hAnsi="Arial"/>
          <w:sz w:val="16"/>
          <w:szCs w:val="16"/>
          <w:color w:val="auto"/>
        </w:rPr>
        <w:t>. Notwithstanding the foregoing, the Corporation shall not engage in any business combination (as defined below), at any point in time at which the Common Stock is registered under Section 12(b) or 12(g) of the Exchange Act with any interested stockholder (as defined below) for a period of three (3) years following the time that such stockholder became an interested stockholder, unless:</w:t>
      </w:r>
    </w:p>
    <w:p>
      <w:pPr>
        <w:spacing w:after="0" w:line="41" w:lineRule="exact"/>
        <w:rPr>
          <w:sz w:val="20"/>
          <w:szCs w:val="20"/>
          <w:color w:val="auto"/>
        </w:rPr>
      </w:pPr>
    </w:p>
    <w:p>
      <w:pPr>
        <w:ind w:right="480" w:firstLine="436"/>
        <w:spacing w:after="0" w:line="277" w:lineRule="auto"/>
        <w:tabs>
          <w:tab w:leader="none" w:pos="6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2" w:lineRule="exact"/>
        <w:rPr>
          <w:rFonts w:ascii="Arial" w:cs="Arial" w:eastAsia="Arial" w:hAnsi="Arial"/>
          <w:sz w:val="18"/>
          <w:szCs w:val="18"/>
          <w:color w:val="auto"/>
        </w:rPr>
      </w:pPr>
    </w:p>
    <w:p>
      <w:pPr>
        <w:ind w:right="20" w:firstLine="436"/>
        <w:spacing w:after="0" w:line="275" w:lineRule="auto"/>
        <w:tabs>
          <w:tab w:leader="none" w:pos="69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eighty-five percent (85%) of the voting stock outstanding at the time the transaction commenced, excluding for purposes of determining the voting stock outstanding (but not the outstanding voting stock owned by the interested stockholder) those shares owned by (i) persons who are directors and also officers of the Corporation and (ii) employee stock plans in which employee participants do not have the right to determine confidentially whether shares held subject to the plan will be tendered in a tender or exchange offer; or</w:t>
      </w:r>
    </w:p>
    <w:p>
      <w:pPr>
        <w:spacing w:after="0" w:line="68" w:lineRule="exact"/>
        <w:rPr>
          <w:rFonts w:ascii="Arial" w:cs="Arial" w:eastAsia="Arial" w:hAnsi="Arial"/>
          <w:sz w:val="17"/>
          <w:szCs w:val="17"/>
          <w:color w:val="auto"/>
        </w:rPr>
      </w:pPr>
    </w:p>
    <w:p>
      <w:pPr>
        <w:ind w:right="120" w:firstLine="436"/>
        <w:spacing w:after="0" w:line="263" w:lineRule="auto"/>
        <w:tabs>
          <w:tab w:leader="none" w:pos="68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the Board and authorized at an annual or special meeting of stockholders, and not by written consent, by the affirmative vote of at least 66-2/3% of the outstanding voting stock that is not owned by the interested stockholder.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54" w:name="page255"/>
    <w:bookmarkEnd w:id="2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13.3. </w:t>
      </w:r>
      <w:r>
        <w:rPr>
          <w:rFonts w:ascii="Arial" w:cs="Arial" w:eastAsia="Arial" w:hAnsi="Arial"/>
          <w:sz w:val="18"/>
          <w:szCs w:val="18"/>
          <w:i w:val="1"/>
          <w:iCs w:val="1"/>
          <w:color w:val="auto"/>
        </w:rPr>
        <w:t>Certain Definitions</w:t>
      </w:r>
      <w:r>
        <w:rPr>
          <w:rFonts w:ascii="Arial" w:cs="Arial" w:eastAsia="Arial" w:hAnsi="Arial"/>
          <w:sz w:val="18"/>
          <w:szCs w:val="18"/>
          <w:color w:val="auto"/>
        </w:rPr>
        <w:t>. Solely for purposes of this Article XIII, references to:</w:t>
      </w:r>
    </w:p>
    <w:p>
      <w:pPr>
        <w:spacing w:after="0" w:line="113" w:lineRule="exact"/>
        <w:rPr>
          <w:sz w:val="20"/>
          <w:szCs w:val="20"/>
          <w:color w:val="auto"/>
        </w:rPr>
      </w:pPr>
    </w:p>
    <w:p>
      <w:pPr>
        <w:ind w:right="360" w:firstLine="436"/>
        <w:spacing w:after="0" w:line="282" w:lineRule="auto"/>
        <w:tabs>
          <w:tab w:leader="none" w:pos="6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53" w:lineRule="exact"/>
        <w:rPr>
          <w:rFonts w:ascii="Arial" w:cs="Arial" w:eastAsia="Arial" w:hAnsi="Arial"/>
          <w:sz w:val="18"/>
          <w:szCs w:val="18"/>
          <w:color w:val="auto"/>
        </w:rPr>
      </w:pPr>
    </w:p>
    <w:p>
      <w:pPr>
        <w:ind w:right="80" w:firstLine="436"/>
        <w:spacing w:after="0" w:line="258"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twenty percent (20%) or more of any class of voting stock;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when used in reference to the Corporation and any interested stockholder of the Corporation, means:</w:t>
      </w:r>
    </w:p>
    <w:p>
      <w:pPr>
        <w:spacing w:after="0" w:line="121" w:lineRule="exact"/>
        <w:rPr>
          <w:rFonts w:ascii="Arial" w:cs="Arial" w:eastAsia="Arial" w:hAnsi="Arial"/>
          <w:sz w:val="18"/>
          <w:szCs w:val="18"/>
          <w:color w:val="auto"/>
        </w:rPr>
      </w:pPr>
    </w:p>
    <w:p>
      <w:pPr>
        <w:ind w:left="440" w:right="180" w:firstLine="419"/>
        <w:spacing w:after="0" w:line="311" w:lineRule="auto"/>
        <w:tabs>
          <w:tab w:leader="none" w:pos="107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13.2 is not applicable to the surviving entity;</w:t>
      </w:r>
    </w:p>
    <w:p>
      <w:pPr>
        <w:spacing w:after="0" w:line="40" w:lineRule="exact"/>
        <w:rPr>
          <w:rFonts w:ascii="Arial" w:cs="Arial" w:eastAsia="Arial" w:hAnsi="Arial"/>
          <w:sz w:val="16"/>
          <w:szCs w:val="16"/>
          <w:color w:val="auto"/>
        </w:rPr>
      </w:pPr>
    </w:p>
    <w:p>
      <w:pPr>
        <w:ind w:left="440" w:right="20" w:firstLine="419"/>
        <w:spacing w:after="0" w:line="257" w:lineRule="auto"/>
        <w:tabs>
          <w:tab w:leader="none" w:pos="112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79" w:lineRule="exact"/>
        <w:rPr>
          <w:rFonts w:ascii="Arial" w:cs="Arial" w:eastAsia="Arial" w:hAnsi="Arial"/>
          <w:sz w:val="18"/>
          <w:szCs w:val="18"/>
          <w:color w:val="auto"/>
        </w:rPr>
      </w:pPr>
    </w:p>
    <w:p>
      <w:pPr>
        <w:ind w:left="440" w:firstLine="419"/>
        <w:spacing w:after="0" w:line="286" w:lineRule="auto"/>
        <w:tabs>
          <w:tab w:leader="none" w:pos="117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w:t>
      </w:r>
    </w:p>
    <w:p>
      <w:pPr>
        <w:spacing w:after="0" w:line="1" w:lineRule="exact"/>
        <w:rPr>
          <w:rFonts w:ascii="Arial" w:cs="Arial" w:eastAsia="Arial" w:hAnsi="Arial"/>
          <w:sz w:val="16"/>
          <w:szCs w:val="16"/>
          <w:color w:val="auto"/>
        </w:rPr>
      </w:pPr>
    </w:p>
    <w:p>
      <w:pPr>
        <w:ind w:left="440" w:right="60"/>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(C) pursuant to a dividend or distribution paid or made, or the exercise, exchange or conversion of securities exercisable for, exchangeable for or convertible into stock of the Corporation or any such subsidiary which security is distributed, pro rata to all stockholders of a class or series of stock of the Corporation subsequent to the time the interested stockholder became such; (D) pursuant to an exchange offer by the Corporation to purchase stock made on the same terms to all stockholders of said stock; or (E) any issuance or transfer of stock by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case under items (C)-(E) of this subsection (iii) shall there be an increase in the interested stockholder’s proportionate share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of any class or series of the Corporation or of the voting stock of the Corporation (except as a result of immaterial changes due to fractional share adjustments);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55" w:name="page256"/>
    <w:bookmarkEnd w:id="255"/>
    <w:p>
      <w:pPr>
        <w:ind w:left="420" w:firstLine="419"/>
        <w:spacing w:after="0" w:line="257" w:lineRule="auto"/>
        <w:tabs>
          <w:tab w:leader="none" w:pos="1148" w:val="left"/>
        </w:tabs>
        <w:numPr>
          <w:ilvl w:val="1"/>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w:t>
      </w:r>
    </w:p>
    <w:p>
      <w:pPr>
        <w:spacing w:after="0" w:line="75" w:lineRule="exact"/>
        <w:rPr>
          <w:rFonts w:ascii="Arial" w:cs="Arial" w:eastAsia="Arial" w:hAnsi="Arial"/>
          <w:sz w:val="18"/>
          <w:szCs w:val="18"/>
          <w:color w:val="auto"/>
        </w:rPr>
      </w:pPr>
    </w:p>
    <w:p>
      <w:pPr>
        <w:ind w:left="-20" w:right="100" w:firstLine="436"/>
        <w:spacing w:after="0" w:line="273" w:lineRule="auto"/>
        <w:tabs>
          <w:tab w:leader="none" w:pos="67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including the terms “</w:t>
      </w:r>
      <w:r>
        <w:rPr>
          <w:rFonts w:ascii="Arial" w:cs="Arial" w:eastAsia="Arial" w:hAnsi="Arial"/>
          <w:sz w:val="17"/>
          <w:szCs w:val="17"/>
          <w:b w:val="1"/>
          <w:bCs w:val="1"/>
          <w:color w:val="auto"/>
        </w:rPr>
        <w:t>controlling</w:t>
      </w:r>
      <w:r>
        <w:rPr>
          <w:rFonts w:ascii="Arial" w:cs="Arial" w:eastAsia="Arial" w:hAnsi="Arial"/>
          <w:sz w:val="17"/>
          <w:szCs w:val="17"/>
          <w:color w:val="auto"/>
        </w:rPr>
        <w:t>,” “</w:t>
      </w:r>
      <w:r>
        <w:rPr>
          <w:rFonts w:ascii="Arial" w:cs="Arial" w:eastAsia="Arial" w:hAnsi="Arial"/>
          <w:sz w:val="17"/>
          <w:szCs w:val="17"/>
          <w:b w:val="1"/>
          <w:b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color w:val="auto"/>
        </w:rPr>
        <w:t>under common control with</w:t>
      </w:r>
      <w:r>
        <w:rPr>
          <w:rFonts w:ascii="Arial" w:cs="Arial" w:eastAsia="Arial" w:hAnsi="Arial"/>
          <w:sz w:val="17"/>
          <w:szCs w:val="17"/>
          <w:color w:val="auto"/>
        </w:rPr>
        <w:t>,” means the possession, directly or indirectly, of the power to direct or cause the direction of the management and policies of a person, whether through the ownership of voting stock, by contract, or otherwise. A person who is the owner of twenty percent (20%) or more of the voting power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XIII, as an agent, bank, broker, nominee, custodian or trustee for one or more owners who do not individually or as a group have control of such entity.</w:t>
      </w:r>
    </w:p>
    <w:p>
      <w:pPr>
        <w:spacing w:after="0" w:line="63" w:lineRule="exact"/>
        <w:rPr>
          <w:rFonts w:ascii="Arial" w:cs="Arial" w:eastAsia="Arial" w:hAnsi="Arial"/>
          <w:sz w:val="17"/>
          <w:szCs w:val="17"/>
          <w:color w:val="auto"/>
        </w:rPr>
      </w:pPr>
    </w:p>
    <w:p>
      <w:pPr>
        <w:ind w:left="-20" w:right="160" w:firstLine="436"/>
        <w:spacing w:after="0" w:line="312" w:lineRule="auto"/>
        <w:tabs>
          <w:tab w:leader="none" w:pos="66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Exempted Person</w:t>
      </w:r>
      <w:r>
        <w:rPr>
          <w:rFonts w:ascii="Arial" w:cs="Arial" w:eastAsia="Arial" w:hAnsi="Arial"/>
          <w:sz w:val="17"/>
          <w:szCs w:val="17"/>
          <w:color w:val="auto"/>
        </w:rPr>
        <w:t>” means the Sponsor, its members and its affiliates, any of their respective direct or indirect transferees of at least 15% of the Corporation’s outstanding common stock and any “group” of which any such person is a part under Rule 13d-5 of the Exchange Act.</w:t>
      </w:r>
    </w:p>
    <w:p>
      <w:pPr>
        <w:spacing w:after="0" w:line="31" w:lineRule="exact"/>
        <w:rPr>
          <w:rFonts w:ascii="Arial" w:cs="Arial" w:eastAsia="Arial" w:hAnsi="Arial"/>
          <w:sz w:val="17"/>
          <w:szCs w:val="17"/>
          <w:color w:val="auto"/>
        </w:rPr>
      </w:pPr>
    </w:p>
    <w:p>
      <w:pPr>
        <w:ind w:left="-20" w:firstLine="436"/>
        <w:spacing w:after="0" w:line="288" w:lineRule="auto"/>
        <w:tabs>
          <w:tab w:leader="none" w:pos="64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fifteen percent (15%) or more of the voting stock of the Corporation, or (ii) is an affiliate or associate of the Corporation and was the owner of fifteen percent (15%) or more of the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any Exempted Person, or (B) any person whose ownership of shares in excess of the fifteen percent (15%) limitation set forth herein is the result of any action taken solely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256" w:name="page257"/>
    <w:bookmarkEnd w:id="256"/>
    <w:p>
      <w:pPr>
        <w:ind w:left="-20" w:right="180" w:firstLine="436"/>
        <w:spacing w:after="0" w:line="282" w:lineRule="auto"/>
        <w:tabs>
          <w:tab w:leader="none" w:pos="675"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color w:val="auto"/>
        </w:rPr>
        <w:t>own</w:t>
      </w:r>
      <w:r>
        <w:rPr>
          <w:rFonts w:ascii="Arial" w:cs="Arial" w:eastAsia="Arial" w:hAnsi="Arial"/>
          <w:sz w:val="18"/>
          <w:szCs w:val="18"/>
          <w:color w:val="auto"/>
        </w:rPr>
        <w:t>” and “</w:t>
      </w:r>
      <w:r>
        <w:rPr>
          <w:rFonts w:ascii="Arial" w:cs="Arial" w:eastAsia="Arial" w:hAnsi="Arial"/>
          <w:sz w:val="18"/>
          <w:szCs w:val="18"/>
          <w:b w:val="1"/>
          <w:b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57" w:lineRule="exact"/>
        <w:rPr>
          <w:rFonts w:ascii="Arial" w:cs="Arial" w:eastAsia="Arial" w:hAnsi="Arial"/>
          <w:sz w:val="18"/>
          <w:szCs w:val="18"/>
          <w:color w:val="auto"/>
        </w:rPr>
      </w:pPr>
    </w:p>
    <w:p>
      <w:pPr>
        <w:ind w:left="1060" w:hanging="221"/>
        <w:spacing w:after="0"/>
        <w:tabs>
          <w:tab w:leader="none" w:pos="10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ind w:left="420" w:firstLine="419"/>
        <w:spacing w:after="0" w:line="272" w:lineRule="auto"/>
        <w:tabs>
          <w:tab w:leader="none" w:pos="110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person shall not be deemed the owner of stock tendered pursuant to a tender or exchange offer made by such person or any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69" w:lineRule="exact"/>
        <w:rPr>
          <w:rFonts w:ascii="Arial" w:cs="Arial" w:eastAsia="Arial" w:hAnsi="Arial"/>
          <w:sz w:val="17"/>
          <w:szCs w:val="17"/>
          <w:color w:val="auto"/>
        </w:rPr>
      </w:pPr>
    </w:p>
    <w:p>
      <w:pPr>
        <w:ind w:left="420" w:right="200" w:firstLine="419"/>
        <w:spacing w:after="0" w:line="263" w:lineRule="auto"/>
        <w:tabs>
          <w:tab w:leader="none" w:pos="115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71" w:lineRule="exact"/>
        <w:rPr>
          <w:rFonts w:ascii="Arial" w:cs="Arial" w:eastAsia="Arial" w:hAnsi="Arial"/>
          <w:sz w:val="18"/>
          <w:szCs w:val="18"/>
          <w:color w:val="auto"/>
        </w:rPr>
      </w:pPr>
    </w:p>
    <w:p>
      <w:pPr>
        <w:ind w:left="680" w:hanging="264"/>
        <w:spacing w:after="0"/>
        <w:tabs>
          <w:tab w:leader="none" w:pos="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unincorporated association or other entity.</w:t>
      </w:r>
    </w:p>
    <w:p>
      <w:pPr>
        <w:spacing w:after="0" w:line="117" w:lineRule="exact"/>
        <w:rPr>
          <w:rFonts w:ascii="Arial" w:cs="Arial" w:eastAsia="Arial" w:hAnsi="Arial"/>
          <w:sz w:val="18"/>
          <w:szCs w:val="18"/>
          <w:color w:val="auto"/>
        </w:rPr>
      </w:pPr>
    </w:p>
    <w:p>
      <w:pPr>
        <w:ind w:left="640" w:hanging="224"/>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117" w:lineRule="exact"/>
        <w:rPr>
          <w:rFonts w:ascii="Arial" w:cs="Arial" w:eastAsia="Arial" w:hAnsi="Arial"/>
          <w:sz w:val="18"/>
          <w:szCs w:val="18"/>
          <w:color w:val="auto"/>
        </w:rPr>
      </w:pPr>
    </w:p>
    <w:p>
      <w:pPr>
        <w:ind w:left="640" w:hanging="224"/>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0" w:right="459" w:bottom="1440" w:gutter="0" w:footer="0" w:header="0"/>
        </w:sectPr>
      </w:pPr>
    </w:p>
    <w:bookmarkStart w:id="257" w:name="page258"/>
    <w:bookmarkEnd w:id="25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Dynamics Special Purpose Corp. has caused this Amended and Restated Certificate to be duly executed and acknowledged in its name and on its behalf by an authorized officer as of the date first set forth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DYNAMICS SPECIAL PURPOSE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Amended and Restated Certificate of Incorporation</w:t>
      </w:r>
      <w:r>
        <w:rPr>
          <w:rFonts w:ascii="Arial" w:cs="Arial" w:eastAsia="Arial" w:hAnsi="Arial"/>
          <w:sz w:val="18"/>
          <w:szCs w:val="18"/>
          <w:color w:val="auto"/>
        </w:rPr>
        <w:t>]</w:t>
      </w:r>
    </w:p>
    <w:p>
      <w:pPr>
        <w:sectPr>
          <w:pgSz w:w="11900" w:h="16838" w:orient="portrait"/>
          <w:cols w:equalWidth="0" w:num="1">
            <w:col w:w="10220"/>
          </w:cols>
          <w:pgMar w:left="440" w:top="274" w:right="1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DYNAMICS SPECIAL PURPOSE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FFICES</w:t>
      </w:r>
    </w:p>
    <w:p>
      <w:pPr>
        <w:spacing w:after="0" w:line="225"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Registered Office</w:t>
      </w:r>
      <w:r>
        <w:rPr>
          <w:rFonts w:ascii="Arial" w:cs="Arial" w:eastAsia="Arial" w:hAnsi="Arial"/>
          <w:sz w:val="18"/>
          <w:szCs w:val="18"/>
          <w:color w:val="auto"/>
        </w:rPr>
        <w:t>. The registered office of the Corporation within the State of Delaware shall be located at either (a) the principal place of business of the Corporation in the State of Delaware or (b) the office of the corporation or individual acting as the Corporation’s registered agent in Delaware.</w:t>
      </w:r>
    </w:p>
    <w:p>
      <w:pPr>
        <w:spacing w:after="0" w:line="184"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Additional Offices</w:t>
      </w:r>
      <w:r>
        <w:rPr>
          <w:rFonts w:ascii="Arial" w:cs="Arial" w:eastAsia="Arial" w:hAnsi="Arial"/>
          <w:sz w:val="18"/>
          <w:szCs w:val="18"/>
          <w:color w:val="auto"/>
        </w:rPr>
        <w:t>. The Corporation may, in addition to its registered office in the State of Delaware, have such other offices and places of business, both within and outside the State of Delaware, as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TOCKHOLDERS</w:t>
      </w:r>
      <w:r>
        <w:rPr>
          <w:rFonts w:ascii="Arial" w:cs="Arial" w:eastAsia="Arial" w:hAnsi="Arial"/>
          <w:sz w:val="18"/>
          <w:szCs w:val="18"/>
          <w:color w:val="auto"/>
        </w:rPr>
        <w:t xml:space="preserve"> M</w:t>
      </w:r>
      <w:r>
        <w:rPr>
          <w:rFonts w:ascii="Arial" w:cs="Arial" w:eastAsia="Arial" w:hAnsi="Arial"/>
          <w:sz w:val="14"/>
          <w:szCs w:val="14"/>
          <w:color w:val="auto"/>
        </w:rPr>
        <w:t>EETINGS</w:t>
      </w:r>
    </w:p>
    <w:p>
      <w:pPr>
        <w:spacing w:after="0" w:line="209"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Annual Meetings</w:t>
      </w:r>
      <w:r>
        <w:rPr>
          <w:rFonts w:ascii="Arial" w:cs="Arial" w:eastAsia="Arial" w:hAnsi="Arial"/>
          <w:sz w:val="16"/>
          <w:szCs w:val="16"/>
          <w:color w:val="auto"/>
        </w:rPr>
        <w:t>. The annual meeting of stockholders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Section 9.5(a).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57" w:lineRule="exact"/>
        <w:rPr>
          <w:sz w:val="20"/>
          <w:szCs w:val="20"/>
          <w:color w:val="auto"/>
        </w:rPr>
      </w:pPr>
    </w:p>
    <w:p>
      <w:pPr>
        <w:ind w:right="120" w:firstLine="440"/>
        <w:spacing w:after="0" w:line="294"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Special Meetings</w:t>
      </w:r>
      <w:r>
        <w:rPr>
          <w:rFonts w:ascii="Arial" w:cs="Arial" w:eastAsia="Arial" w:hAnsi="Arial"/>
          <w:sz w:val="16"/>
          <w:szCs w:val="16"/>
          <w:color w:val="auto"/>
        </w:rPr>
        <w:t>. Subject to the rights of the holders of any outstanding series of the preferred stock of the Corporation (“</w:t>
      </w:r>
      <w:r>
        <w:rPr>
          <w:rFonts w:ascii="Arial" w:cs="Arial" w:eastAsia="Arial" w:hAnsi="Arial"/>
          <w:sz w:val="16"/>
          <w:szCs w:val="16"/>
          <w:b w:val="1"/>
          <w:b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and to the requirements of applicable law, special meetings of stockholders, for any purpose or purposes, may be called only by the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Chair of the Board, Chief Executive Officer, or the Board pursuant to a resolution adopted by a majority of the Board, and may not be called by any other person. Special meetings of stockholders shall be held at such place, either within or without the State of Delaware, and at such and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Section 9.5(a).</w:t>
      </w:r>
    </w:p>
    <w:p>
      <w:pPr>
        <w:sectPr>
          <w:pgSz w:w="11900" w:h="16838" w:orient="portrait"/>
          <w:cols w:equalWidth="0" w:num="1">
            <w:col w:w="11020"/>
          </w:cols>
          <w:pgMar w:left="440" w:top="121" w:right="439" w:bottom="1440" w:gutter="0" w:footer="0" w:header="0"/>
        </w:sectPr>
      </w:pPr>
    </w:p>
    <w:bookmarkStart w:id="259" w:name="page260"/>
    <w:bookmarkEnd w:id="259"/>
    <w:p>
      <w:pPr>
        <w:ind w:right="2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 </w:t>
      </w:r>
      <w:r>
        <w:rPr>
          <w:rFonts w:ascii="Arial" w:cs="Arial" w:eastAsia="Arial" w:hAnsi="Arial"/>
          <w:sz w:val="16"/>
          <w:szCs w:val="16"/>
          <w:i w:val="1"/>
          <w:iCs w:val="1"/>
          <w:color w:val="auto"/>
        </w:rPr>
        <w:t>Notices</w:t>
      </w:r>
      <w:r>
        <w:rPr>
          <w:rFonts w:ascii="Arial" w:cs="Arial" w:eastAsia="Arial" w:hAnsi="Arial"/>
          <w:sz w:val="16"/>
          <w:szCs w:val="16"/>
          <w:color w:val="auto"/>
        </w:rPr>
        <w:t>. 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Section 9.3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Section 2.7(c)) given before the date previously scheduled for such meeting.</w:t>
      </w:r>
    </w:p>
    <w:p>
      <w:pPr>
        <w:spacing w:after="0" w:line="168"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Quorum</w:t>
      </w:r>
      <w:r>
        <w:rPr>
          <w:rFonts w:ascii="Arial" w:cs="Arial" w:eastAsia="Arial" w:hAnsi="Arial"/>
          <w:sz w:val="16"/>
          <w:szCs w:val="16"/>
          <w:color w:val="auto"/>
        </w:rPr>
        <w:t>. Except as otherwise provided by applicable law, the Corporation’s Certificate of Incorporation, as the same may be amended or restated from time to time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xml:space="preserve">”) or these By 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Section 2.6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limit the right of the Corporation or any such other corporation to vote shares held by it in a fiduciary capacity.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Voting of Shares.</w:t>
      </w:r>
    </w:p>
    <w:p>
      <w:pPr>
        <w:spacing w:after="0" w:line="113" w:lineRule="exact"/>
        <w:rPr>
          <w:sz w:val="20"/>
          <w:szCs w:val="20"/>
          <w:color w:val="auto"/>
        </w:rPr>
      </w:pPr>
    </w:p>
    <w:p>
      <w:pPr>
        <w:ind w:right="40" w:firstLine="436"/>
        <w:spacing w:after="0" w:line="277" w:lineRule="auto"/>
        <w:tabs>
          <w:tab w:leader="none" w:pos="685"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Voting Lists</w:t>
      </w:r>
      <w:r>
        <w:rPr>
          <w:rFonts w:ascii="Arial" w:cs="Arial" w:eastAsia="Arial" w:hAnsi="Arial"/>
          <w:sz w:val="17"/>
          <w:szCs w:val="17"/>
          <w:color w:val="auto"/>
        </w:rPr>
        <w:t>. The Secretary of the Corporation (the “</w:t>
      </w:r>
      <w:r>
        <w:rPr>
          <w:rFonts w:ascii="Arial" w:cs="Arial" w:eastAsia="Arial" w:hAnsi="Arial"/>
          <w:sz w:val="17"/>
          <w:szCs w:val="17"/>
          <w:b w:val="1"/>
          <w:bCs w:val="1"/>
          <w:color w:val="auto"/>
        </w:rPr>
        <w:t>Secretary</w:t>
      </w:r>
      <w:r>
        <w:rPr>
          <w:rFonts w:ascii="Arial" w:cs="Arial" w:eastAsia="Arial" w:hAnsi="Arial"/>
          <w:sz w:val="17"/>
          <w:szCs w:val="17"/>
          <w:color w:val="auto"/>
        </w:rPr>
        <w:t>”), or such other officer as determined by the Board, shall prepare, or shall cause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officer or agent who has charge of the stock ledger of the Corporation to prepare and make, at least 10 days before every meeting of stockholders, a complete list of the stockholders of record entitled to vote at such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60" w:name="page261"/>
    <w:bookmarkEnd w:id="26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registered in the name of each stockholder. Nothing contained in this Section 2.5(a)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Section 9.5(a),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Section 2.5(a) or to vote in person or by proxy at any meeting of stockholders.</w:t>
      </w:r>
    </w:p>
    <w:p>
      <w:pPr>
        <w:spacing w:after="0" w:line="64" w:lineRule="exact"/>
        <w:rPr>
          <w:sz w:val="20"/>
          <w:szCs w:val="20"/>
          <w:color w:val="auto"/>
        </w:rPr>
      </w:pPr>
    </w:p>
    <w:p>
      <w:pPr>
        <w:ind w:right="80" w:firstLine="436"/>
        <w:spacing w:after="0" w:line="296" w:lineRule="auto"/>
        <w:tabs>
          <w:tab w:leader="none" w:pos="695"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Manner of Voting</w:t>
      </w:r>
      <w:r>
        <w:rPr>
          <w:rFonts w:ascii="Arial" w:cs="Arial" w:eastAsia="Arial" w:hAnsi="Arial"/>
          <w:sz w:val="16"/>
          <w:szCs w:val="16"/>
          <w:color w:val="auto"/>
        </w:rPr>
        <w:t>. At any stockholders meeting, every stockholder entitled to vote may vote in person or by proxy. If authorized by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the voting by stockholders or proxy holders at any meeting conducted by remote communication may be effected by a ballot submitted by electronic transmission (as defined in Section 9.3),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53" w:lineRule="exact"/>
        <w:rPr>
          <w:rFonts w:ascii="Arial" w:cs="Arial" w:eastAsia="Arial" w:hAnsi="Arial"/>
          <w:sz w:val="16"/>
          <w:szCs w:val="16"/>
          <w:color w:val="auto"/>
        </w:rPr>
      </w:pPr>
    </w:p>
    <w:p>
      <w:pPr>
        <w:ind w:right="80" w:firstLine="436"/>
        <w:spacing w:after="0" w:line="255"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84" w:lineRule="exact"/>
        <w:rPr>
          <w:rFonts w:ascii="Arial" w:cs="Arial" w:eastAsia="Arial" w:hAnsi="Arial"/>
          <w:sz w:val="18"/>
          <w:szCs w:val="18"/>
          <w:color w:val="auto"/>
        </w:rPr>
      </w:pPr>
    </w:p>
    <w:p>
      <w:pPr>
        <w:jc w:val="both"/>
        <w:ind w:left="440" w:right="520" w:firstLine="419"/>
        <w:spacing w:after="0" w:line="311" w:lineRule="auto"/>
        <w:tabs>
          <w:tab w:leader="none" w:pos="107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61" w:name="page262"/>
    <w:bookmarkEnd w:id="261"/>
    <w:p>
      <w:pPr>
        <w:ind w:left="1100" w:hanging="261"/>
        <w:spacing w:after="0"/>
        <w:tabs>
          <w:tab w:leader="none" w:pos="11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stockholder may authorize another person or persons to act for such stockholder as proxy by transmitting or authorizing the</w:t>
      </w:r>
    </w:p>
    <w:p>
      <w:pPr>
        <w:spacing w:after="0" w:line="34" w:lineRule="exact"/>
        <w:rPr>
          <w:rFonts w:ascii="Arial" w:cs="Arial" w:eastAsia="Arial" w:hAnsi="Arial"/>
          <w:sz w:val="17"/>
          <w:szCs w:val="17"/>
          <w:color w:val="auto"/>
        </w:rPr>
      </w:pPr>
    </w:p>
    <w:p>
      <w:pPr>
        <w:ind w:left="420" w:right="14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copy, facsimile telecommunication or other reproduction shall be a complete reproduction of the entire original writing or transmission.</w:t>
      </w:r>
    </w:p>
    <w:p>
      <w:pPr>
        <w:spacing w:after="0" w:line="72" w:lineRule="exact"/>
        <w:rPr>
          <w:rFonts w:ascii="Arial" w:cs="Arial" w:eastAsia="Arial" w:hAnsi="Arial"/>
          <w:sz w:val="17"/>
          <w:szCs w:val="17"/>
          <w:color w:val="auto"/>
        </w:rPr>
      </w:pPr>
    </w:p>
    <w:p>
      <w:pPr>
        <w:ind w:left="-20" w:right="100" w:firstLine="436"/>
        <w:spacing w:after="0" w:line="272" w:lineRule="auto"/>
        <w:tabs>
          <w:tab w:leader="none" w:pos="675"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Required Vote</w:t>
      </w:r>
      <w:r>
        <w:rPr>
          <w:rFonts w:ascii="Arial" w:cs="Arial" w:eastAsia="Arial" w:hAnsi="Arial"/>
          <w:sz w:val="17"/>
          <w:szCs w:val="17"/>
          <w:color w:val="auto"/>
        </w:rPr>
        <w:t>. Subject to the rights of the holders of one or more series of Preferred Stock, voting separately by class or series, to elect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 Laws or applicable stock exchange rules, a different vote is required, in which case such provision shall govern and control the decision of such matter.</w:t>
      </w:r>
    </w:p>
    <w:p>
      <w:pPr>
        <w:spacing w:after="0" w:line="69" w:lineRule="exact"/>
        <w:rPr>
          <w:rFonts w:ascii="Arial" w:cs="Arial" w:eastAsia="Arial" w:hAnsi="Arial"/>
          <w:sz w:val="17"/>
          <w:szCs w:val="17"/>
          <w:color w:val="auto"/>
        </w:rPr>
      </w:pPr>
    </w:p>
    <w:p>
      <w:pPr>
        <w:ind w:left="-20" w:firstLine="436"/>
        <w:spacing w:after="0" w:line="269" w:lineRule="auto"/>
        <w:tabs>
          <w:tab w:leader="none" w:pos="665"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Inspectors of Election</w:t>
      </w:r>
      <w:r>
        <w:rPr>
          <w:rFonts w:ascii="Arial" w:cs="Arial" w:eastAsia="Arial" w:hAnsi="Arial"/>
          <w:sz w:val="17"/>
          <w:szCs w:val="17"/>
          <w:color w:val="auto"/>
        </w:rPr>
        <w:t>. The Board may, and shall if required by law, in advance of any meeting of stockholders, designate one or more persons</w:t>
      </w:r>
      <w:r>
        <w:rPr>
          <w:rFonts w:ascii="Arial" w:cs="Arial" w:eastAsia="Arial" w:hAnsi="Arial"/>
          <w:sz w:val="17"/>
          <w:szCs w:val="17"/>
          <w:i w:val="1"/>
          <w:iCs w:val="1"/>
          <w:color w:val="auto"/>
        </w:rPr>
        <w:t xml:space="preserve"> </w:t>
      </w:r>
      <w:r>
        <w:rPr>
          <w:rFonts w:ascii="Arial" w:cs="Arial" w:eastAsia="Arial" w:hAnsi="Arial"/>
          <w:sz w:val="17"/>
          <w:szCs w:val="17"/>
          <w:color w:val="auto"/>
        </w:rPr>
        <w:t>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262" w:name="page263"/>
    <w:bookmarkEnd w:id="262"/>
    <w:p>
      <w:pPr>
        <w:ind w:left="4" w:right="4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Arial" w:cs="Arial" w:eastAsia="Arial" w:hAnsi="Arial"/>
          <w:sz w:val="18"/>
          <w:szCs w:val="18"/>
          <w:i w:val="1"/>
          <w:iCs w:val="1"/>
          <w:color w:val="auto"/>
        </w:rPr>
        <w:t>Adjournments</w:t>
      </w:r>
      <w:r>
        <w:rPr>
          <w:rFonts w:ascii="Arial" w:cs="Arial" w:eastAsia="Arial" w:hAnsi="Arial"/>
          <w:sz w:val="18"/>
          <w:szCs w:val="18"/>
          <w:color w:val="auto"/>
        </w:rPr>
        <w:t>.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9.2, and shall give notice of the adjourned meeting to each stockholder of record entitled to vote at such adjourned meeting as of the record date fixed for notice of such adjourned meeting.</w:t>
      </w:r>
    </w:p>
    <w:p>
      <w:pPr>
        <w:spacing w:after="0" w:line="19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Advance Notice for Business.</w:t>
      </w:r>
    </w:p>
    <w:p>
      <w:pPr>
        <w:spacing w:after="0" w:line="117" w:lineRule="exact"/>
        <w:rPr>
          <w:sz w:val="20"/>
          <w:szCs w:val="20"/>
          <w:color w:val="auto"/>
        </w:rPr>
      </w:pPr>
    </w:p>
    <w:p>
      <w:pPr>
        <w:ind w:left="684" w:hanging="244"/>
        <w:spacing w:after="0"/>
        <w:tabs>
          <w:tab w:leader="none" w:pos="684" w:val="left"/>
        </w:tabs>
        <w:numPr>
          <w:ilvl w:val="1"/>
          <w:numId w:val="180"/>
        </w:numPr>
        <w:rPr>
          <w:rFonts w:ascii="Arial" w:cs="Arial" w:eastAsia="Arial" w:hAnsi="Arial"/>
          <w:sz w:val="16"/>
          <w:szCs w:val="16"/>
          <w:color w:val="auto"/>
        </w:rPr>
      </w:pPr>
      <w:r>
        <w:rPr>
          <w:rFonts w:ascii="Arial" w:cs="Arial" w:eastAsia="Arial" w:hAnsi="Arial"/>
          <w:sz w:val="16"/>
          <w:szCs w:val="16"/>
          <w:i w:val="1"/>
          <w:iCs w:val="1"/>
          <w:color w:val="auto"/>
        </w:rPr>
        <w:t>Annual Meetings of Stockholders</w:t>
      </w:r>
      <w:r>
        <w:rPr>
          <w:rFonts w:ascii="Arial" w:cs="Arial" w:eastAsia="Arial" w:hAnsi="Arial"/>
          <w:sz w:val="16"/>
          <w:szCs w:val="16"/>
          <w:color w:val="auto"/>
        </w:rPr>
        <w:t>. No business may be transacted at an annual meeting of stockholders, other than business that is either</w:t>
      </w:r>
    </w:p>
    <w:p>
      <w:pPr>
        <w:spacing w:after="0" w:line="46" w:lineRule="exact"/>
        <w:rPr>
          <w:rFonts w:ascii="Arial" w:cs="Arial" w:eastAsia="Arial" w:hAnsi="Arial"/>
          <w:sz w:val="16"/>
          <w:szCs w:val="16"/>
          <w:color w:val="auto"/>
        </w:rPr>
      </w:pPr>
    </w:p>
    <w:p>
      <w:pPr>
        <w:ind w:left="4" w:right="40" w:hanging="4"/>
        <w:spacing w:after="0" w:line="252" w:lineRule="auto"/>
        <w:tabs>
          <w:tab w:leader="none" w:pos="21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Section 2.7(a) and on the record date for the determination of stockholders entitled to vote at such annual meeting and (y) who complies with the notice procedures set forth in this Section 2.7(a). Notwithstanding anything in this Section 2.7(a) to the contrary, only persons nominated for election as a director to fill any term of a directorship that expires on the date of the annual meeting pursuant to Section 3.2 will be considered for election at such meeting.</w:t>
      </w:r>
    </w:p>
    <w:p>
      <w:pPr>
        <w:spacing w:after="0" w:line="84" w:lineRule="exact"/>
        <w:rPr>
          <w:rFonts w:ascii="Arial" w:cs="Arial" w:eastAsia="Arial" w:hAnsi="Arial"/>
          <w:sz w:val="18"/>
          <w:szCs w:val="18"/>
          <w:color w:val="auto"/>
        </w:rPr>
      </w:pPr>
    </w:p>
    <w:p>
      <w:pPr>
        <w:ind w:left="444" w:firstLine="419"/>
        <w:spacing w:after="0" w:line="254" w:lineRule="auto"/>
        <w:tabs>
          <w:tab w:leader="none" w:pos="1082" w:val="left"/>
        </w:tabs>
        <w:numPr>
          <w:ilvl w:val="2"/>
          <w:numId w:val="181"/>
        </w:numPr>
        <w:rPr>
          <w:rFonts w:ascii="Arial" w:cs="Arial" w:eastAsia="Arial" w:hAnsi="Arial"/>
          <w:sz w:val="18"/>
          <w:szCs w:val="18"/>
          <w:color w:val="auto"/>
        </w:rPr>
      </w:pPr>
      <w:r>
        <w:rPr>
          <w:rFonts w:ascii="Arial" w:cs="Arial" w:eastAsia="Arial" w:hAnsi="Arial"/>
          <w:sz w:val="18"/>
          <w:szCs w:val="18"/>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Section 2.7(a)(iii),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the annual meeting is called for a date that is more than 30 days before or more than 70 days</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263" w:name="page264"/>
    <w:bookmarkEnd w:id="26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such anniversary date, or if no annual meeting was held in the preceding year,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of an annual meeting shall not commence a new time period for the giving of a stockholder’s notice as described in this Section 2.7(a).</w:t>
      </w:r>
    </w:p>
    <w:p>
      <w:pPr>
        <w:spacing w:after="0" w:line="80" w:lineRule="exact"/>
        <w:rPr>
          <w:sz w:val="20"/>
          <w:szCs w:val="20"/>
          <w:color w:val="auto"/>
        </w:rPr>
      </w:pPr>
    </w:p>
    <w:p>
      <w:pPr>
        <w:ind w:firstLine="419"/>
        <w:spacing w:after="0" w:line="287" w:lineRule="auto"/>
        <w:tabs>
          <w:tab w:leader="none" w:pos="68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 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63" w:lineRule="exact"/>
        <w:rPr>
          <w:rFonts w:ascii="Arial" w:cs="Arial" w:eastAsia="Arial" w:hAnsi="Arial"/>
          <w:sz w:val="16"/>
          <w:szCs w:val="16"/>
          <w:color w:val="auto"/>
        </w:rPr>
      </w:pPr>
    </w:p>
    <w:p>
      <w:pPr>
        <w:ind w:firstLine="419"/>
        <w:spacing w:after="0" w:line="270" w:lineRule="auto"/>
        <w:tabs>
          <w:tab w:leader="none" w:pos="73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foregoing notice requirements of this Section 2.7(a)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Section 2.7(a), provided, however, that once business has been properly brought before the annual meeting in accordance with such procedures, nothing in this Section 2.7(a) shall be deemed to preclude discussion by any stockholder of any such business. If the Board or the chairman of the annual meeting determines that any stockholder proposal was not made in accordance with the provisions of this</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264" w:name="page265"/>
    <w:bookmarkEnd w:id="264"/>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2.7(a) or that the information provided in a stockholder’s notice does not satisfy the information requirements of this Section 2.7(a), such proposal shall not be presented for action at the annual meeting. Notwithstanding the foregoing provisions of this Section 2.7(a),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80" w:lineRule="exact"/>
        <w:rPr>
          <w:sz w:val="20"/>
          <w:szCs w:val="20"/>
          <w:color w:val="auto"/>
        </w:rPr>
      </w:pPr>
    </w:p>
    <w:p>
      <w:pPr>
        <w:ind w:left="440" w:right="20" w:firstLine="419"/>
        <w:spacing w:after="0" w:line="311" w:lineRule="auto"/>
        <w:tabs>
          <w:tab w:leader="none" w:pos="1168"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In addition to the provisions of this Section 2.7(a), a stockholder shall also comply with all applicable requirements of the Exchange Act and the rules and regulations thereunder with respect to the matters set forth herein. Nothing in this Section 2.7(a) shall be deemed to affect any rights of stockholders to request inclusion of proposals in the Corporation’s proxy statement pursuant to Rule 14a-8 under the Exchange Act.</w:t>
      </w:r>
    </w:p>
    <w:p>
      <w:pPr>
        <w:spacing w:after="0" w:line="40" w:lineRule="exact"/>
        <w:rPr>
          <w:rFonts w:ascii="Arial" w:cs="Arial" w:eastAsia="Arial" w:hAnsi="Arial"/>
          <w:sz w:val="16"/>
          <w:szCs w:val="16"/>
          <w:color w:val="auto"/>
        </w:rPr>
      </w:pPr>
    </w:p>
    <w:p>
      <w:pPr>
        <w:ind w:right="120" w:firstLine="436"/>
        <w:spacing w:after="0" w:line="286" w:lineRule="auto"/>
        <w:tabs>
          <w:tab w:leader="none" w:pos="695"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Special Meetings of Stockholders</w:t>
      </w:r>
      <w:r>
        <w:rPr>
          <w:rFonts w:ascii="Arial" w:cs="Arial" w:eastAsia="Arial" w:hAnsi="Arial"/>
          <w:sz w:val="17"/>
          <w:szCs w:val="17"/>
          <w:color w:val="auto"/>
        </w:rPr>
        <w:t>. Only such business shall be conducted at a special meeting of stockholders as shall have been brought</w:t>
      </w:r>
      <w:r>
        <w:rPr>
          <w:rFonts w:ascii="Arial" w:cs="Arial" w:eastAsia="Arial" w:hAnsi="Arial"/>
          <w:sz w:val="17"/>
          <w:szCs w:val="17"/>
          <w:i w:val="1"/>
          <w:iCs w:val="1"/>
          <w:color w:val="auto"/>
        </w:rPr>
        <w:t xml:space="preserve"> </w:t>
      </w:r>
      <w:r>
        <w:rPr>
          <w:rFonts w:ascii="Arial" w:cs="Arial" w:eastAsia="Arial" w:hAnsi="Arial"/>
          <w:sz w:val="17"/>
          <w:szCs w:val="17"/>
          <w:color w:val="auto"/>
        </w:rPr>
        <w:t>before the meeting pursuant to the Corporation’s notice of meeting. Nominations of persons for election to the Board may be made at a special meeting of stockholders at which directors are to be elected pursuant to the Corporation’s notice of meeting only pursuant to Section 3.2.</w:t>
      </w:r>
    </w:p>
    <w:p>
      <w:pPr>
        <w:spacing w:after="0" w:line="53" w:lineRule="exact"/>
        <w:rPr>
          <w:rFonts w:ascii="Arial" w:cs="Arial" w:eastAsia="Arial" w:hAnsi="Arial"/>
          <w:sz w:val="17"/>
          <w:szCs w:val="17"/>
          <w:color w:val="auto"/>
        </w:rPr>
      </w:pPr>
    </w:p>
    <w:p>
      <w:pPr>
        <w:ind w:right="120" w:firstLine="436"/>
        <w:spacing w:after="0" w:line="289" w:lineRule="auto"/>
        <w:tabs>
          <w:tab w:leader="none" w:pos="685"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Public Announcement</w:t>
      </w:r>
      <w:r>
        <w:rPr>
          <w:rFonts w:ascii="Arial" w:cs="Arial" w:eastAsia="Arial" w:hAnsi="Arial"/>
          <w:sz w:val="17"/>
          <w:szCs w:val="17"/>
          <w:color w:val="auto"/>
        </w:rPr>
        <w:t>. For purposes of these By Laws, “</w:t>
      </w:r>
      <w:r>
        <w:rPr>
          <w:rFonts w:ascii="Arial" w:cs="Arial" w:eastAsia="Arial" w:hAnsi="Arial"/>
          <w:sz w:val="17"/>
          <w:szCs w:val="17"/>
          <w:b w:val="1"/>
          <w:bCs w:val="1"/>
          <w:color w:val="auto"/>
        </w:rPr>
        <w:t>public announcement</w:t>
      </w:r>
      <w:r>
        <w:rPr>
          <w:rFonts w:ascii="Arial" w:cs="Arial" w:eastAsia="Arial" w:hAnsi="Arial"/>
          <w:sz w:val="17"/>
          <w:szCs w:val="17"/>
          <w:color w:val="auto"/>
        </w:rPr>
        <w:t>” shall mean disclosure in a press release reported by the Dow</w:t>
      </w:r>
      <w:r>
        <w:rPr>
          <w:rFonts w:ascii="Arial" w:cs="Arial" w:eastAsia="Arial" w:hAnsi="Arial"/>
          <w:sz w:val="17"/>
          <w:szCs w:val="17"/>
          <w:i w:val="1"/>
          <w:iCs w:val="1"/>
          <w:color w:val="auto"/>
        </w:rPr>
        <w:t xml:space="preserve"> </w:t>
      </w:r>
      <w:r>
        <w:rPr>
          <w:rFonts w:ascii="Arial" w:cs="Arial" w:eastAsia="Arial" w:hAnsi="Arial"/>
          <w:sz w:val="17"/>
          <w:szCs w:val="17"/>
          <w:color w:val="auto"/>
        </w:rPr>
        <w:t>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162"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i w:val="1"/>
          <w:iCs w:val="1"/>
          <w:color w:val="auto"/>
        </w:rPr>
        <w:t>Conduct of Meetings</w:t>
      </w:r>
      <w:r>
        <w:rPr>
          <w:rFonts w:ascii="Arial" w:cs="Arial" w:eastAsia="Arial" w:hAnsi="Arial"/>
          <w:sz w:val="16"/>
          <w:szCs w:val="16"/>
          <w:color w:val="auto"/>
        </w:rPr>
        <w:t>. The chairman of each annual and special meeting of stockholders shall be the Executive Chair of the Board or, in the absence (or inability or refusal to act) of the Executive Chair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 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65" w:name="page266"/>
    <w:bookmarkEnd w:id="26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6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Consents in Lieu of Meeting</w:t>
      </w:r>
      <w:r>
        <w:rPr>
          <w:rFonts w:ascii="Arial" w:cs="Arial" w:eastAsia="Arial" w:hAnsi="Arial"/>
          <w:sz w:val="16"/>
          <w:szCs w:val="16"/>
          <w:color w:val="auto"/>
        </w:rPr>
        <w:t>. Unless otherwise provided by the Certificate of Incorporation, and subject to the proviso in Sections 2.1 and 2.2,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entitled to vote on such matters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and the DGCL to the Corporation, written consents signed by a sufficient number of holders entitled to vote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IRECTORS</w:t>
      </w:r>
    </w:p>
    <w:p>
      <w:pPr>
        <w:spacing w:after="0" w:line="209"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i w:val="1"/>
          <w:iCs w:val="1"/>
          <w:color w:val="auto"/>
        </w:rPr>
        <w:t>Powers</w:t>
      </w:r>
      <w:r>
        <w:rPr>
          <w:rFonts w:ascii="Arial" w:cs="Arial" w:eastAsia="Arial" w:hAnsi="Arial"/>
          <w:sz w:val="16"/>
          <w:szCs w:val="16"/>
          <w:color w:val="auto"/>
        </w:rPr>
        <w:t>. The business and affairs of the Corporation shall be managed by or under the direction of the Board, which may exercise all such powers of the Corporation and do all such lawful acts and things as are not by statute or by the Certificate of Incorporation or by these By Laws required to be exercised or done by the stockholders. Directors need not be stockholders or residents of the State of Delaware.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66" w:name="page267"/>
    <w:bookmarkEnd w:id="266"/>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Arial" w:cs="Arial" w:eastAsia="Arial" w:hAnsi="Arial"/>
          <w:sz w:val="17"/>
          <w:szCs w:val="17"/>
          <w:i w:val="1"/>
          <w:iCs w:val="1"/>
          <w:color w:val="auto"/>
        </w:rPr>
        <w:t>Advance Notice for Nomination of Directors</w:t>
      </w:r>
      <w:r>
        <w:rPr>
          <w:rFonts w:ascii="Arial" w:cs="Arial" w:eastAsia="Arial" w:hAnsi="Arial"/>
          <w:sz w:val="17"/>
          <w:szCs w:val="17"/>
          <w:color w:val="auto"/>
        </w:rPr>
        <w:t>. (a) Subject to the terms of the Certificate of Incorporation and any contractual nomination rights granted to any stockholder, only persons who are nominated in accordance with the following procedures shall be eligible for election as directors of the Corporation.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Section 3.2 and on the record date for the determination of stockholders entitled to vote at such meeting and (y) who complies with the notice procedures set forth in this Section 3.2.</w:t>
      </w:r>
    </w:p>
    <w:p>
      <w:pPr>
        <w:spacing w:after="0" w:line="69" w:lineRule="exact"/>
        <w:rPr>
          <w:sz w:val="20"/>
          <w:szCs w:val="20"/>
          <w:color w:val="auto"/>
        </w:rPr>
      </w:pPr>
    </w:p>
    <w:p>
      <w:pPr>
        <w:ind w:right="20" w:firstLine="436"/>
        <w:spacing w:after="0" w:line="269" w:lineRule="auto"/>
        <w:tabs>
          <w:tab w:leader="none" w:pos="69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Subject to the terms of the Certificate of Incorporation and any contractual nomination rights granted to any stockholder,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the annual meeting is called for a date that is not within 30 days before or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Section 3.2.</w:t>
      </w:r>
    </w:p>
    <w:p>
      <w:pPr>
        <w:spacing w:after="0" w:line="70" w:lineRule="exact"/>
        <w:rPr>
          <w:rFonts w:ascii="Arial" w:cs="Arial" w:eastAsia="Arial" w:hAnsi="Arial"/>
          <w:sz w:val="17"/>
          <w:szCs w:val="17"/>
          <w:color w:val="auto"/>
        </w:rPr>
      </w:pPr>
    </w:p>
    <w:p>
      <w:pPr>
        <w:ind w:right="40" w:firstLine="436"/>
        <w:spacing w:after="0" w:line="291" w:lineRule="auto"/>
        <w:tabs>
          <w:tab w:leader="none" w:pos="6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Section 3.2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67" w:name="page268"/>
    <w:bookmarkEnd w:id="267"/>
    <w:p>
      <w:pPr>
        <w:ind w:left="4" w:right="40" w:firstLine="436"/>
        <w:spacing w:after="0" w:line="287" w:lineRule="auto"/>
        <w:tabs>
          <w:tab w:leader="none" w:pos="699" w:val="left"/>
        </w:tabs>
        <w:numPr>
          <w:ilvl w:val="1"/>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w:t>
      </w:r>
    </w:p>
    <w:p>
      <w:pPr>
        <w:spacing w:after="0" w:line="2" w:lineRule="exact"/>
        <w:rPr>
          <w:rFonts w:ascii="Arial" w:cs="Arial" w:eastAsia="Arial" w:hAnsi="Arial"/>
          <w:sz w:val="16"/>
          <w:szCs w:val="16"/>
          <w:color w:val="auto"/>
        </w:rPr>
      </w:pPr>
    </w:p>
    <w:p>
      <w:pPr>
        <w:ind w:left="4" w:right="20" w:hanging="4"/>
        <w:spacing w:after="0" w:line="285" w:lineRule="auto"/>
        <w:tabs>
          <w:tab w:leader="none" w:pos="29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63" w:lineRule="exact"/>
        <w:rPr>
          <w:rFonts w:ascii="Arial" w:cs="Arial" w:eastAsia="Arial" w:hAnsi="Arial"/>
          <w:sz w:val="16"/>
          <w:szCs w:val="16"/>
          <w:color w:val="auto"/>
        </w:rPr>
      </w:pPr>
    </w:p>
    <w:p>
      <w:pPr>
        <w:ind w:left="4" w:firstLine="436"/>
        <w:spacing w:after="0" w:line="296" w:lineRule="auto"/>
        <w:tabs>
          <w:tab w:leader="none" w:pos="68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If the Board or the chairman of the meeting of stockholders determines that any nomination was not made in accordance with the provisions of this Section 3.2, or that the information provided in a stockholder’s notice does not satisfy the information requirements of this Section 3.2, then such nomination shall not be considered at the meeting in question. Notwithstanding the foregoing provisions of this Section 3.2,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53" w:lineRule="exact"/>
        <w:rPr>
          <w:rFonts w:ascii="Arial" w:cs="Arial" w:eastAsia="Arial" w:hAnsi="Arial"/>
          <w:sz w:val="16"/>
          <w:szCs w:val="16"/>
          <w:color w:val="auto"/>
        </w:rPr>
      </w:pPr>
    </w:p>
    <w:p>
      <w:pPr>
        <w:jc w:val="both"/>
        <w:ind w:left="4" w:right="180" w:firstLine="436"/>
        <w:spacing w:after="0" w:line="263" w:lineRule="auto"/>
        <w:tabs>
          <w:tab w:leader="none" w:pos="66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 addition to the provisions of this Section 3.2, a stockholder shall also comply with all of the applicable requirements of the Exchange Act and the rules and regulations thereunder with respect to the matters set forth herein. Nothing in this Section 3.2 shall be deemed to affect any rights of the holders of Preferred Stock to elect directors pursuant to the Certificate of Incorporation.</w:t>
      </w:r>
    </w:p>
    <w:p>
      <w:pPr>
        <w:spacing w:after="0" w:line="184"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Compensation</w:t>
      </w:r>
      <w:r>
        <w:rPr>
          <w:rFonts w:ascii="Arial" w:cs="Arial" w:eastAsia="Arial" w:hAnsi="Arial"/>
          <w:sz w:val="16"/>
          <w:szCs w:val="16"/>
          <w:color w:val="auto"/>
        </w:rPr>
        <w:t>. Unless otherwise restricted by the Certificate of Incorporation or these By Laws, the Board shall have the authority to fix the compensation of directors. The directors may be reimbursed their expenses, if any, of attendance at each meeting of the Board, including for service on a committee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w:t>
      </w:r>
      <w:r>
        <w:rPr>
          <w:rFonts w:ascii="Arial" w:cs="Arial" w:eastAsia="Arial" w:hAnsi="Arial"/>
          <w:sz w:val="18"/>
          <w:szCs w:val="18"/>
          <w:color w:val="auto"/>
        </w:rPr>
        <w:t xml:space="preserve"> M</w:t>
      </w:r>
      <w:r>
        <w:rPr>
          <w:rFonts w:ascii="Arial" w:cs="Arial" w:eastAsia="Arial" w:hAnsi="Arial"/>
          <w:sz w:val="14"/>
          <w:szCs w:val="14"/>
          <w:color w:val="auto"/>
        </w:rPr>
        <w:t>EETINGS</w:t>
      </w:r>
    </w:p>
    <w:p>
      <w:pPr>
        <w:spacing w:after="0" w:line="209"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Annual Meetings</w:t>
      </w:r>
      <w:r>
        <w:rPr>
          <w:rFonts w:ascii="Arial" w:cs="Arial" w:eastAsia="Arial" w:hAnsi="Arial"/>
          <w:sz w:val="16"/>
          <w:szCs w:val="16"/>
          <w:color w:val="auto"/>
        </w:rPr>
        <w:t>.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Section 4.1.</w:t>
      </w:r>
    </w:p>
    <w:p>
      <w:pPr>
        <w:spacing w:after="0" w:line="14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Regular Meetings</w:t>
      </w:r>
      <w:r>
        <w:rPr>
          <w:rFonts w:ascii="Arial" w:cs="Arial" w:eastAsia="Arial" w:hAnsi="Arial"/>
          <w:sz w:val="18"/>
          <w:szCs w:val="18"/>
          <w:color w:val="auto"/>
        </w:rPr>
        <w:t>. Regularly scheduled, periodic meetings of the Board may be held without notice at such times, dates and places (within or without the State of Delaware) as shall from time to time be determined by the Board.</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i w:val="1"/>
          <w:iCs w:val="1"/>
          <w:color w:val="auto"/>
        </w:rPr>
        <w:t>Special Meetings</w:t>
      </w:r>
      <w:r>
        <w:rPr>
          <w:rFonts w:ascii="Arial" w:cs="Arial" w:eastAsia="Arial" w:hAnsi="Arial"/>
          <w:sz w:val="17"/>
          <w:szCs w:val="17"/>
          <w:color w:val="auto"/>
        </w:rPr>
        <w:t>. Special meetings of the Board (a) may be called by the Executive Chair of the Board or President and (b) shall be called by the Executive Chair of the Board,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Section 9.3,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 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Section 9.4.</w:t>
      </w:r>
    </w:p>
    <w:p>
      <w:pPr>
        <w:spacing w:after="0" w:line="186"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Quorum; Required Vote</w:t>
      </w:r>
      <w:r>
        <w:rPr>
          <w:rFonts w:ascii="Arial" w:cs="Arial" w:eastAsia="Arial" w:hAnsi="Arial"/>
          <w:sz w:val="18"/>
          <w:szCs w:val="18"/>
          <w:color w:val="auto"/>
        </w:rPr>
        <w:t>.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 Laws. If a quorum shall not be present at any meeting, a majority of the directors present may adjourn the meeting from time to time, without notice other than announcement at the meeting, until a quorum is present.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7" w:right="459" w:bottom="1440" w:gutter="0" w:footer="0" w:header="0"/>
        </w:sectPr>
      </w:pPr>
    </w:p>
    <w:bookmarkStart w:id="269" w:name="page270"/>
    <w:bookmarkEnd w:id="269"/>
    <w:p>
      <w:pPr>
        <w:jc w:val="both"/>
        <w:ind w:right="18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Arial" w:cs="Arial" w:eastAsia="Arial" w:hAnsi="Arial"/>
          <w:sz w:val="17"/>
          <w:szCs w:val="17"/>
          <w:i w:val="1"/>
          <w:iCs w:val="1"/>
          <w:color w:val="auto"/>
        </w:rPr>
        <w:t>Consent In Lieu of Meeting</w:t>
      </w:r>
      <w:r>
        <w:rPr>
          <w:rFonts w:ascii="Arial" w:cs="Arial" w:eastAsia="Arial" w:hAnsi="Arial"/>
          <w:sz w:val="17"/>
          <w:szCs w:val="17"/>
          <w:color w:val="auto"/>
        </w:rPr>
        <w:t>. Unless otherwise restricted by the Certificate of Incorporation or these By 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7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i w:val="1"/>
          <w:iCs w:val="1"/>
          <w:color w:val="auto"/>
        </w:rPr>
        <w:t>Organization</w:t>
      </w:r>
      <w:r>
        <w:rPr>
          <w:rFonts w:ascii="Arial" w:cs="Arial" w:eastAsia="Arial" w:hAnsi="Arial"/>
          <w:sz w:val="17"/>
          <w:szCs w:val="17"/>
          <w:color w:val="auto"/>
        </w:rPr>
        <w:t>. The chairman of each meeting of the Board shall be the Executive Chair of the Board or, in the absence (or inability or refusal to act) of the Executive Chair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 OF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209"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i w:val="1"/>
          <w:iCs w:val="1"/>
          <w:color w:val="auto"/>
        </w:rPr>
        <w:t>Establishment</w:t>
      </w:r>
      <w:r>
        <w:rPr>
          <w:rFonts w:ascii="Arial" w:cs="Arial" w:eastAsia="Arial" w:hAnsi="Arial"/>
          <w:sz w:val="16"/>
          <w:szCs w:val="16"/>
          <w:color w:val="auto"/>
        </w:rPr>
        <w:t>. The Board may by resolution passed by a majority of the Board designate one or more committees, each 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spacing w:after="0" w:line="149"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Available Powers</w:t>
      </w:r>
      <w:r>
        <w:rPr>
          <w:rFonts w:ascii="Arial" w:cs="Arial" w:eastAsia="Arial" w:hAnsi="Arial"/>
          <w:sz w:val="18"/>
          <w:szCs w:val="18"/>
          <w:color w:val="auto"/>
        </w:rPr>
        <w:t>. Any committee established pursuant to Section 5.1 hereof,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8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i w:val="1"/>
          <w:iCs w:val="1"/>
          <w:color w:val="auto"/>
        </w:rPr>
        <w:t>Alternate Members</w:t>
      </w:r>
      <w:r>
        <w:rPr>
          <w:rFonts w:ascii="Arial" w:cs="Arial" w:eastAsia="Arial" w:hAnsi="Arial"/>
          <w:sz w:val="17"/>
          <w:szCs w:val="17"/>
          <w:color w:val="auto"/>
        </w:rPr>
        <w: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70" w:name="page271"/>
    <w:bookmarkEnd w:id="270"/>
    <w:p>
      <w:pPr>
        <w:ind w:right="4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5.4. </w:t>
      </w:r>
      <w:r>
        <w:rPr>
          <w:rFonts w:ascii="Arial" w:cs="Arial" w:eastAsia="Arial" w:hAnsi="Arial"/>
          <w:sz w:val="16"/>
          <w:szCs w:val="16"/>
          <w:i w:val="1"/>
          <w:iCs w:val="1"/>
          <w:color w:val="auto"/>
        </w:rPr>
        <w:t>Procedures</w:t>
      </w:r>
      <w:r>
        <w:rPr>
          <w:rFonts w:ascii="Arial" w:cs="Arial" w:eastAsia="Arial" w:hAnsi="Arial"/>
          <w:sz w:val="16"/>
          <w:szCs w:val="16"/>
          <w:color w:val="auto"/>
        </w:rPr>
        <w:t>.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 Laws, each committee designated by the Board may make, alter, amend and repeal rules for the conduct of its business. In the absence of such rules each committee shall conduct its business in the same manner as the Board is authorized to conduct its business pursuant to Article III and Article IV of these By Laws.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FFICERS</w:t>
      </w:r>
    </w:p>
    <w:p>
      <w:pPr>
        <w:spacing w:after="0" w:line="209"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Officers</w:t>
      </w:r>
      <w:r>
        <w:rPr>
          <w:rFonts w:ascii="Arial" w:cs="Arial" w:eastAsia="Arial" w:hAnsi="Arial"/>
          <w:sz w:val="16"/>
          <w:szCs w:val="16"/>
          <w:color w:val="auto"/>
        </w:rPr>
        <w:t>. The officers of the Corporation elected by the Board shall be an Executive Chair of the Board, a Chief Executive Officer, a President, a Chief Financial Officer, a Secretary and such other officers (including without limitation, Vice Presidents, Assistant Secretaries and a Treasurer) as the Board from time to time may determine. Officers elected by the Board shall each have such powers and duties as generally pertain to their respective offices, subject to the specific provisions of this Article VI.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 Laws or as may be prescribed by the Board or, if such officer has been appointed by the Chief Executive Officer or President, as may be prescribed by the appointing officer.</w:t>
      </w:r>
    </w:p>
    <w:p>
      <w:pPr>
        <w:spacing w:after="0" w:line="57" w:lineRule="exact"/>
        <w:rPr>
          <w:sz w:val="20"/>
          <w:szCs w:val="20"/>
          <w:color w:val="auto"/>
        </w:rPr>
      </w:pPr>
    </w:p>
    <w:p>
      <w:pPr>
        <w:ind w:right="40" w:firstLine="436"/>
        <w:spacing w:after="0" w:line="272" w:lineRule="auto"/>
        <w:tabs>
          <w:tab w:leader="none" w:pos="685"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Executive Chair of the Board</w:t>
      </w:r>
      <w:r>
        <w:rPr>
          <w:rFonts w:ascii="Arial" w:cs="Arial" w:eastAsia="Arial" w:hAnsi="Arial"/>
          <w:sz w:val="17"/>
          <w:szCs w:val="17"/>
          <w:color w:val="auto"/>
        </w:rPr>
        <w:t>. The Executive Chair of the Board shall preside when present at all meetings of the stockholders and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 Chair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Executive Chair of the Board, the Chief Executive Officer (if he or she shall be a director) shall preside when present at all meetings of the stockholders and the Board. The powers and duties of the Executive Chair of the Board shall not include supervision or control of the preparation of the financial statements of the Corporation (other than through participation as a member of the Board). The position of Executive Chair of the Board and Chief Executive Officer may be held by the same person.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71" w:name="page272"/>
    <w:bookmarkEnd w:id="271"/>
    <w:p>
      <w:pPr>
        <w:ind w:left="-80" w:right="40" w:firstLine="436"/>
        <w:spacing w:after="0" w:line="255" w:lineRule="auto"/>
        <w:tabs>
          <w:tab w:leader="none" w:pos="61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Chief Executive Officer</w:t>
      </w:r>
      <w:r>
        <w:rPr>
          <w:rFonts w:ascii="Arial" w:cs="Arial" w:eastAsia="Arial" w:hAnsi="Arial"/>
          <w:sz w:val="18"/>
          <w:szCs w:val="18"/>
          <w:color w:val="auto"/>
        </w:rPr>
        <w:t>. The Chief Executive Officer shall be the chief executive officer of the Corporation, shall have general supervision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Executive Chair of the Board pursuant to Section 6.1(a) above. In the absence (or inability or refusal to act) of the Executive Chair of the Board, the Chief Executive Officer (if he or she shall be a director) shall preside when present at all meetings of the stockholders and the Board. The position of Chief Executive Officer and President may be held by the same person.</w:t>
      </w:r>
    </w:p>
    <w:p>
      <w:pPr>
        <w:spacing w:after="0" w:line="192" w:lineRule="exact"/>
        <w:rPr>
          <w:rFonts w:ascii="Arial" w:cs="Arial" w:eastAsia="Arial" w:hAnsi="Arial"/>
          <w:sz w:val="18"/>
          <w:szCs w:val="18"/>
          <w:color w:val="auto"/>
        </w:rPr>
      </w:pPr>
    </w:p>
    <w:p>
      <w:pPr>
        <w:ind w:left="-80" w:right="60" w:firstLine="436"/>
        <w:spacing w:after="0" w:line="257" w:lineRule="auto"/>
        <w:tabs>
          <w:tab w:leader="none" w:pos="60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President</w:t>
      </w:r>
      <w:r>
        <w:rPr>
          <w:rFonts w:ascii="Arial" w:cs="Arial" w:eastAsia="Arial" w:hAnsi="Arial"/>
          <w:sz w:val="18"/>
          <w:szCs w:val="18"/>
          <w:color w:val="auto"/>
        </w:rPr>
        <w:t>. The President shall make recommendations to the Chief Executive Officer on all operational matters that would normally be</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the final executive responsibility of the Chief Executive Officer. In the absence (or inability or refusal to act) of the Executive Chair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87" w:lineRule="exact"/>
        <w:rPr>
          <w:rFonts w:ascii="Arial" w:cs="Arial" w:eastAsia="Arial" w:hAnsi="Arial"/>
          <w:sz w:val="18"/>
          <w:szCs w:val="18"/>
          <w:color w:val="auto"/>
        </w:rPr>
      </w:pPr>
    </w:p>
    <w:p>
      <w:pPr>
        <w:jc w:val="both"/>
        <w:ind w:left="-80" w:right="100" w:firstLine="436"/>
        <w:spacing w:after="0" w:line="263" w:lineRule="auto"/>
        <w:tabs>
          <w:tab w:leader="none" w:pos="61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the Vice Presidents in the order designated by the Board) shall perform the duties and have the powers of the President. Any one or more of the Vice Presidents may be given an additional designation of rank or function.</w:t>
      </w:r>
    </w:p>
    <w:p>
      <w:pPr>
        <w:spacing w:after="0" w:line="183" w:lineRule="exact"/>
        <w:rPr>
          <w:rFonts w:ascii="Arial" w:cs="Arial" w:eastAsia="Arial" w:hAnsi="Arial"/>
          <w:sz w:val="18"/>
          <w:szCs w:val="18"/>
          <w:color w:val="auto"/>
        </w:rPr>
      </w:pPr>
    </w:p>
    <w:p>
      <w:pPr>
        <w:ind w:left="600" w:hanging="244"/>
        <w:spacing w:after="0"/>
        <w:tabs>
          <w:tab w:leader="none" w:pos="60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Secretary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firstLine="419"/>
        <w:spacing w:after="0" w:line="272" w:lineRule="auto"/>
        <w:tabs>
          <w:tab w:leader="none" w:pos="998"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Executive Chair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69" w:lineRule="exact"/>
        <w:rPr>
          <w:rFonts w:ascii="Arial" w:cs="Arial" w:eastAsia="Arial" w:hAnsi="Arial"/>
          <w:sz w:val="17"/>
          <w:szCs w:val="17"/>
          <w:color w:val="auto"/>
        </w:rPr>
      </w:pPr>
    </w:p>
    <w:p>
      <w:pPr>
        <w:jc w:val="both"/>
        <w:ind w:left="360" w:firstLine="419"/>
        <w:spacing w:after="0" w:line="259" w:lineRule="auto"/>
        <w:tabs>
          <w:tab w:leader="none" w:pos="104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520" w:top="274" w:right="539" w:bottom="1440" w:gutter="0" w:footer="0" w:header="0"/>
        </w:sectPr>
      </w:pPr>
    </w:p>
    <w:bookmarkStart w:id="272" w:name="page273"/>
    <w:bookmarkEnd w:id="272"/>
    <w:p>
      <w:pPr>
        <w:ind w:firstLine="436"/>
        <w:spacing w:after="0" w:line="277" w:lineRule="auto"/>
        <w:tabs>
          <w:tab w:leader="none" w:pos="665"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Assistant Secretaries</w:t>
      </w:r>
      <w:r>
        <w:rPr>
          <w:rFonts w:ascii="Arial" w:cs="Arial" w:eastAsia="Arial" w:hAnsi="Arial"/>
          <w:sz w:val="18"/>
          <w:szCs w:val="18"/>
          <w:color w:val="auto"/>
        </w:rPr>
        <w:t>. The Assistant Secretary or, if there be more than one, the Assistant Secretaries in the order determined by the Board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absence (or inability or refusal to act) of the Secretary, perform the duties and have the powers of the Secretary.</w:t>
      </w:r>
    </w:p>
    <w:p>
      <w:pPr>
        <w:spacing w:after="0" w:line="62" w:lineRule="exact"/>
        <w:rPr>
          <w:rFonts w:ascii="Arial" w:cs="Arial" w:eastAsia="Arial" w:hAnsi="Arial"/>
          <w:sz w:val="18"/>
          <w:szCs w:val="18"/>
          <w:color w:val="auto"/>
        </w:rPr>
      </w:pPr>
    </w:p>
    <w:p>
      <w:pPr>
        <w:ind w:right="140" w:firstLine="436"/>
        <w:spacing w:after="0" w:line="311" w:lineRule="auto"/>
        <w:tabs>
          <w:tab w:leader="none" w:pos="695"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Chief Financial Officer</w:t>
      </w:r>
      <w:r>
        <w:rPr>
          <w:rFonts w:ascii="Arial" w:cs="Arial" w:eastAsia="Arial" w:hAnsi="Arial"/>
          <w:sz w:val="16"/>
          <w:szCs w:val="16"/>
          <w:color w:val="auto"/>
        </w:rPr>
        <w:t>. The Chief Financial Officer shall perform all duties commonly incident to that office (including, without limitation,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40" w:lineRule="exact"/>
        <w:rPr>
          <w:rFonts w:ascii="Arial" w:cs="Arial" w:eastAsia="Arial" w:hAnsi="Arial"/>
          <w:sz w:val="16"/>
          <w:szCs w:val="16"/>
          <w:color w:val="auto"/>
        </w:rPr>
      </w:pPr>
    </w:p>
    <w:p>
      <w:pPr>
        <w:ind w:right="120" w:firstLine="436"/>
        <w:spacing w:after="0" w:line="277" w:lineRule="auto"/>
        <w:tabs>
          <w:tab w:leader="none" w:pos="695"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w:t>
      </w:r>
      <w:r>
        <w:rPr>
          <w:rFonts w:ascii="Arial" w:cs="Arial" w:eastAsia="Arial" w:hAnsi="Arial"/>
          <w:sz w:val="18"/>
          <w:szCs w:val="18"/>
          <w:i w:val="1"/>
          <w:iCs w:val="1"/>
          <w:color w:val="auto"/>
        </w:rPr>
        <w:t xml:space="preserve"> </w:t>
      </w:r>
      <w:r>
        <w:rPr>
          <w:rFonts w:ascii="Arial" w:cs="Arial" w:eastAsia="Arial" w:hAnsi="Arial"/>
          <w:sz w:val="18"/>
          <w:szCs w:val="18"/>
          <w:color w:val="auto"/>
        </w:rPr>
        <w:t>powers of the Chief Financial Officer.</w:t>
      </w:r>
    </w:p>
    <w:p>
      <w:pPr>
        <w:spacing w:after="0" w:line="17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i w:val="1"/>
          <w:iCs w:val="1"/>
          <w:color w:val="auto"/>
        </w:rPr>
        <w:t>Term of Office; Removal; Vacancies</w:t>
      </w:r>
      <w:r>
        <w:rPr>
          <w:rFonts w:ascii="Arial" w:cs="Arial" w:eastAsia="Arial" w:hAnsi="Arial"/>
          <w:sz w:val="17"/>
          <w:szCs w:val="17"/>
          <w:color w:val="auto"/>
        </w:rPr>
        <w:t>. The elected officers of the Corporation shall be appointed by the Board and shall hold office 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Other Officers</w:t>
      </w:r>
      <w:r>
        <w:rPr>
          <w:rFonts w:ascii="Arial" w:cs="Arial" w:eastAsia="Arial" w:hAnsi="Arial"/>
          <w:sz w:val="18"/>
          <w:szCs w:val="18"/>
          <w:color w:val="auto"/>
        </w:rPr>
        <w:t>. The Board may delegate the power to appoint such other officers and agents, and may also remove such officers and agents or delegate the power to remove same, as it shall from time to time deem necessary or desirable.</w:t>
      </w:r>
    </w:p>
    <w:p>
      <w:pPr>
        <w:spacing w:after="0" w:line="170" w:lineRule="exact"/>
        <w:rPr>
          <w:sz w:val="20"/>
          <w:szCs w:val="20"/>
          <w:color w:val="auto"/>
        </w:rPr>
      </w:pPr>
    </w:p>
    <w:p>
      <w:pPr>
        <w:ind w:right="660" w:firstLine="440"/>
        <w:spacing w:after="0" w:line="342"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i w:val="1"/>
          <w:iCs w:val="1"/>
          <w:color w:val="auto"/>
        </w:rPr>
        <w:t>Multiple Officeholders; Stockholder and Director Officers</w:t>
      </w:r>
      <w:r>
        <w:rPr>
          <w:rFonts w:ascii="Arial" w:cs="Arial" w:eastAsia="Arial" w:hAnsi="Arial"/>
          <w:sz w:val="16"/>
          <w:szCs w:val="16"/>
          <w:color w:val="auto"/>
        </w:rPr>
        <w:t>. Any number of offices may be held by the same person unless the Certificate of Incorporation or these By Laws otherwise provide. Officers need not be stockholders or residents of the State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HARES</w:t>
      </w:r>
    </w:p>
    <w:p>
      <w:pPr>
        <w:spacing w:after="0" w:line="20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Certificated and Uncertificated Shares</w:t>
      </w:r>
      <w:r>
        <w:rPr>
          <w:rFonts w:ascii="Arial" w:cs="Arial" w:eastAsia="Arial" w:hAnsi="Arial"/>
          <w:sz w:val="18"/>
          <w:szCs w:val="18"/>
          <w:color w:val="auto"/>
        </w:rPr>
        <w:t>. The shares of the Corporation may be certificated or uncertificated, subject to the sole discretion of the Board and the requirements of the DGCL.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73" w:name="page274"/>
    <w:bookmarkEnd w:id="273"/>
    <w:p>
      <w:pPr>
        <w:ind w:left="4"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Arial" w:cs="Arial" w:eastAsia="Arial" w:hAnsi="Arial"/>
          <w:sz w:val="17"/>
          <w:szCs w:val="17"/>
          <w:i w:val="1"/>
          <w:iCs w:val="1"/>
          <w:color w:val="auto"/>
        </w:rPr>
        <w:t>Multiple Classes of Stock</w:t>
      </w:r>
      <w:r>
        <w:rPr>
          <w:rFonts w:ascii="Arial" w:cs="Arial" w:eastAsia="Arial" w:hAnsi="Arial"/>
          <w:sz w:val="17"/>
          <w:szCs w:val="17"/>
          <w:color w:val="auto"/>
        </w:rPr>
        <w:t xml:space="preserve">.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Signatures</w:t>
      </w:r>
      <w:r>
        <w:rPr>
          <w:rFonts w:ascii="Arial" w:cs="Arial" w:eastAsia="Arial" w:hAnsi="Arial"/>
          <w:sz w:val="16"/>
          <w:szCs w:val="16"/>
          <w:color w:val="auto"/>
        </w:rPr>
        <w:t>. Each certificate representing capital stock of the Corporation shall be signed by or in the name of the Corporation by</w:t>
      </w:r>
    </w:p>
    <w:p>
      <w:pPr>
        <w:spacing w:after="0" w:line="46" w:lineRule="exact"/>
        <w:rPr>
          <w:sz w:val="20"/>
          <w:szCs w:val="20"/>
          <w:color w:val="auto"/>
        </w:rPr>
      </w:pPr>
    </w:p>
    <w:p>
      <w:pPr>
        <w:ind w:left="4" w:right="60" w:hanging="4"/>
        <w:spacing w:after="0" w:line="253" w:lineRule="auto"/>
        <w:tabs>
          <w:tab w:leader="none" w:pos="24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Executive Chair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91"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i w:val="1"/>
          <w:iCs w:val="1"/>
          <w:color w:val="auto"/>
        </w:rPr>
        <w:t>Consideration and Payment for Shares.</w:t>
      </w:r>
      <w:r>
        <w:rPr>
          <w:rFonts w:ascii="Arial" w:cs="Arial" w:eastAsia="Arial" w:hAnsi="Arial"/>
          <w:sz w:val="17"/>
          <w:szCs w:val="17"/>
          <w:color w:val="auto"/>
        </w:rPr>
        <w:t xml:space="preserve"> (a) 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63" w:lineRule="exact"/>
        <w:rPr>
          <w:sz w:val="20"/>
          <w:szCs w:val="20"/>
          <w:color w:val="auto"/>
        </w:rPr>
      </w:pPr>
    </w:p>
    <w:p>
      <w:pPr>
        <w:jc w:val="both"/>
        <w:ind w:left="4" w:right="120" w:firstLine="436"/>
        <w:spacing w:after="0" w:line="301" w:lineRule="auto"/>
        <w:tabs>
          <w:tab w:leader="none" w:pos="69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4"/>
          </w:cols>
          <w:pgMar w:left="436" w:top="274" w:right="519" w:bottom="1440" w:gutter="0" w:footer="0" w:header="0"/>
        </w:sectPr>
      </w:pPr>
    </w:p>
    <w:bookmarkStart w:id="274" w:name="page275"/>
    <w:bookmarkEnd w:id="274"/>
    <w:p>
      <w:pPr>
        <w:ind w:right="20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7.5. </w:t>
      </w:r>
      <w:r>
        <w:rPr>
          <w:rFonts w:ascii="Arial" w:cs="Arial" w:eastAsia="Arial" w:hAnsi="Arial"/>
          <w:sz w:val="16"/>
          <w:szCs w:val="16"/>
          <w:i w:val="1"/>
          <w:iCs w:val="1"/>
          <w:color w:val="auto"/>
        </w:rPr>
        <w:t>Lost, Destroyed or Wrongfully Taken Certificates.</w:t>
      </w:r>
      <w:r>
        <w:rPr>
          <w:rFonts w:ascii="Arial" w:cs="Arial" w:eastAsia="Arial" w:hAnsi="Arial"/>
          <w:sz w:val="16"/>
          <w:szCs w:val="16"/>
          <w:color w:val="auto"/>
        </w:rPr>
        <w:t xml:space="preserve"> (a)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56" w:lineRule="exact"/>
        <w:rPr>
          <w:sz w:val="20"/>
          <w:szCs w:val="20"/>
          <w:color w:val="auto"/>
        </w:rPr>
      </w:pPr>
    </w:p>
    <w:p>
      <w:pPr>
        <w:ind w:right="20" w:firstLine="436"/>
        <w:spacing w:after="0" w:line="279" w:lineRule="auto"/>
        <w:tabs>
          <w:tab w:leader="none" w:pos="69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71"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Transfer of Stock.</w:t>
      </w:r>
      <w:r>
        <w:rPr>
          <w:rFonts w:ascii="Arial" w:cs="Arial" w:eastAsia="Arial" w:hAnsi="Arial"/>
          <w:sz w:val="18"/>
          <w:szCs w:val="18"/>
          <w:color w:val="auto"/>
        </w:rPr>
        <w:t xml:space="preserve"> (a) 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76" w:lineRule="exact"/>
        <w:rPr>
          <w:sz w:val="20"/>
          <w:szCs w:val="20"/>
          <w:color w:val="auto"/>
        </w:rPr>
      </w:pPr>
    </w:p>
    <w:p>
      <w:pPr>
        <w:ind w:left="1080" w:hanging="221"/>
        <w:spacing w:after="0"/>
        <w:tabs>
          <w:tab w:leader="none" w:pos="10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 with respect to certificated shares, the endorsement is made by the person specified by the certificate as entitled to such shares;</w:t>
      </w:r>
    </w:p>
    <w:p>
      <w:pPr>
        <w:spacing w:after="0" w:line="46" w:lineRule="exact"/>
        <w:rPr>
          <w:rFonts w:ascii="Arial" w:cs="Arial" w:eastAsia="Arial" w:hAnsi="Arial"/>
          <w:sz w:val="16"/>
          <w:szCs w:val="16"/>
          <w:color w:val="auto"/>
        </w:rPr>
      </w:pPr>
    </w:p>
    <w:p>
      <w:pPr>
        <w:ind w:left="440" w:right="160" w:hanging="4"/>
        <w:spacing w:after="0" w:line="255" w:lineRule="auto"/>
        <w:tabs>
          <w:tab w:leader="none" w:pos="72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81" w:lineRule="exact"/>
        <w:rPr>
          <w:rFonts w:ascii="Arial" w:cs="Arial" w:eastAsia="Arial" w:hAnsi="Arial"/>
          <w:sz w:val="18"/>
          <w:szCs w:val="18"/>
          <w:color w:val="auto"/>
        </w:rPr>
      </w:pPr>
    </w:p>
    <w:p>
      <w:pPr>
        <w:ind w:left="440" w:right="300" w:firstLine="419"/>
        <w:spacing w:after="0" w:line="277" w:lineRule="auto"/>
        <w:tabs>
          <w:tab w:leader="none" w:pos="117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transfer does not violate any restriction on transfer imposed by the Corporation that is enforceable in accordance with Section 7.8(a);</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117" w:lineRule="exact"/>
        <w:rPr>
          <w:sz w:val="20"/>
          <w:szCs w:val="20"/>
          <w:color w:val="auto"/>
        </w:rPr>
      </w:pPr>
    </w:p>
    <w:p>
      <w:pPr>
        <w:ind w:firstLine="436"/>
        <w:spacing w:after="0" w:line="286" w:lineRule="auto"/>
        <w:tabs>
          <w:tab w:leader="none" w:pos="69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75" w:name="page276"/>
    <w:bookmarkEnd w:id="275"/>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7.7. </w:t>
      </w:r>
      <w:r>
        <w:rPr>
          <w:rFonts w:ascii="Arial" w:cs="Arial" w:eastAsia="Arial" w:hAnsi="Arial"/>
          <w:sz w:val="18"/>
          <w:szCs w:val="18"/>
          <w:i w:val="1"/>
          <w:iCs w:val="1"/>
          <w:color w:val="auto"/>
        </w:rPr>
        <w:t>Registered Stockholders</w:t>
      </w:r>
      <w:r>
        <w:rPr>
          <w:rFonts w:ascii="Arial" w:cs="Arial" w:eastAsia="Arial" w:hAnsi="Arial"/>
          <w:sz w:val="18"/>
          <w:szCs w:val="18"/>
          <w:color w:val="auto"/>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95"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Effect of the Corporation’s Restriction on Transfer.</w:t>
      </w:r>
      <w:r>
        <w:rPr>
          <w:rFonts w:ascii="Arial" w:cs="Arial" w:eastAsia="Arial" w:hAnsi="Arial"/>
          <w:sz w:val="17"/>
          <w:szCs w:val="17"/>
          <w:color w:val="auto"/>
        </w:rPr>
        <w:t xml:space="preserve"> (a) 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70" w:lineRule="exact"/>
        <w:rPr>
          <w:sz w:val="20"/>
          <w:szCs w:val="20"/>
          <w:color w:val="auto"/>
        </w:rPr>
      </w:pPr>
    </w:p>
    <w:p>
      <w:pPr>
        <w:ind w:firstLine="436"/>
        <w:spacing w:after="0" w:line="257" w:lineRule="auto"/>
        <w:tabs>
          <w:tab w:leader="none" w:pos="69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prior to or within a reasonable time after the issuance or transfer of such shares.</w:t>
      </w:r>
    </w:p>
    <w:p>
      <w:pPr>
        <w:spacing w:after="0" w:line="18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Regulations</w:t>
      </w:r>
      <w:r>
        <w:rPr>
          <w:rFonts w:ascii="Arial" w:cs="Arial" w:eastAsia="Arial" w:hAnsi="Arial"/>
          <w:sz w:val="18"/>
          <w:szCs w:val="18"/>
          <w:color w:val="auto"/>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76" w:name="page277"/>
    <w:bookmarkEnd w:id="276"/>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p>
    <w:p>
      <w:pPr>
        <w:spacing w:after="0" w:line="20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i w:val="1"/>
          <w:iCs w:val="1"/>
          <w:color w:val="auto"/>
        </w:rPr>
        <w:t>Right to Indemnification</w:t>
      </w:r>
      <w:r>
        <w:rPr>
          <w:rFonts w:ascii="Arial" w:cs="Arial" w:eastAsia="Arial" w:hAnsi="Arial"/>
          <w:sz w:val="16"/>
          <w:szCs w:val="16"/>
          <w:color w:val="auto"/>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provided in Section 8.3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7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Right to Advancement of Expenses</w:t>
      </w:r>
      <w:r>
        <w:rPr>
          <w:rFonts w:ascii="Arial" w:cs="Arial" w:eastAsia="Arial" w:hAnsi="Arial"/>
          <w:sz w:val="18"/>
          <w:szCs w:val="18"/>
          <w:color w:val="auto"/>
        </w:rPr>
        <w:t>. In addition to the right to indemnification conferred in Section 8.1,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b w:val="1"/>
          <w:bCs w:val="1"/>
          <w:color w:val="auto"/>
        </w:rPr>
        <w:t>advancement of 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DGCL requires, an advancement of expenses incurred by an Indemnitee in his or her capacity as a director or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b w:val="1"/>
          <w:bCs w:val="1"/>
          <w:color w:val="auto"/>
        </w:rPr>
        <w:t>undertaking</w:t>
      </w:r>
      <w:r>
        <w:rPr>
          <w:rFonts w:ascii="Arial" w:cs="Arial" w:eastAsia="Arial" w:hAnsi="Arial"/>
          <w:sz w:val="18"/>
          <w:szCs w:val="18"/>
          <w:color w:val="auto"/>
        </w:rPr>
        <w:t>”), by or on behalf of such Indemnitee, to repay all amounts so advanced if it shall ultimately be determined that such Indemnitee is not entitled to be indemnified under this Article VIII or otherwise.</w:t>
      </w:r>
    </w:p>
    <w:p>
      <w:pPr>
        <w:spacing w:after="0" w:line="192"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Right of Indemnitee to Bring Suit</w:t>
      </w:r>
      <w:r>
        <w:rPr>
          <w:rFonts w:ascii="Arial" w:cs="Arial" w:eastAsia="Arial" w:hAnsi="Arial"/>
          <w:sz w:val="18"/>
          <w:szCs w:val="18"/>
          <w:color w:val="auto"/>
        </w:rPr>
        <w:t>. If a claim under Section 8.1 or Section 8.2 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67" w:right="459" w:bottom="1440" w:gutter="0" w:footer="0" w:header="0"/>
        </w:sectPr>
      </w:pPr>
    </w:p>
    <w:bookmarkStart w:id="277" w:name="page278"/>
    <w:bookmarkEnd w:id="27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7"/>
          <w:szCs w:val="17"/>
          <w:b w:val="1"/>
          <w:bCs w:val="1"/>
          <w:color w:val="auto"/>
        </w:rPr>
        <w:t>final</w:t>
      </w:r>
      <w:r>
        <w:rPr>
          <w:rFonts w:ascii="Arial" w:cs="Arial" w:eastAsia="Arial" w:hAnsi="Arial"/>
          <w:sz w:val="17"/>
          <w:szCs w:val="17"/>
          <w:color w:val="auto"/>
        </w:rPr>
        <w:t xml:space="preserve"> </w:t>
      </w:r>
      <w:r>
        <w:rPr>
          <w:rFonts w:ascii="Arial" w:cs="Arial" w:eastAsia="Arial" w:hAnsi="Arial"/>
          <w:sz w:val="17"/>
          <w:szCs w:val="17"/>
          <w:b w:val="1"/>
          <w:bCs w:val="1"/>
          <w:color w:val="auto"/>
        </w:rPr>
        <w:t>adjudication</w:t>
      </w:r>
      <w:r>
        <w:rPr>
          <w:rFonts w:ascii="Arial" w:cs="Arial" w:eastAsia="Arial" w:hAnsi="Arial"/>
          <w:sz w:val="17"/>
          <w:szCs w:val="17"/>
          <w:color w:val="auto"/>
        </w:rPr>
        <w:t>”) that, the Indemnitee has not met any applicable standard for indemnification set forth in the DGCL. Neither the failure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VIII or otherwise shall be on the Corporation.</w:t>
      </w:r>
    </w:p>
    <w:p>
      <w:pPr>
        <w:spacing w:after="0" w:line="18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i w:val="1"/>
          <w:iCs w:val="1"/>
          <w:color w:val="auto"/>
        </w:rPr>
        <w:t>Non-Exclusivity of Rights</w:t>
      </w:r>
      <w:r>
        <w:rPr>
          <w:rFonts w:ascii="Arial" w:cs="Arial" w:eastAsia="Arial" w:hAnsi="Arial"/>
          <w:sz w:val="18"/>
          <w:szCs w:val="18"/>
          <w:color w:val="auto"/>
        </w:rPr>
        <w:t>. The rights provided to any Indemnitee pursuant to this Article VIII shall not be exclusive of any other right, which such Indemnitee may have or hereafter acquire under applicable law, the Certificate of Incorporation, these By Laws, an agreement, a vote of stockholders or disinterested directors, or otherwise.</w:t>
      </w:r>
    </w:p>
    <w:p>
      <w:pPr>
        <w:spacing w:after="0" w:line="184"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i w:val="1"/>
          <w:iCs w:val="1"/>
          <w:color w:val="auto"/>
        </w:rPr>
        <w:t>Insurance</w:t>
      </w:r>
      <w:r>
        <w:rPr>
          <w:rFonts w:ascii="Arial" w:cs="Arial" w:eastAsia="Arial" w:hAnsi="Arial"/>
          <w:sz w:val="17"/>
          <w:szCs w:val="17"/>
          <w:color w:val="auto"/>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6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Indemnification of Other Persons</w:t>
      </w:r>
      <w:r>
        <w:rPr>
          <w:rFonts w:ascii="Arial" w:cs="Arial" w:eastAsia="Arial" w:hAnsi="Arial"/>
          <w:sz w:val="16"/>
          <w:szCs w:val="16"/>
          <w:color w:val="auto"/>
        </w:rPr>
        <w:t>. This Article VIII 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Article VIII with respect to the indemnification and advancement of expenses of Indemnitees under this Article VIII.</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78" w:name="page279"/>
    <w:bookmarkEnd w:id="278"/>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8.7. </w:t>
      </w:r>
      <w:r>
        <w:rPr>
          <w:rFonts w:ascii="Arial" w:cs="Arial" w:eastAsia="Arial" w:hAnsi="Arial"/>
          <w:sz w:val="17"/>
          <w:szCs w:val="17"/>
          <w:i w:val="1"/>
          <w:iCs w:val="1"/>
          <w:color w:val="auto"/>
        </w:rPr>
        <w:t>Amendments</w:t>
      </w:r>
      <w:r>
        <w:rPr>
          <w:rFonts w:ascii="Arial" w:cs="Arial" w:eastAsia="Arial" w:hAnsi="Arial"/>
          <w:sz w:val="17"/>
          <w:szCs w:val="17"/>
          <w:color w:val="auto"/>
        </w:rPr>
        <w:t xml:space="preserve">. Any repeal or amendment of this Article VIII by the Board or the stockholders of the Corporation or by changes in applicable law, or the adoption of any other provision of these By Laws inconsistent with this Article VIII,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amendments or repeals of this Article VIII shall require the affirmative vote of the stockholders holding at least 66.7% of the voting power</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outstanding shares of capital stock of the Corporation.</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i w:val="1"/>
          <w:iCs w:val="1"/>
          <w:color w:val="auto"/>
        </w:rPr>
        <w:t>Certain Definitions</w:t>
      </w:r>
      <w:r>
        <w:rPr>
          <w:rFonts w:ascii="Arial" w:cs="Arial" w:eastAsia="Arial" w:hAnsi="Arial"/>
          <w:sz w:val="16"/>
          <w:szCs w:val="16"/>
          <w:color w:val="auto"/>
        </w:rPr>
        <w:t>. For purposes of this Article VIII, (a) references to “</w:t>
      </w:r>
      <w:r>
        <w:rPr>
          <w:rFonts w:ascii="Arial" w:cs="Arial" w:eastAsia="Arial" w:hAnsi="Arial"/>
          <w:sz w:val="16"/>
          <w:szCs w:val="16"/>
          <w:b w:val="1"/>
          <w:bCs w:val="1"/>
          <w:color w:val="auto"/>
        </w:rPr>
        <w:t>other enterprise</w:t>
      </w:r>
      <w:r>
        <w:rPr>
          <w:rFonts w:ascii="Arial" w:cs="Arial" w:eastAsia="Arial" w:hAnsi="Arial"/>
          <w:sz w:val="16"/>
          <w:szCs w:val="16"/>
          <w:color w:val="auto"/>
        </w:rPr>
        <w:t>” shall include any employee benefit plan;</w:t>
      </w:r>
    </w:p>
    <w:p>
      <w:pPr>
        <w:spacing w:after="0" w:line="50" w:lineRule="exact"/>
        <w:rPr>
          <w:sz w:val="20"/>
          <w:szCs w:val="20"/>
          <w:color w:val="auto"/>
        </w:rPr>
      </w:pPr>
    </w:p>
    <w:p>
      <w:pPr>
        <w:ind w:left="4" w:right="140" w:hanging="4"/>
        <w:spacing w:after="0" w:line="253" w:lineRule="auto"/>
        <w:tabs>
          <w:tab w:leader="none" w:pos="25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any excise taxes assessed on a person with respect to an employee benefit plan; (c) references to “</w:t>
      </w:r>
      <w:r>
        <w:rPr>
          <w:rFonts w:ascii="Arial" w:cs="Arial" w:eastAsia="Arial" w:hAnsi="Arial"/>
          <w:sz w:val="18"/>
          <w:szCs w:val="18"/>
          <w:b w:val="1"/>
          <w:b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color w:val="auto"/>
        </w:rPr>
        <w:t>request of the Corporation</w:t>
      </w:r>
      <w:r>
        <w:rPr>
          <w:rFonts w:ascii="Arial" w:cs="Arial" w:eastAsia="Arial" w:hAnsi="Arial"/>
          <w:sz w:val="18"/>
          <w:szCs w:val="18"/>
          <w:color w:val="auto"/>
        </w:rPr>
        <w:t>” shall include any service that imposes duties on, or involves services by, a person with respect to any employee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91" w:lineRule="exact"/>
        <w:rPr>
          <w:sz w:val="20"/>
          <w:szCs w:val="20"/>
          <w:color w:val="auto"/>
        </w:rPr>
      </w:pPr>
    </w:p>
    <w:p>
      <w:pPr>
        <w:jc w:val="both"/>
        <w:ind w:left="4" w:right="640" w:firstLine="440"/>
        <w:spacing w:after="0" w:line="263"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i w:val="1"/>
          <w:iCs w:val="1"/>
          <w:color w:val="auto"/>
        </w:rPr>
        <w:t>Contract Rights</w:t>
      </w:r>
      <w:r>
        <w:rPr>
          <w:rFonts w:ascii="Arial" w:cs="Arial" w:eastAsia="Arial" w:hAnsi="Arial"/>
          <w:sz w:val="18"/>
          <w:szCs w:val="18"/>
          <w:color w:val="auto"/>
        </w:rPr>
        <w:t>. The rights provided to Indemnitees pursuant to this Article VIII shall be contract rights and such rights shall continue as to an Indemnitee who has ceased to be a director, officer, agent or employee and shall inure to the benefit of the Indemnitee’s heirs, executors and administrators.</w:t>
      </w:r>
    </w:p>
    <w:p>
      <w:pPr>
        <w:spacing w:after="0" w:line="18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or provisions of this Article VIII shall be held to be invalid, illegal or unenforceable for any reason whatsoever: (a) the validity, legality and enforceability of the remaining provisions of this Article VIII shall not in any way be affected or impaired thereby; and (b) to the fullest extent possible, the provisions of this Article VIII (including, without limitation, each such portion of this Article VIII containing any such provision held to be invalid, illegal or unenforceable) shall be construed so as to give effect to the intent manifested by the provision held invalid, illegal or unenforceable.</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ARTICLE IX</w:t>
      </w:r>
    </w:p>
    <w:p>
      <w:pPr>
        <w:spacing w:after="0" w:line="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209"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i w:val="1"/>
          <w:iCs w:val="1"/>
          <w:color w:val="auto"/>
        </w:rPr>
        <w:t>Place of Meetings</w:t>
      </w:r>
      <w:r>
        <w:rPr>
          <w:rFonts w:ascii="Arial" w:cs="Arial" w:eastAsia="Arial" w:hAnsi="Arial"/>
          <w:sz w:val="17"/>
          <w:szCs w:val="17"/>
          <w:color w:val="auto"/>
        </w:rPr>
        <w:t xml:space="preserve">. If the place of any meeting of stockholders, the Board or committee of the Board for which notice is required under these By Laws is not designated in the notice of such meeting, such meeting shall be held at the principal business office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if the Board has, in its sole discretion, determined that a meeting shall not be held at any place, but instead shall be held by means of</w:t>
      </w:r>
      <w:r>
        <w:rPr>
          <w:rFonts w:ascii="Arial" w:cs="Arial" w:eastAsia="Arial" w:hAnsi="Arial"/>
          <w:sz w:val="17"/>
          <w:szCs w:val="17"/>
          <w:i w:val="1"/>
          <w:iCs w:val="1"/>
          <w:color w:val="auto"/>
        </w:rPr>
        <w:t xml:space="preserve"> </w:t>
      </w:r>
      <w:r>
        <w:rPr>
          <w:rFonts w:ascii="Arial" w:cs="Arial" w:eastAsia="Arial" w:hAnsi="Arial"/>
          <w:sz w:val="17"/>
          <w:szCs w:val="17"/>
          <w:color w:val="auto"/>
        </w:rPr>
        <w:t>remote communication pursuant to Section 9.5 hereof, then such meeting shall not be held at any place.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79" w:name="page280"/>
    <w:bookmarkEnd w:id="279"/>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9.2. </w:t>
      </w:r>
      <w:r>
        <w:rPr>
          <w:rFonts w:ascii="Arial" w:cs="Arial" w:eastAsia="Arial" w:hAnsi="Arial"/>
          <w:sz w:val="16"/>
          <w:szCs w:val="16"/>
          <w:i w:val="1"/>
          <w:iCs w:val="1"/>
          <w:color w:val="auto"/>
        </w:rPr>
        <w:t>Fixing Record Dates</w:t>
      </w:r>
      <w:r>
        <w:rPr>
          <w:rFonts w:ascii="Arial" w:cs="Arial" w:eastAsia="Arial" w:hAnsi="Arial"/>
          <w:sz w:val="16"/>
          <w:szCs w:val="16"/>
          <w:color w:val="auto"/>
        </w:rPr>
        <w:t xml:space="preserve">. (a) In order that the Corporation may determine the stockholders entitled to notice of any meeting of stockholders or any adjournment thereof, the Board, or any committee thereof, may fix a record date, which shall not precede the date upon which the resolution fixing the record date is adopted by the Board, or such committee, and which record date shall not be more than 60 nor less than 10 days before the date of such meeting. If the Board, or such committee, so fixes a date, such date shall also be the record date for determining the stockholders entitled to vote at such meeting unless the Board, or such committee thereof determines, at the time it fixes such record date, that a later date on or before the date of the meeting shall be the date for making such determination. If no record date is fixed by the Board, or any committee thereof,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or any committee thereof,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9.2(a) at the adjourned meeting.</w:t>
      </w:r>
    </w:p>
    <w:p>
      <w:pPr>
        <w:spacing w:after="0" w:line="60" w:lineRule="exact"/>
        <w:rPr>
          <w:sz w:val="20"/>
          <w:szCs w:val="20"/>
          <w:color w:val="auto"/>
        </w:rPr>
      </w:pPr>
    </w:p>
    <w:p>
      <w:pPr>
        <w:ind w:right="100" w:firstLine="436"/>
        <w:spacing w:after="0" w:line="296" w:lineRule="auto"/>
        <w:tabs>
          <w:tab w:leader="none" w:pos="69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or any committee thereof,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Means of Giving Notice</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8" w:lineRule="auto"/>
        <w:tabs>
          <w:tab w:leader="none" w:pos="685"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Notice to Directors</w:t>
      </w:r>
      <w:r>
        <w:rPr>
          <w:rFonts w:ascii="Arial" w:cs="Arial" w:eastAsia="Arial" w:hAnsi="Arial"/>
          <w:sz w:val="16"/>
          <w:szCs w:val="16"/>
          <w:color w:val="auto"/>
        </w:rPr>
        <w:t>. Whenever under applicable law, the Certificate of Incorporation or these By Laws notice is required to be given to any</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(A) if given by hand delivery, orally, or by telephone, when actually received by the director, (B) if sent through the United States mail, when deposited in the United States mail, with postage and fees thereon prepaid, addressed to the director at the director’s address appearing on the records of the Corporation, (C)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80" w:name="page281"/>
    <w:bookmarkEnd w:id="280"/>
    <w:p>
      <w:pPr>
        <w:ind w:left="4" w:firstLine="436"/>
        <w:spacing w:after="0" w:line="283" w:lineRule="auto"/>
        <w:tabs>
          <w:tab w:leader="none" w:pos="699" w:val="left"/>
        </w:tabs>
        <w:numPr>
          <w:ilvl w:val="1"/>
          <w:numId w:val="20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Stockholders</w:t>
      </w:r>
      <w:r>
        <w:rPr>
          <w:rFonts w:ascii="Arial" w:cs="Arial" w:eastAsia="Arial" w:hAnsi="Arial"/>
          <w:sz w:val="16"/>
          <w:szCs w:val="16"/>
          <w:color w:val="auto"/>
        </w:rPr>
        <w:t>. Whenever under applicable law, the Certificate of Incorporation or these By Laws notice is required to be given to any</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(A) if given by hand delivery, when actually received by the stockholder, (B)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w:t>
      </w:r>
    </w:p>
    <w:p>
      <w:pPr>
        <w:ind w:left="4" w:right="220" w:hanging="4"/>
        <w:spacing w:after="0" w:line="323" w:lineRule="auto"/>
        <w:tabs>
          <w:tab w:leader="none" w:pos="25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such inability becomes known to the Secretary or an Assistant Secretary or to the Corporation’s transfer agent, or other person responsible for the giving of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inadvertent failure to treat such inability as a revocation shall not invalidate any meeting or other action.</w:t>
      </w:r>
    </w:p>
    <w:p>
      <w:pPr>
        <w:spacing w:after="0" w:line="26" w:lineRule="exact"/>
        <w:rPr>
          <w:rFonts w:ascii="Arial" w:cs="Arial" w:eastAsia="Arial" w:hAnsi="Arial"/>
          <w:sz w:val="16"/>
          <w:szCs w:val="16"/>
          <w:color w:val="auto"/>
        </w:rPr>
      </w:pPr>
    </w:p>
    <w:p>
      <w:pPr>
        <w:ind w:left="4" w:right="180" w:firstLine="436"/>
        <w:spacing w:after="0" w:line="261" w:lineRule="auto"/>
        <w:tabs>
          <w:tab w:leader="none" w:pos="689" w:val="left"/>
        </w:tabs>
        <w:numPr>
          <w:ilvl w:val="1"/>
          <w:numId w:val="202"/>
        </w:numPr>
        <w:rPr>
          <w:rFonts w:ascii="Arial" w:cs="Arial" w:eastAsia="Arial" w:hAnsi="Arial"/>
          <w:sz w:val="18"/>
          <w:szCs w:val="18"/>
          <w:color w:val="auto"/>
        </w:rPr>
      </w:pPr>
      <w:r>
        <w:rPr>
          <w:rFonts w:ascii="Arial" w:cs="Arial" w:eastAsia="Arial" w:hAnsi="Arial"/>
          <w:sz w:val="18"/>
          <w:szCs w:val="18"/>
          <w:i w:val="1"/>
          <w:iCs w:val="1"/>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any form of communication, not directly involving the physical transmission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4"/>
          </w:cols>
          <w:pgMar w:left="436" w:top="274" w:right="519" w:bottom="1440" w:gutter="0" w:footer="0" w:header="0"/>
        </w:sectPr>
      </w:pPr>
    </w:p>
    <w:bookmarkStart w:id="281" w:name="page282"/>
    <w:bookmarkEnd w:id="281"/>
    <w:p>
      <w:pPr>
        <w:ind w:right="60" w:firstLine="436"/>
        <w:spacing w:after="0" w:line="273" w:lineRule="auto"/>
        <w:tabs>
          <w:tab w:leader="none" w:pos="695"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Stockholders Sharing Same Address</w:t>
      </w:r>
      <w:r>
        <w:rPr>
          <w:rFonts w:ascii="Arial" w:cs="Arial" w:eastAsia="Arial" w:hAnsi="Arial"/>
          <w:sz w:val="17"/>
          <w:szCs w:val="17"/>
          <w:color w:val="auto"/>
        </w:rPr>
        <w:t>. Without limiting the manner by which notice otherwise may be given effectively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to stockholders, any notice to stockholders given by the Corporation under any provision of the DGCL, the Certificate of Incorporation or these By 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69" w:lineRule="exact"/>
        <w:rPr>
          <w:rFonts w:ascii="Arial" w:cs="Arial" w:eastAsia="Arial" w:hAnsi="Arial"/>
          <w:sz w:val="17"/>
          <w:szCs w:val="17"/>
          <w:color w:val="auto"/>
        </w:rPr>
      </w:pPr>
    </w:p>
    <w:p>
      <w:pPr>
        <w:ind w:firstLine="436"/>
        <w:spacing w:after="0" w:line="285" w:lineRule="auto"/>
        <w:tabs>
          <w:tab w:leader="none" w:pos="685" w:val="left"/>
        </w:tabs>
        <w:numPr>
          <w:ilvl w:val="0"/>
          <w:numId w:val="203"/>
        </w:numPr>
        <w:rPr>
          <w:rFonts w:ascii="Arial" w:cs="Arial" w:eastAsia="Arial" w:hAnsi="Arial"/>
          <w:sz w:val="16"/>
          <w:szCs w:val="16"/>
          <w:color w:val="auto"/>
        </w:rPr>
      </w:pPr>
      <w:r>
        <w:rPr>
          <w:rFonts w:ascii="Arial" w:cs="Arial" w:eastAsia="Arial" w:hAnsi="Arial"/>
          <w:sz w:val="16"/>
          <w:szCs w:val="16"/>
          <w:i w:val="1"/>
          <w:iCs w:val="1"/>
          <w:color w:val="auto"/>
        </w:rPr>
        <w:t>Exceptions to Notice Requirements</w:t>
      </w:r>
      <w:r>
        <w:rPr>
          <w:rFonts w:ascii="Arial" w:cs="Arial" w:eastAsia="Arial" w:hAnsi="Arial"/>
          <w:sz w:val="16"/>
          <w:szCs w:val="16"/>
          <w:color w:val="auto"/>
        </w:rPr>
        <w:t>. Whenever notice is required to be given, under the DGCL, the Certificate of Incorporation or these By</w:t>
      </w:r>
      <w:r>
        <w:rPr>
          <w:rFonts w:ascii="Arial" w:cs="Arial" w:eastAsia="Arial" w:hAnsi="Arial"/>
          <w:sz w:val="16"/>
          <w:szCs w:val="16"/>
          <w:i w:val="1"/>
          <w:iCs w:val="1"/>
          <w:color w:val="auto"/>
        </w:rPr>
        <w:t xml:space="preserve"> </w:t>
      </w:r>
      <w:r>
        <w:rPr>
          <w:rFonts w:ascii="Arial" w:cs="Arial" w:eastAsia="Arial" w:hAnsi="Arial"/>
          <w:sz w:val="16"/>
          <w:szCs w:val="16"/>
          <w:color w:val="auto"/>
        </w:rPr>
        <w:t>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 Whenever notice is required to be given by the Corporation, under any provision of the DGCL, the Certificate of Incorporation or these By Laws, to any stockholder to whom (i) notice of two consecutive annual meetings of stockholders and all notices of stockholder meetings or of the taking of action by written consent of stockholders without a meeting to such stockholder during the period between such two consecutive annual meetings, or (ii)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(i) of the first sentence of this paragraph to the requirement that notice be given shall not be applicable to any notice returned as undeliverable if the notice was given by electronic transmission.</w:t>
      </w:r>
    </w:p>
    <w:p>
      <w:pPr>
        <w:spacing w:after="0" w:line="390"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Waiver of Notice</w:t>
      </w:r>
      <w:r>
        <w:rPr>
          <w:rFonts w:ascii="Arial" w:cs="Arial" w:eastAsia="Arial" w:hAnsi="Arial"/>
          <w:sz w:val="16"/>
          <w:szCs w:val="16"/>
          <w:color w:val="auto"/>
        </w:rPr>
        <w:t>. Whenever any notice is required to be given under applicable law, the Certificate of Incorporation, or these By Laws, a written waiver of such notice, signed before or after the date of such meeting by the person or persons entitled to said notice, or a waiver by electronic transmission by the person entitled to said notice,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82" w:name="page283"/>
    <w:bookmarkEnd w:id="2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9.5. </w:t>
      </w:r>
      <w:r>
        <w:rPr>
          <w:rFonts w:ascii="Arial" w:cs="Arial" w:eastAsia="Arial" w:hAnsi="Arial"/>
          <w:sz w:val="18"/>
          <w:szCs w:val="18"/>
          <w:i w:val="1"/>
          <w:iCs w:val="1"/>
          <w:color w:val="auto"/>
        </w:rPr>
        <w:t>Meeting Attendance via Remote Communication Equipment</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63" w:lineRule="auto"/>
        <w:tabs>
          <w:tab w:leader="none" w:pos="685"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entitled to vote at such meeting and proxy holders not physically present at a meeting of stockholders may, by means of remote communication:</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7" w:lineRule="exact"/>
        <w:rPr>
          <w:rFonts w:ascii="Arial" w:cs="Arial" w:eastAsia="Arial" w:hAnsi="Arial"/>
          <w:sz w:val="18"/>
          <w:szCs w:val="18"/>
          <w:color w:val="auto"/>
        </w:rPr>
      </w:pPr>
    </w:p>
    <w:p>
      <w:pPr>
        <w:ind w:left="440" w:right="60" w:firstLine="419"/>
        <w:spacing w:after="0" w:line="291" w:lineRule="auto"/>
        <w:tabs>
          <w:tab w:leader="none" w:pos="1128" w:val="left"/>
        </w:tabs>
        <w:numPr>
          <w:ilvl w:val="1"/>
          <w:numId w:val="204"/>
        </w:numPr>
        <w:rPr>
          <w:rFonts w:ascii="Arial" w:cs="Arial" w:eastAsia="Arial" w:hAnsi="Arial"/>
          <w:sz w:val="16"/>
          <w:szCs w:val="16"/>
          <w:color w:val="auto"/>
        </w:rPr>
      </w:pPr>
      <w:r>
        <w:rPr>
          <w:rFonts w:ascii="Arial" w:cs="Arial" w:eastAsia="Arial" w:hAnsi="Arial"/>
          <w:sz w:val="16"/>
          <w:szCs w:val="16"/>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58" w:lineRule="exact"/>
        <w:rPr>
          <w:rFonts w:ascii="Arial" w:cs="Arial" w:eastAsia="Arial" w:hAnsi="Arial"/>
          <w:sz w:val="16"/>
          <w:szCs w:val="16"/>
          <w:color w:val="auto"/>
        </w:rPr>
      </w:pPr>
    </w:p>
    <w:p>
      <w:pPr>
        <w:ind w:firstLine="436"/>
        <w:spacing w:after="0" w:line="257" w:lineRule="auto"/>
        <w:tabs>
          <w:tab w:leader="none" w:pos="695"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Board Meetings</w:t>
      </w:r>
      <w:r>
        <w:rPr>
          <w:rFonts w:ascii="Arial" w:cs="Arial" w:eastAsia="Arial" w:hAnsi="Arial"/>
          <w:sz w:val="18"/>
          <w:szCs w:val="18"/>
          <w:color w:val="auto"/>
        </w:rPr>
        <w:t>. Unless otherwise restricted by applicable law, the Certificate of Incorporation or these By Laws, members of the Board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8"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i w:val="1"/>
          <w:iCs w:val="1"/>
          <w:color w:val="auto"/>
        </w:rPr>
        <w:t>Dividends</w:t>
      </w:r>
      <w:r>
        <w:rPr>
          <w:rFonts w:ascii="Arial" w:cs="Arial" w:eastAsia="Arial" w:hAnsi="Arial"/>
          <w:sz w:val="16"/>
          <w:szCs w:val="16"/>
          <w:color w:val="auto"/>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spacing w:after="0" w:line="12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i w:val="1"/>
          <w:iCs w:val="1"/>
          <w:color w:val="auto"/>
        </w:rPr>
        <w:t>Reserves</w:t>
      </w:r>
      <w:r>
        <w:rPr>
          <w:rFonts w:ascii="Arial" w:cs="Arial" w:eastAsia="Arial" w:hAnsi="Arial"/>
          <w:sz w:val="18"/>
          <w:szCs w:val="18"/>
          <w:color w:val="auto"/>
        </w:rPr>
        <w:t>. The Board may set apart out of the funds of the Corporation available for dividends a reserve or reserves for any proper purpose and may abolish any such reserve.</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i w:val="1"/>
          <w:iCs w:val="1"/>
          <w:color w:val="auto"/>
        </w:rPr>
        <w:t>Contracts and Negotiable Instruments</w:t>
      </w:r>
      <w:r>
        <w:rPr>
          <w:rFonts w:ascii="Arial" w:cs="Arial" w:eastAsia="Arial" w:hAnsi="Arial"/>
          <w:sz w:val="18"/>
          <w:szCs w:val="18"/>
          <w:color w:val="auto"/>
        </w:rPr>
        <w:t>. Except as otherwise provided by applicable law, the Certificate of Incorporation or these By 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3" w:name="page284"/>
    <w:bookmarkEnd w:id="28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 The Executive Chair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Executive Chair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i w:val="1"/>
          <w:iCs w:val="1"/>
          <w:color w:val="auto"/>
        </w:rPr>
        <w:t>Fiscal Year</w:t>
      </w:r>
      <w:r>
        <w:rPr>
          <w:rFonts w:ascii="Arial" w:cs="Arial" w:eastAsia="Arial" w:hAnsi="Arial"/>
          <w:sz w:val="18"/>
          <w:szCs w:val="18"/>
          <w:color w:val="auto"/>
        </w:rPr>
        <w:t>. The fiscal year of the Corporation shall be fixed by the Board.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i w:val="1"/>
          <w:iCs w:val="1"/>
          <w:color w:val="auto"/>
        </w:rPr>
        <w:t>Seal</w:t>
      </w:r>
      <w:r>
        <w:rPr>
          <w:rFonts w:ascii="Arial" w:cs="Arial" w:eastAsia="Arial" w:hAnsi="Arial"/>
          <w:sz w:val="18"/>
          <w:szCs w:val="18"/>
          <w:color w:val="auto"/>
        </w:rPr>
        <w:t>. The Board may adopt a corporate seal, which shall be in such form as the Board determines. The seal may be used by causing it or a facsimile thereof to be impressed, affixed or otherwise reproduced.</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i w:val="1"/>
          <w:iCs w:val="1"/>
          <w:color w:val="auto"/>
        </w:rPr>
        <w:t>Books and Records</w:t>
      </w:r>
      <w:r>
        <w:rPr>
          <w:rFonts w:ascii="Arial" w:cs="Arial" w:eastAsia="Arial" w:hAnsi="Arial"/>
          <w:sz w:val="18"/>
          <w:szCs w:val="18"/>
          <w:color w:val="auto"/>
        </w:rPr>
        <w:t>. The books and records of the Corporation may be kept within or outside the State of Delaware at such place or places as may from time to time be designated by the Board.</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i w:val="1"/>
          <w:iCs w:val="1"/>
          <w:color w:val="auto"/>
        </w:rPr>
        <w:t>Resignation</w:t>
      </w:r>
      <w:r>
        <w:rPr>
          <w:rFonts w:ascii="Arial" w:cs="Arial" w:eastAsia="Arial" w:hAnsi="Arial"/>
          <w:sz w:val="18"/>
          <w:szCs w:val="18"/>
          <w:color w:val="auto"/>
        </w:rPr>
        <w:t>. Any director, committee member or officer may resign by giving notice thereof in writing or by electronic transmission to the Executive Chair of the Board, the Chief Executive Officer, the President or the Secretary.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w:t>
      </w:r>
    </w:p>
    <w:p>
      <w:pPr>
        <w:spacing w:after="0" w:line="187"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i w:val="1"/>
          <w:iCs w:val="1"/>
          <w:color w:val="auto"/>
        </w:rPr>
        <w:t>Surety Bonds</w:t>
      </w:r>
      <w:r>
        <w:rPr>
          <w:rFonts w:ascii="Arial" w:cs="Arial" w:eastAsia="Arial" w:hAnsi="Arial"/>
          <w:sz w:val="17"/>
          <w:szCs w:val="17"/>
          <w:color w:val="auto"/>
        </w:rPr>
        <w:t>. Such officers, employees and agents of the Corporation (if any) as the Executive Chair of the Board, Chief Executive 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Executive Chair of the Board, Chief Executive Officer, President or the Board may determine. The premiums on such bonds shall be paid by the Corporation and the bonds so furnished shall be in the custody of the Secretary.</w:t>
      </w:r>
    </w:p>
    <w:p>
      <w:pPr>
        <w:spacing w:after="0" w:line="178"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i w:val="1"/>
          <w:iCs w:val="1"/>
          <w:color w:val="auto"/>
        </w:rPr>
        <w:t>Securities of Other Corporations</w:t>
      </w:r>
      <w:r>
        <w:rPr>
          <w:rFonts w:ascii="Arial" w:cs="Arial" w:eastAsia="Arial" w:hAnsi="Arial"/>
          <w:sz w:val="17"/>
          <w:szCs w:val="17"/>
          <w:color w:val="auto"/>
        </w:rPr>
        <w:t>. Powers of attorney, proxies, waivers of notice of meeting, consents in writing and other instruments relating to securities owned by the Corporation may be executed in the name of and on behalf of the Corporation by the Executive Chair of the Board, Chief Executive Officer, President, any Vice President or any officers authorized by the Board. Any such officer, may, in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84" w:name="page285"/>
    <w:bookmarkEnd w:id="28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i w:val="1"/>
          <w:iCs w:val="1"/>
          <w:color w:val="auto"/>
        </w:rPr>
        <w:t>Amendments</w:t>
      </w:r>
      <w:r>
        <w:rPr>
          <w:rFonts w:ascii="Arial" w:cs="Arial" w:eastAsia="Arial" w:hAnsi="Arial"/>
          <w:sz w:val="17"/>
          <w:szCs w:val="17"/>
          <w:color w:val="auto"/>
        </w:rPr>
        <w:t xml:space="preserve">. The Board shall have the power to adopt, amend, alter or repeal the By Laws. The affirmative vote of a majority of the Board shall be required to adopt, amend, alter or repeal the By Laws. The By Laws also may be adopted, amended, altered or repealed by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 of all outstanding shares of capital stock of the Corporation entitled to vote generally in the election of directors, voting together as a single class, shall be required for the stockholders to adopt, amend, alter or repeal the By Laws.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Exhibit 4.1</w:t>
            </w:r>
          </w:p>
        </w:tc>
        <w:tc>
          <w:tcPr>
            <w:tcW w:w="0" w:type="dxa"/>
            <w:vAlign w:val="bottom"/>
          </w:tcPr>
          <w:p>
            <w:pPr>
              <w:spacing w:after="0"/>
              <w:rPr>
                <w:sz w:val="1"/>
                <w:szCs w:val="1"/>
                <w:color w:val="auto"/>
              </w:rPr>
            </w:pPr>
          </w:p>
        </w:tc>
      </w:tr>
      <w:tr>
        <w:trPr>
          <w:trHeight w:val="445"/>
        </w:trPr>
        <w:tc>
          <w:tcPr>
            <w:tcW w:w="9040" w:type="dxa"/>
            <w:vAlign w:val="bottom"/>
          </w:tcPr>
          <w:p>
            <w:pPr>
              <w:spacing w:after="0"/>
              <w:rPr>
                <w:sz w:val="20"/>
                <w:szCs w:val="20"/>
                <w:color w:val="auto"/>
              </w:rPr>
            </w:pPr>
            <w:r>
              <w:rPr>
                <w:rFonts w:ascii="Arial" w:cs="Arial" w:eastAsia="Arial" w:hAnsi="Arial"/>
                <w:sz w:val="18"/>
                <w:szCs w:val="18"/>
                <w:color w:val="auto"/>
              </w:rPr>
              <w:t>NUMBER</w:t>
            </w:r>
          </w:p>
        </w:tc>
        <w:tc>
          <w:tcPr>
            <w:tcW w:w="1980" w:type="dxa"/>
            <w:vAlign w:val="bottom"/>
          </w:tcPr>
          <w:p>
            <w:pPr>
              <w:jc w:val="right"/>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C-</w:t>
            </w: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CUSIP 268010105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9040" w:type="dxa"/>
            <w:vAlign w:val="bottom"/>
          </w:tcPr>
          <w:p>
            <w:pPr>
              <w:spacing w:after="0"/>
              <w:rPr>
                <w:sz w:val="20"/>
                <w:szCs w:val="20"/>
                <w:color w:val="auto"/>
              </w:rPr>
            </w:pPr>
            <w:r>
              <w:rPr>
                <w:rFonts w:ascii="Arial" w:cs="Arial" w:eastAsia="Arial" w:hAnsi="Arial"/>
                <w:sz w:val="18"/>
                <w:szCs w:val="18"/>
                <w:color w:val="auto"/>
              </w:rPr>
              <w:t>SEE REVERSE FOR CERTAIN DEFINITIONS</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04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DYNAMICS SPECIAL PURPOSE CORP.</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4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INCORPORATED UNDER THE LAWS OF THE STATE OF DELAWARE</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4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CLASS A COMMON STOCK</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FULLY PAID AND NON-ASSESSABLE SHARES OF THE PAR VALUE OF $0.0001 EACH OF THE CLASS A COMMON STOCK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Dynamics Special Purpose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transferable on the books of the Company in person or by duly authorized attorney upon surrender of this certificate properly endorsed.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Company will be forced to redeem all of its shares of Class A common stock if it does not complete a business combination by</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2023 (or such later date the Company’s amended and restated certificate of incorporation may be amended to provide for), all as more fully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w w:val="99"/>
              </w:rPr>
              <w:t>described in the Company’s final prospectus dated</w:t>
            </w:r>
          </w:p>
        </w:tc>
        <w:tc>
          <w:tcPr>
            <w:tcW w:w="90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Witness the facsimile signatures of its duly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3145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306070</wp:posOffset>
            </wp:positionV>
            <wp:extent cx="21602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Chief Financial Officer</w:t>
      </w:r>
    </w:p>
    <w:p>
      <w:pPr>
        <w:sectPr>
          <w:pgSz w:w="11900" w:h="16838" w:orient="portrait"/>
          <w:cols w:equalWidth="0" w:num="1">
            <w:col w:w="11020"/>
          </w:cols>
          <w:pgMar w:left="440" w:top="121" w:right="4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DYNAMICS SPECIAL PURPOSE CORP.</w:t>
      </w:r>
    </w:p>
    <w:p>
      <w:pPr>
        <w:spacing w:after="0" w:line="229"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The Company will furnish without charge to each stockholder who so requests, the powers, designations, preferences and relative, participating, optional or other special rights of each class of stock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92"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TEN COM</w:t>
            </w:r>
          </w:p>
        </w:tc>
        <w:tc>
          <w:tcPr>
            <w:tcW w:w="3480" w:type="dxa"/>
            <w:vAlign w:val="bottom"/>
          </w:tcPr>
          <w:p>
            <w:pPr>
              <w:ind w:left="160"/>
              <w:spacing w:after="0"/>
              <w:rPr>
                <w:sz w:val="20"/>
                <w:szCs w:val="20"/>
                <w:color w:val="auto"/>
              </w:rPr>
            </w:pPr>
            <w:r>
              <w:rPr>
                <w:rFonts w:ascii="Arial" w:cs="Arial" w:eastAsia="Arial" w:hAnsi="Arial"/>
                <w:sz w:val="18"/>
                <w:szCs w:val="18"/>
                <w:color w:val="auto"/>
              </w:rPr>
              <w:t>–   as tenants in common    UNIF GIFT</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60" w:type="dxa"/>
            <w:vAlign w:val="bottom"/>
            <w:gridSpan w:val="2"/>
          </w:tcPr>
          <w:p>
            <w:pPr>
              <w:ind w:left="68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3480" w:type="dxa"/>
            <w:vAlign w:val="bottom"/>
          </w:tcPr>
          <w:p>
            <w:pPr>
              <w:ind w:left="2380"/>
              <w:spacing w:after="0"/>
              <w:rPr>
                <w:sz w:val="20"/>
                <w:szCs w:val="20"/>
                <w:color w:val="auto"/>
              </w:rPr>
            </w:pPr>
            <w:r>
              <w:rPr>
                <w:rFonts w:ascii="Arial" w:cs="Arial" w:eastAsia="Arial" w:hAnsi="Arial"/>
                <w:sz w:val="18"/>
                <w:szCs w:val="18"/>
                <w:color w:val="auto"/>
              </w:rPr>
              <w:t>MIN ACT</w:t>
            </w:r>
          </w:p>
        </w:tc>
        <w:tc>
          <w:tcPr>
            <w:tcW w:w="5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3480" w:type="dxa"/>
            <w:vAlign w:val="bottom"/>
            <w:vMerge w:val="restart"/>
          </w:tcPr>
          <w:p>
            <w:pPr>
              <w:ind w:left="160"/>
              <w:spacing w:after="0"/>
              <w:rPr>
                <w:sz w:val="20"/>
                <w:szCs w:val="20"/>
                <w:color w:val="auto"/>
              </w:rPr>
            </w:pPr>
            <w:r>
              <w:rPr>
                <w:rFonts w:ascii="Arial" w:cs="Arial" w:eastAsia="Arial" w:hAnsi="Arial"/>
                <w:sz w:val="18"/>
                <w:szCs w:val="18"/>
                <w:color w:val="auto"/>
              </w:rPr>
              <w:t>–   as tenants by the</w:t>
            </w:r>
          </w:p>
        </w:tc>
        <w:tc>
          <w:tcPr>
            <w:tcW w:w="5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vMerge w:val="continue"/>
          </w:tcPr>
          <w:p>
            <w:pPr>
              <w:spacing w:after="0"/>
              <w:rPr>
                <w:sz w:val="18"/>
                <w:szCs w:val="18"/>
                <w:color w:val="auto"/>
              </w:rPr>
            </w:pPr>
          </w:p>
        </w:tc>
        <w:tc>
          <w:tcPr>
            <w:tcW w:w="34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ind w:left="820"/>
              <w:spacing w:after="0"/>
              <w:rPr>
                <w:sz w:val="20"/>
                <w:szCs w:val="20"/>
                <w:color w:val="auto"/>
              </w:rPr>
            </w:pPr>
            <w:r>
              <w:rPr>
                <w:rFonts w:ascii="Arial" w:cs="Arial" w:eastAsia="Arial" w:hAnsi="Arial"/>
                <w:sz w:val="18"/>
                <w:szCs w:val="18"/>
                <w:color w:val="auto"/>
              </w:rPr>
              <w:t>(Cust)</w:t>
            </w:r>
          </w:p>
        </w:tc>
        <w:tc>
          <w:tcPr>
            <w:tcW w:w="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80" w:type="dxa"/>
            <w:vAlign w:val="bottom"/>
          </w:tcPr>
          <w:p>
            <w:pPr>
              <w:ind w:left="66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3480" w:type="dxa"/>
            <w:vAlign w:val="bottom"/>
          </w:tcPr>
          <w:p>
            <w:pPr>
              <w:ind w:left="500"/>
              <w:spacing w:after="0"/>
              <w:rPr>
                <w:sz w:val="20"/>
                <w:szCs w:val="20"/>
                <w:color w:val="auto"/>
              </w:rPr>
            </w:pPr>
            <w:r>
              <w:rPr>
                <w:rFonts w:ascii="Arial" w:cs="Arial" w:eastAsia="Arial" w:hAnsi="Arial"/>
                <w:sz w:val="18"/>
                <w:szCs w:val="18"/>
                <w:color w:val="auto"/>
              </w:rPr>
              <w:t>entireties</w:t>
            </w: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JT TEN</w:t>
            </w:r>
          </w:p>
        </w:tc>
        <w:tc>
          <w:tcPr>
            <w:tcW w:w="3480" w:type="dxa"/>
            <w:vAlign w:val="bottom"/>
          </w:tcPr>
          <w:p>
            <w:pPr>
              <w:ind w:left="160"/>
              <w:spacing w:after="0"/>
              <w:rPr>
                <w:sz w:val="20"/>
                <w:szCs w:val="20"/>
                <w:color w:val="auto"/>
              </w:rPr>
            </w:pPr>
            <w:r>
              <w:rPr>
                <w:rFonts w:ascii="Arial" w:cs="Arial" w:eastAsia="Arial" w:hAnsi="Arial"/>
                <w:sz w:val="18"/>
                <w:szCs w:val="18"/>
                <w:color w:val="auto"/>
              </w:rPr>
              <w:t>–   as joint tenants with</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3480" w:type="dxa"/>
            <w:vAlign w:val="bottom"/>
          </w:tcPr>
          <w:p>
            <w:pPr>
              <w:ind w:left="500"/>
              <w:spacing w:after="0"/>
              <w:rPr>
                <w:sz w:val="20"/>
                <w:szCs w:val="20"/>
                <w:color w:val="auto"/>
              </w:rPr>
            </w:pPr>
            <w:r>
              <w:rPr>
                <w:rFonts w:ascii="Arial" w:cs="Arial" w:eastAsia="Arial" w:hAnsi="Arial"/>
                <w:sz w:val="18"/>
                <w:szCs w:val="18"/>
                <w:color w:val="auto"/>
              </w:rPr>
              <w:t>right of survivorship</w:t>
            </w:r>
          </w:p>
        </w:tc>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40" w:type="dxa"/>
            <w:vAlign w:val="bottom"/>
            <w:gridSpan w:val="3"/>
          </w:tcPr>
          <w:p>
            <w:pPr>
              <w:ind w:left="240"/>
              <w:spacing w:after="0"/>
              <w:rPr>
                <w:sz w:val="20"/>
                <w:szCs w:val="20"/>
                <w:color w:val="auto"/>
              </w:rPr>
            </w:pPr>
            <w:r>
              <w:rPr>
                <w:rFonts w:ascii="Arial" w:cs="Arial" w:eastAsia="Arial" w:hAnsi="Arial"/>
                <w:sz w:val="18"/>
                <w:szCs w:val="18"/>
                <w:color w:val="auto"/>
              </w:rPr>
              <w:t>under Uniform Gifts to Minors Act</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3480" w:type="dxa"/>
            <w:vAlign w:val="bottom"/>
          </w:tcPr>
          <w:p>
            <w:pPr>
              <w:ind w:left="500"/>
              <w:spacing w:after="0" w:line="201" w:lineRule="exact"/>
              <w:rPr>
                <w:sz w:val="20"/>
                <w:szCs w:val="20"/>
                <w:color w:val="auto"/>
              </w:rPr>
            </w:pPr>
            <w:r>
              <w:rPr>
                <w:rFonts w:ascii="Arial" w:cs="Arial" w:eastAsia="Arial" w:hAnsi="Arial"/>
                <w:sz w:val="18"/>
                <w:szCs w:val="18"/>
                <w:color w:val="auto"/>
              </w:rPr>
              <w:t>and not as tenants in</w:t>
            </w: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3480" w:type="dxa"/>
            <w:vAlign w:val="bottom"/>
            <w:vMerge w:val="restart"/>
          </w:tcPr>
          <w:p>
            <w:pPr>
              <w:ind w:left="500"/>
              <w:spacing w:after="0"/>
              <w:rPr>
                <w:sz w:val="20"/>
                <w:szCs w:val="20"/>
                <w:color w:val="auto"/>
              </w:rPr>
            </w:pPr>
            <w:r>
              <w:rPr>
                <w:rFonts w:ascii="Arial" w:cs="Arial" w:eastAsia="Arial" w:hAnsi="Arial"/>
                <w:sz w:val="18"/>
                <w:szCs w:val="18"/>
                <w:color w:val="auto"/>
              </w:rPr>
              <w:t>common</w:t>
            </w:r>
          </w:p>
        </w:tc>
        <w:tc>
          <w:tcPr>
            <w:tcW w:w="54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960" w:type="dxa"/>
            <w:vAlign w:val="bottom"/>
            <w:gridSpan w:val="2"/>
            <w:vMerge w:val="restart"/>
          </w:tcPr>
          <w:p>
            <w:pPr>
              <w:ind w:left="12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Additional abbreviations may also be used though not in the above list.</w:t>
      </w:r>
    </w:p>
    <w:p>
      <w:pPr>
        <w:sectPr>
          <w:pgSz w:w="11900" w:h="16838" w:orient="portrait"/>
          <w:cols w:equalWidth="0" w:num="1">
            <w:col w:w="11020"/>
          </w:cols>
          <w:pgMar w:left="440" w:top="270" w:right="439" w:bottom="1440" w:gutter="0" w:footer="0" w:header="0"/>
        </w:sectPr>
      </w:pPr>
    </w:p>
    <w:bookmarkStart w:id="287" w:name="page288"/>
    <w:bookmarkEnd w:id="287"/>
    <w:p>
      <w:pPr>
        <w:ind w:left="1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value received, _______________________ hereby sells, assigns and transfers unto ______________</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 Shares of the capital stock represented by the within Certificate, and hereby irrevocably constitutes and appoints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 Attorney to transfer the said stock on the books of the within named Company with full power of substitution in the premises.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65665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NOTICE: THE SIGNATURE(S) TO THIS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ASSIGNMENT MUST CORRESPOND WITH THE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AS WRITTEN UPON THE FACE OF THE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CERTIFICATE IN EVERY PARTICULAR,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WITHOUT ALTERATION OR ENLARGEMENT 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ANY CHANGE WHATEVER.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36277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193" w:lineRule="exact"/>
        <w:rPr>
          <w:sz w:val="20"/>
          <w:szCs w:val="20"/>
          <w:color w:val="auto"/>
        </w:rPr>
      </w:pPr>
    </w:p>
    <w:p>
      <w:pPr>
        <w:jc w:val="both"/>
        <w:ind w:right="40" w:firstLine="440"/>
        <w:spacing w:after="0" w:line="287" w:lineRule="auto"/>
        <w:rPr>
          <w:sz w:val="20"/>
          <w:szCs w:val="20"/>
          <w:color w:val="auto"/>
        </w:rPr>
      </w:pPr>
      <w:r>
        <w:rPr>
          <w:rFonts w:ascii="Arial" w:cs="Arial" w:eastAsia="Arial" w:hAnsi="Arial"/>
          <w:sz w:val="16"/>
          <w:szCs w:val="16"/>
          <w:color w:val="auto"/>
        </w:rPr>
        <w:t>In each case, as more fully described in the Company’s final prospectus dated , 2021, the holder(s) of this certificate shall be entitled to receive a pro-rata portion of certain funds held in the trust account established in connection with the Company’s initial public offering only in the event that (i) the Company redeems the shares of Class A common stock sold in the Company’s initial public offering and liquidates because it does not</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consummate an initial business combination by , 2023 (or such later date as the Company’s amended and restated certificate of incorporation may be amended to provide for), (ii) the Company offers to redeem the shares of Class A common stock sold in its initial public offering in connection with a stockholder vote to amend the Company’s amended and restated certificate of incorporation (A) to modify the substance or timing of the Company’s obligation to allow redemption in connection with the Company’s initial business combination or the Company’s obligation to redeem 100%</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of such Class A common stock if it does not consummate an initial business combination by , 2023 or (B) with respect to any other provision relating to stockholders’ rights or pre-initial business combination activity, and the holder(s) of this certificate elects to have the shares of Class A common stock held by him, her or it redeemed pursuant to that offer, or (iii) if the holder(s) seek(s) to redeem for cash his, her or its respective shares of Class A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ectPr>
          <w:pgSz w:w="11900" w:h="16838" w:orient="portrait"/>
          <w:cols w:equalWidth="0" w:num="1">
            <w:col w:w="11000"/>
          </w:cols>
          <w:pgMar w:left="440" w:top="274" w:right="459" w:bottom="1440" w:gutter="0" w:footer="0" w:header="0"/>
        </w:sectPr>
      </w:pPr>
    </w:p>
    <w:bookmarkStart w:id="288" w:name="page289"/>
    <w:bookmarkEnd w:id="288"/>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020"/>
          </w:cols>
          <w:pgMar w:left="440" w:top="121" w:right="439" w:bottom="1440" w:gutter="0" w:footer="0" w:header="0"/>
        </w:sectPr>
      </w:pPr>
    </w:p>
    <w:p>
      <w:pPr>
        <w:spacing w:after="0" w:line="271"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New York</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auto"/>
        </w:rPr>
        <w:t>Northern California</w:t>
      </w:r>
    </w:p>
    <w:p>
      <w:pPr>
        <w:ind w:left="5920"/>
        <w:spacing w:after="0" w:line="221" w:lineRule="auto"/>
        <w:rPr>
          <w:sz w:val="20"/>
          <w:szCs w:val="20"/>
          <w:color w:val="auto"/>
        </w:rPr>
      </w:pPr>
      <w:r>
        <w:rPr>
          <w:rFonts w:ascii="Arial" w:cs="Arial" w:eastAsia="Arial" w:hAnsi="Arial"/>
          <w:sz w:val="14"/>
          <w:szCs w:val="14"/>
          <w:b w:val="1"/>
          <w:bCs w:val="1"/>
          <w:color w:val="auto"/>
        </w:rPr>
        <w:t>Washington DC</w:t>
      </w:r>
    </w:p>
    <w:p>
      <w:pPr>
        <w:ind w:left="5920"/>
        <w:spacing w:after="0" w:line="221" w:lineRule="auto"/>
        <w:rPr>
          <w:sz w:val="20"/>
          <w:szCs w:val="20"/>
          <w:color w:val="auto"/>
        </w:rPr>
      </w:pPr>
      <w:r>
        <w:rPr>
          <w:rFonts w:ascii="Arial" w:cs="Arial" w:eastAsia="Arial" w:hAnsi="Arial"/>
          <w:sz w:val="14"/>
          <w:szCs w:val="14"/>
          <w:b w:val="1"/>
          <w:bCs w:val="1"/>
          <w:color w:val="auto"/>
        </w:rPr>
        <w:t>São Paulo</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5080</wp:posOffset>
            </wp:positionV>
            <wp:extent cx="1337310" cy="2654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3731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1" w:lineRule="auto"/>
        <w:rPr>
          <w:sz w:val="20"/>
          <w:szCs w:val="20"/>
          <w:color w:val="auto"/>
        </w:rPr>
      </w:pPr>
      <w:r>
        <w:rPr>
          <w:rFonts w:ascii="Arial" w:cs="Arial" w:eastAsia="Arial" w:hAnsi="Arial"/>
          <w:sz w:val="14"/>
          <w:szCs w:val="14"/>
          <w:b w:val="1"/>
          <w:bCs w:val="1"/>
          <w:color w:val="auto"/>
        </w:rPr>
        <w:t>Tokyo</w:t>
      </w:r>
    </w:p>
    <w:p>
      <w:pPr>
        <w:spacing w:after="0" w:line="222"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3"/>
          <w:szCs w:val="13"/>
          <w:b w:val="1"/>
          <w:bCs w:val="1"/>
          <w:color w:val="auto"/>
        </w:rPr>
        <w:t>Hong Kong</w:t>
      </w:r>
    </w:p>
    <w:p>
      <w:pPr>
        <w:spacing w:after="0" w:line="211" w:lineRule="exact"/>
        <w:rPr>
          <w:sz w:val="20"/>
          <w:szCs w:val="20"/>
          <w:color w:val="auto"/>
        </w:rPr>
      </w:pPr>
    </w:p>
    <w:p>
      <w:pPr>
        <w:sectPr>
          <w:pgSz w:w="11900" w:h="16838" w:orient="portrait"/>
          <w:cols w:equalWidth="0" w:num="2">
            <w:col w:w="7980" w:space="720"/>
            <w:col w:w="2320"/>
          </w:cols>
          <w:pgMar w:left="440" w:top="121" w:right="439" w:bottom="1440" w:gutter="0" w:footer="0" w:header="0"/>
          <w:type w:val="continuous"/>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1780" w:type="dxa"/>
            <w:vAlign w:val="bottom"/>
          </w:tcPr>
          <w:p>
            <w:pPr>
              <w:spacing w:after="0"/>
              <w:rPr>
                <w:sz w:val="14"/>
                <w:szCs w:val="14"/>
                <w:color w:val="auto"/>
              </w:rPr>
            </w:pPr>
          </w:p>
        </w:tc>
      </w:tr>
      <w:tr>
        <w:trPr>
          <w:trHeight w:val="148"/>
        </w:trPr>
        <w:tc>
          <w:tcPr>
            <w:tcW w:w="2420" w:type="dxa"/>
            <w:vAlign w:val="bottom"/>
          </w:tcPr>
          <w:p>
            <w:pPr>
              <w:spacing w:after="0" w:line="149" w:lineRule="exact"/>
              <w:rPr>
                <w:sz w:val="20"/>
                <w:szCs w:val="20"/>
                <w:color w:val="auto"/>
              </w:rPr>
            </w:pPr>
            <w:r>
              <w:rPr>
                <w:rFonts w:ascii="Arial" w:cs="Arial" w:eastAsia="Arial" w:hAnsi="Arial"/>
                <w:sz w:val="14"/>
                <w:szCs w:val="14"/>
                <w:color w:val="auto"/>
              </w:rPr>
              <w:t>450 Lexington Avenue</w:t>
            </w:r>
          </w:p>
        </w:tc>
        <w:tc>
          <w:tcPr>
            <w:tcW w:w="1780" w:type="dxa"/>
            <w:vAlign w:val="bottom"/>
          </w:tcPr>
          <w:p>
            <w:pPr>
              <w:ind w:left="760"/>
              <w:spacing w:after="0" w:line="149" w:lineRule="exact"/>
              <w:rPr>
                <w:sz w:val="20"/>
                <w:szCs w:val="20"/>
                <w:color w:val="auto"/>
              </w:rPr>
            </w:pPr>
            <w:r>
              <w:rPr>
                <w:rFonts w:ascii="Arial" w:cs="Arial" w:eastAsia="Arial" w:hAnsi="Arial"/>
                <w:sz w:val="14"/>
                <w:szCs w:val="14"/>
                <w:color w:val="auto"/>
                <w:w w:val="95"/>
              </w:rPr>
              <w:t>212 450 4000 tel</w:t>
            </w:r>
          </w:p>
        </w:tc>
      </w:tr>
      <w:tr>
        <w:trPr>
          <w:trHeight w:val="182"/>
        </w:trPr>
        <w:tc>
          <w:tcPr>
            <w:tcW w:w="2420" w:type="dxa"/>
            <w:vAlign w:val="bottom"/>
          </w:tcPr>
          <w:p>
            <w:pPr>
              <w:spacing w:after="0"/>
              <w:rPr>
                <w:sz w:val="20"/>
                <w:szCs w:val="20"/>
                <w:color w:val="auto"/>
              </w:rPr>
            </w:pPr>
            <w:r>
              <w:rPr>
                <w:rFonts w:ascii="Arial" w:cs="Arial" w:eastAsia="Arial" w:hAnsi="Arial"/>
                <w:sz w:val="14"/>
                <w:szCs w:val="14"/>
                <w:color w:val="auto"/>
              </w:rPr>
              <w:t>New York, NY 10017</w:t>
            </w:r>
          </w:p>
        </w:tc>
        <w:tc>
          <w:tcPr>
            <w:tcW w:w="1780" w:type="dxa"/>
            <w:vAlign w:val="bottom"/>
          </w:tcPr>
          <w:p>
            <w:pPr>
              <w:ind w:left="760"/>
              <w:spacing w:after="0"/>
              <w:rPr>
                <w:sz w:val="20"/>
                <w:szCs w:val="20"/>
                <w:color w:val="auto"/>
              </w:rPr>
            </w:pPr>
            <w:r>
              <w:rPr>
                <w:rFonts w:ascii="Arial" w:cs="Arial" w:eastAsia="Arial" w:hAnsi="Arial"/>
                <w:sz w:val="14"/>
                <w:szCs w:val="14"/>
                <w:color w:val="auto"/>
                <w:w w:val="92"/>
              </w:rPr>
              <w:t>212 701 5800 fax</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May [•],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Dynamics Special Purpose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2875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Dynamics Special Purpose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has filed with the Securities and Exchange Commission a Registration Statement on Form S-1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20,000,000 shares of its Class A common stock, par value $0.0001 per share (the “</w:t>
      </w:r>
      <w:r>
        <w:rPr>
          <w:rFonts w:ascii="Arial" w:cs="Arial" w:eastAsia="Arial" w:hAnsi="Arial"/>
          <w:sz w:val="17"/>
          <w:szCs w:val="17"/>
          <w:b w:val="1"/>
          <w:bCs w:val="1"/>
          <w:color w:val="auto"/>
        </w:rPr>
        <w:t>Shares</w:t>
      </w:r>
      <w:r>
        <w:rPr>
          <w:rFonts w:ascii="Arial" w:cs="Arial" w:eastAsia="Arial" w:hAnsi="Arial"/>
          <w:sz w:val="17"/>
          <w:szCs w:val="17"/>
          <w:color w:val="auto"/>
        </w:rPr>
        <w:t>”), including 3,000,000 Shares subject to the underwriters’ over-allotment option, as described in the Registration Statement.</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Based upon the foregoing, we advise you that, in our opinion, when the price at which the Shares to be sold has been approved by or on behalf of the Board of Directors of the Company and when the Shares have been issued and delivered against payment therefor in accordance with the terms of the Underwriting Agreement referred to in the prospectus which is a part of the Registration Statement, the Shares will be validly issued, fully paid and non-assessable.</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020"/>
          </w:cols>
          <w:pgMar w:left="440" w:top="121" w:right="439" w:bottom="1440" w:gutter="0" w:footer="0" w:header="0"/>
          <w:type w:val="continuous"/>
        </w:sectPr>
      </w:pPr>
    </w:p>
    <w:bookmarkStart w:id="289" w:name="page290"/>
    <w:bookmarkEnd w:id="289"/>
    <w:p>
      <w:pPr>
        <w:ind w:left="10084"/>
        <w:spacing w:after="0"/>
        <w:rPr>
          <w:sz w:val="20"/>
          <w:szCs w:val="20"/>
          <w:color w:val="auto"/>
        </w:rPr>
      </w:pPr>
      <w:r>
        <w:rPr>
          <w:rFonts w:ascii="Arial" w:cs="Arial" w:eastAsia="Arial" w:hAnsi="Arial"/>
          <w:sz w:val="16"/>
          <w:szCs w:val="16"/>
          <w:b w:val="1"/>
          <w:bCs w:val="1"/>
          <w:color w:val="auto"/>
        </w:rPr>
        <w:t>Exhibit 10.1</w:t>
      </w:r>
    </w:p>
    <w:p>
      <w:pPr>
        <w:spacing w:after="0" w:line="50" w:lineRule="exact"/>
        <w:rPr>
          <w:sz w:val="20"/>
          <w:szCs w:val="20"/>
          <w:color w:val="auto"/>
        </w:rPr>
      </w:pPr>
    </w:p>
    <w:p>
      <w:pPr>
        <w:ind w:left="10004"/>
        <w:spacing w:after="0"/>
        <w:rPr>
          <w:sz w:val="20"/>
          <w:szCs w:val="20"/>
          <w:color w:val="auto"/>
        </w:rPr>
      </w:pPr>
      <w:r>
        <w:rPr>
          <w:rFonts w:ascii="Arial" w:cs="Arial" w:eastAsia="Arial" w:hAnsi="Arial"/>
          <w:sz w:val="16"/>
          <w:szCs w:val="16"/>
          <w:color w:val="auto"/>
        </w:rPr>
        <w:t>[_____], 2021</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color w:val="auto"/>
        </w:rPr>
        <w:t>Dynamics Special Purpose Corp.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2875 El Camino Real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Redwood City, California 94061</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Initial Public Offering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This letter (this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between Dynamics Special Purpose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J.P. Morgan Securities LLC, as underwriter (the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of 20,000,000 of the Company’s Class A common stock, par value $0.0001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(including 3,000,000 shares of Common Stock that may be purchased pursuant to the Underwriters’ option to purchase shares of Common Stock to cover over-allotments. The Common Stock will be sold in the Public Offering pursuant to a registration statement on Form S-1 and a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filed by the Company with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xml:space="preserve">”). Certain capitalized terms used herein are defined in </w:t>
      </w:r>
      <w:r>
        <w:rPr>
          <w:rFonts w:ascii="Arial" w:cs="Arial" w:eastAsia="Arial" w:hAnsi="Arial"/>
          <w:sz w:val="17"/>
          <w:szCs w:val="17"/>
          <w:u w:val="single" w:color="auto"/>
          <w:color w:val="auto"/>
        </w:rPr>
        <w:t>paragraph 1</w:t>
      </w:r>
      <w:r>
        <w:rPr>
          <w:rFonts w:ascii="Arial" w:cs="Arial" w:eastAsia="Arial" w:hAnsi="Arial"/>
          <w:sz w:val="17"/>
          <w:szCs w:val="17"/>
          <w:color w:val="auto"/>
        </w:rPr>
        <w:t xml:space="preserve"> hereof.</w:t>
      </w:r>
    </w:p>
    <w:p>
      <w:pPr>
        <w:spacing w:after="0" w:line="177" w:lineRule="exact"/>
        <w:rPr>
          <w:sz w:val="20"/>
          <w:szCs w:val="20"/>
          <w:color w:val="auto"/>
        </w:rPr>
      </w:pPr>
    </w:p>
    <w:p>
      <w:pPr>
        <w:jc w:val="both"/>
        <w:ind w:left="4" w:right="220"/>
        <w:spacing w:after="0" w:line="286"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Public Offering and for other good and valuable consideration, the receipt and sufficiency of which are hereby acknowledged, Dynamics Sponsor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each of the undersigned (each, an “</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 hereby agree with the Company as follows:</w:t>
      </w:r>
    </w:p>
    <w:p>
      <w:pPr>
        <w:spacing w:after="0" w:line="57" w:lineRule="exact"/>
        <w:rPr>
          <w:sz w:val="20"/>
          <w:szCs w:val="20"/>
          <w:color w:val="auto"/>
        </w:rPr>
      </w:pPr>
    </w:p>
    <w:p>
      <w:pPr>
        <w:ind w:left="4" w:right="20" w:hanging="4"/>
        <w:spacing w:after="0" w:line="286" w:lineRule="auto"/>
        <w:tabs>
          <w:tab w:leader="none" w:pos="184"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share exchange, asset acquisition, share purchase, reorganization or similar business combination with one or more businesses or entities; (ii)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the 5,750,000 shares of the Company’s Class B common stock, par value $0.0001 per share, outstanding prior to the consummation of the Public Offering; (iii) “</w:t>
      </w:r>
      <w:r>
        <w:rPr>
          <w:rFonts w:ascii="Arial" w:cs="Arial" w:eastAsia="Arial" w:hAnsi="Arial"/>
          <w:sz w:val="16"/>
          <w:szCs w:val="16"/>
          <w:b w:val="1"/>
          <w:bCs w:val="1"/>
          <w:i w:val="1"/>
          <w:iCs w:val="1"/>
          <w:color w:val="auto"/>
        </w:rPr>
        <w:t>Private Placement Shares</w:t>
      </w:r>
      <w:r>
        <w:rPr>
          <w:rFonts w:ascii="Arial" w:cs="Arial" w:eastAsia="Arial" w:hAnsi="Arial"/>
          <w:sz w:val="16"/>
          <w:szCs w:val="16"/>
          <w:color w:val="auto"/>
        </w:rPr>
        <w:t>” shall mean the shares of Common Stock of the Company that will be acquired by the Sponsor for an aggregate purchase price of $6,555,000 (or up to $7,155,000 if the Underwriters’ exercise their option to purchase additional shares of Common Stock in full), at $10.00 per share, in a private placement that shall close simultaneously with the consummation of the Public Offering; (iv) “</w:t>
      </w:r>
      <w:r>
        <w:rPr>
          <w:rFonts w:ascii="Arial" w:cs="Arial" w:eastAsia="Arial" w:hAnsi="Arial"/>
          <w:sz w:val="16"/>
          <w:szCs w:val="16"/>
          <w:b w:val="1"/>
          <w:bCs w:val="1"/>
          <w:i w:val="1"/>
          <w:iCs w:val="1"/>
          <w:color w:val="auto"/>
        </w:rPr>
        <w:t>Public Shareholders</w:t>
      </w:r>
      <w:r>
        <w:rPr>
          <w:rFonts w:ascii="Arial" w:cs="Arial" w:eastAsia="Arial" w:hAnsi="Arial"/>
          <w:sz w:val="16"/>
          <w:szCs w:val="16"/>
          <w:color w:val="auto"/>
        </w:rPr>
        <w:t>” shall mean the holders of Common Stock issued in the Public Offering; (v) “</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shall mean the Common Stock issued in the Public Offering; (vi)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account into which a portion of the net proceeds of the Public Offering and the sale of the Private Placement Shares shall be deposited; (vii)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(viii)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shall mean the Company’s Amended and Restated Certificate of Incorporation, as the same may be amended from time to time.</w:t>
      </w:r>
    </w:p>
    <w:p>
      <w:pPr>
        <w:spacing w:after="0" w:line="59" w:lineRule="exact"/>
        <w:rPr>
          <w:rFonts w:ascii="Arial" w:cs="Arial" w:eastAsia="Arial" w:hAnsi="Arial"/>
          <w:sz w:val="16"/>
          <w:szCs w:val="16"/>
          <w:color w:val="auto"/>
        </w:rPr>
      </w:pPr>
    </w:p>
    <w:p>
      <w:pPr>
        <w:ind w:left="184" w:hanging="184"/>
        <w:spacing w:after="0"/>
        <w:tabs>
          <w:tab w:leader="none" w:pos="184"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left="4" w:right="20" w:hanging="4"/>
        <w:spacing w:after="0" w:line="275" w:lineRule="auto"/>
        <w:tabs>
          <w:tab w:leader="none" w:pos="24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Sponsor and each Insider, with respect to itself, herself or himself, represent and warrant to the Company that it, she or he has the full right and power, without violating any agreement to which it, she or he is bound (including, without limitation, any non-competition or non-solicitation agreement with any employer or former employer), to enter into this Letter Agreement, as applicable, and to serve as an officer of the Company and/or a director on the Company’s Board of Director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as applicable, and each Insider hereby consents to being named in the Prospectus, road show and any other materials as an officer and/or director of the Company, as applicable.</w:t>
      </w:r>
    </w:p>
    <w:p>
      <w:pPr>
        <w:sectPr>
          <w:pgSz w:w="11900" w:h="16838" w:orient="portrait"/>
          <w:cols w:equalWidth="0" w:num="1">
            <w:col w:w="11024"/>
          </w:cols>
          <w:pgMar w:left="436" w:top="121" w:right="439" w:bottom="1440" w:gutter="0" w:footer="0" w:header="0"/>
        </w:sectPr>
      </w:pPr>
    </w:p>
    <w:bookmarkStart w:id="290" w:name="page291"/>
    <w:bookmarkEnd w:id="290"/>
    <w:p>
      <w:pPr>
        <w:ind w:left="4" w:right="40" w:hanging="4"/>
        <w:spacing w:after="0" w:line="270" w:lineRule="auto"/>
        <w:tabs>
          <w:tab w:leader="none" w:pos="259" w:val="left"/>
        </w:tabs>
        <w:numPr>
          <w:ilvl w:val="0"/>
          <w:numId w:val="2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Insider represents and warrants, with respect to herself or himself, that such Insider’s biographical information furnished to the Company (including any such information included in the Prospectus) is true and accurate in all material respects and does not omit any material information with respect to such Insider’s background. The Insider’s questionnaire furnished to the Company is true and accurate in all material respects. Each Insider represents and warrants that such Insider is not subject to or a respondent in any legal action for, any injunction, cease-and-desist order or order or stipulation to desist or refrain from any act or practice relating to the offering of securities in any jurisdiction; such Insider has never been convicted of, or pleaded guilty to, any crime (i) involving fraud, (ii) relating to any financial transaction or handling of funds of another person, or (iii) pertaining to any dealings in any securities and such Insider is not currently a defendant in any such criminal proceeding; and such Insider has never been suspended or expelled from membership in any securities or commodities exchange or association or had a securities or commodities license or registration denied, suspended or revoked.</w:t>
      </w:r>
    </w:p>
    <w:p>
      <w:pPr>
        <w:spacing w:after="0" w:line="73" w:lineRule="exact"/>
        <w:rPr>
          <w:sz w:val="20"/>
          <w:szCs w:val="20"/>
          <w:color w:val="auto"/>
        </w:rPr>
      </w:pPr>
    </w:p>
    <w:p>
      <w:pPr>
        <w:ind w:left="4" w:right="140" w:hanging="4"/>
        <w:spacing w:after="0" w:line="293" w:lineRule="auto"/>
        <w:tabs>
          <w:tab w:leader="none" w:pos="184"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Business Combination Vote</w:t>
      </w:r>
      <w:r>
        <w:rPr>
          <w:rFonts w:ascii="Arial" w:cs="Arial" w:eastAsia="Arial" w:hAnsi="Arial"/>
          <w:sz w:val="16"/>
          <w:szCs w:val="16"/>
          <w:color w:val="auto"/>
        </w:rPr>
        <w:t>. It is acknowledged and agreed that the Company shall not enter into a definitive agreement regarding a proposed Business Combination without the prior consent of the Sponsor. The Sponsor and each Insider, with respect to itself or herself or himself, agrees that if the Company seeks shareholder approval of a proposed initial Business Combination, then in connection with such proposed initial Business Combination, it, she or he, as applicable, shall vote all Founder Shares, Private Placement Shares and any Public Shares held by it, her or him, as applicable, in favor of such proposed initial Business Combination (including any proposals recommended by the Board in connection with such Business Combination) and not redeem any Public Shares held by it, her or him, as applicable, in connection with such shareholder approval.</w:t>
      </w:r>
    </w:p>
    <w:p>
      <w:pPr>
        <w:spacing w:after="0" w:line="56" w:lineRule="exact"/>
        <w:rPr>
          <w:rFonts w:ascii="Arial" w:cs="Arial" w:eastAsia="Arial" w:hAnsi="Arial"/>
          <w:sz w:val="16"/>
          <w:szCs w:val="16"/>
          <w:color w:val="auto"/>
        </w:rPr>
      </w:pPr>
    </w:p>
    <w:p>
      <w:pPr>
        <w:ind w:left="184" w:hanging="184"/>
        <w:spacing w:after="0"/>
        <w:tabs>
          <w:tab w:leader="none" w:pos="184"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Failure to Consummate a Business Combination; Trust Account Waiver</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84" w:lineRule="auto"/>
        <w:tabs>
          <w:tab w:leader="none" w:pos="24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Sponsor and each Insider hereby agree, with respect to itself, herself or himself, that in the event that the Company fails to consummate its initial Business Combination within the time period set forth in the Charter, the Sponsor and each Insider shall take all reasonable steps to cause the Company to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and not previously release to the Company to pay income taxes (less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Board, liquidate and dissolve, subject in the case of clauses</w:t>
      </w:r>
    </w:p>
    <w:p>
      <w:pPr>
        <w:ind w:left="4" w:hanging="4"/>
        <w:spacing w:after="0" w:line="268" w:lineRule="auto"/>
        <w:tabs>
          <w:tab w:leader="none" w:pos="26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and (iii) to the Company’s obligations under Delaware law to provide for claims of creditors and in all cases subject to the other requirements of applicable law. The Sponsor and each Insider agree not to propose any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does not complete an initial Business Combination within the required time period set forth in the Charter or (ii) with respect to any material provision relating to the rights of holders of Public Shares unless the Company provides its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the Company to pay taxes, if any, divided by the number of then-outstanding Public Shares.</w:t>
      </w:r>
    </w:p>
    <w:p>
      <w:pPr>
        <w:spacing w:after="0" w:line="75" w:lineRule="exact"/>
        <w:rPr>
          <w:rFonts w:ascii="Arial" w:cs="Arial" w:eastAsia="Arial" w:hAnsi="Arial"/>
          <w:sz w:val="17"/>
          <w:szCs w:val="17"/>
          <w:color w:val="auto"/>
        </w:rPr>
      </w:pPr>
    </w:p>
    <w:p>
      <w:pPr>
        <w:ind w:left="4" w:hanging="4"/>
        <w:spacing w:after="0" w:line="269" w:lineRule="auto"/>
        <w:tabs>
          <w:tab w:leader="none" w:pos="25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Sponsor and each Insider, with respect to itself, herself or himself, acknowledges that it, she or he has no right, title, interest or claim of any kind in or to any monies held in the Trust Account or any other asset of the Company as a result of any liquidation of the Company with respect to the Founder Shares and Private Placement Shares held by it, her or him, if any. The Sponsor and each of the Insiders hereby further waive, with respect to any Founder Shares, Private Placement Shares and Public Shares held by it, her or him, as applicable, any redemption rights it, she or he may have in connection with the consummation of a Business Combination, including, without limitation, any such rights available in the context of a shareholder vote to approve such Business Combination or a shareholder vote to approve an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has not consummated an initial Business Combination within the time period set forth in the Charter or (ii) with respect to any material provision relating to the rights of holders of Public Shares (although the Sponsor and the Insiders shall be entitled to liquidation rights with respect to any Public Shares they hold if the Company fails to consummate a Business Combination within the required time period set forth in the Charter).</w:t>
      </w:r>
    </w:p>
    <w:p>
      <w:pPr>
        <w:sectPr>
          <w:pgSz w:w="11900" w:h="16838" w:orient="portrait"/>
          <w:cols w:equalWidth="0" w:num="1">
            <w:col w:w="11004"/>
          </w:cols>
          <w:pgMar w:left="436" w:top="274" w:right="459" w:bottom="1440" w:gutter="0" w:footer="0" w:header="0"/>
        </w:sectPr>
      </w:pPr>
    </w:p>
    <w:bookmarkStart w:id="291" w:name="page292"/>
    <w:bookmarkEnd w:id="291"/>
    <w:p>
      <w:pPr>
        <w:ind w:left="4" w:hanging="4"/>
        <w:spacing w:after="0" w:line="257" w:lineRule="auto"/>
        <w:tabs>
          <w:tab w:leader="none" w:pos="2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acknowledges and agrees that, prior to entering into a definitive agreement for a Business Combination with a target business that is affiliated with the undersigned or any other Insiders of the Company or their affiliates, such transaction must be approved by a majority of the Company’s disinterested independent directors and the Company will, to the extent required by applicable law or the Company’s board of directors, obtain an opinion from an independent investment banking firm or an independent accounting firm that such Business Combination is fair to the Company from a financial point of view.</w:t>
      </w:r>
    </w:p>
    <w:p>
      <w:pPr>
        <w:spacing w:after="0" w:line="80" w:lineRule="exact"/>
        <w:rPr>
          <w:sz w:val="20"/>
          <w:szCs w:val="20"/>
          <w:color w:val="auto"/>
        </w:rPr>
      </w:pPr>
    </w:p>
    <w:p>
      <w:pPr>
        <w:ind w:left="184" w:hanging="184"/>
        <w:spacing w:after="0"/>
        <w:tabs>
          <w:tab w:leader="none" w:pos="184"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Lock-up; Transfer Restrictions</w:t>
      </w:r>
      <w:r>
        <w:rPr>
          <w:rFonts w:ascii="Arial" w:cs="Arial" w:eastAsia="Arial" w:hAnsi="Arial"/>
          <w:sz w:val="18"/>
          <w:szCs w:val="18"/>
          <w:color w:val="auto"/>
        </w:rPr>
        <w:t>.</w:t>
      </w:r>
    </w:p>
    <w:p>
      <w:pPr>
        <w:spacing w:after="0" w:line="117" w:lineRule="exact"/>
        <w:rPr>
          <w:sz w:val="20"/>
          <w:szCs w:val="20"/>
          <w:color w:val="auto"/>
        </w:rPr>
      </w:pPr>
    </w:p>
    <w:p>
      <w:pPr>
        <w:ind w:left="4" w:right="120" w:hanging="4"/>
        <w:spacing w:after="0" w:line="293" w:lineRule="auto"/>
        <w:tabs>
          <w:tab w:leader="none" w:pos="24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Sponsor and the Insiders agree that they shall not Transfer any Founder Shares (the “</w:t>
      </w:r>
      <w:r>
        <w:rPr>
          <w:rFonts w:ascii="Arial" w:cs="Arial" w:eastAsia="Arial" w:hAnsi="Arial"/>
          <w:sz w:val="16"/>
          <w:szCs w:val="16"/>
          <w:b w:val="1"/>
          <w:bCs w:val="1"/>
          <w:i w:val="1"/>
          <w:iCs w:val="1"/>
          <w:color w:val="auto"/>
        </w:rPr>
        <w:t>Founder Shares Lock-up</w:t>
      </w:r>
      <w:r>
        <w:rPr>
          <w:rFonts w:ascii="Arial" w:cs="Arial" w:eastAsia="Arial" w:hAnsi="Arial"/>
          <w:sz w:val="16"/>
          <w:szCs w:val="16"/>
          <w:color w:val="auto"/>
        </w:rPr>
        <w:t>”) until the earliest of (A) one year after the completion of an initial Business Combination and (B) subsequent to the initial business combination, (x) if the last reported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upon completion of a liquidation, merger, stock exchange, reorganization or other similar transaction that results in all of the public stockholders having the right to exchange their Common Stock for cash, securities or other property (the “</w:t>
      </w:r>
      <w:r>
        <w:rPr>
          <w:rFonts w:ascii="Arial" w:cs="Arial" w:eastAsia="Arial" w:hAnsi="Arial"/>
          <w:sz w:val="16"/>
          <w:szCs w:val="16"/>
          <w:b w:val="1"/>
          <w:bCs w:val="1"/>
          <w:i w:val="1"/>
          <w:iCs w:val="1"/>
          <w:color w:val="auto"/>
        </w:rPr>
        <w:t>Founder Shares Lock-up Period</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 w:right="80" w:hanging="4"/>
        <w:spacing w:after="0" w:line="342" w:lineRule="auto"/>
        <w:tabs>
          <w:tab w:leader="none" w:pos="25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Sponsor and each Insider agrees that it, he or she shall not Transfer any Private Placement Shares until 30 days after the completion of an initial Business Combination (the “</w:t>
      </w:r>
      <w:r>
        <w:rPr>
          <w:rFonts w:ascii="Arial" w:cs="Arial" w:eastAsia="Arial" w:hAnsi="Arial"/>
          <w:sz w:val="16"/>
          <w:szCs w:val="16"/>
          <w:b w:val="1"/>
          <w:bCs w:val="1"/>
          <w:i w:val="1"/>
          <w:iCs w:val="1"/>
          <w:color w:val="auto"/>
        </w:rPr>
        <w:t>Private Placement Shares Lock-up Period</w:t>
      </w:r>
      <w:r>
        <w:rPr>
          <w:rFonts w:ascii="Arial" w:cs="Arial" w:eastAsia="Arial" w:hAnsi="Arial"/>
          <w:sz w:val="16"/>
          <w:szCs w:val="16"/>
          <w:color w:val="auto"/>
        </w:rPr>
        <w:t>”, together with the Founder Shares Lock-up Period, the “</w:t>
      </w:r>
      <w:r>
        <w:rPr>
          <w:rFonts w:ascii="Arial" w:cs="Arial" w:eastAsia="Arial" w:hAnsi="Arial"/>
          <w:sz w:val="16"/>
          <w:szCs w:val="16"/>
          <w:b w:val="1"/>
          <w:bCs w:val="1"/>
          <w:i w:val="1"/>
          <w:iCs w:val="1"/>
          <w:color w:val="auto"/>
        </w:rPr>
        <w:t>Lock-up Periods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 w:right="60" w:hanging="4"/>
        <w:spacing w:after="0" w:line="284" w:lineRule="auto"/>
        <w:tabs>
          <w:tab w:leader="none" w:pos="24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w:t>
      </w:r>
      <w:r>
        <w:rPr>
          <w:rFonts w:ascii="Arial" w:cs="Arial" w:eastAsia="Arial" w:hAnsi="Arial"/>
          <w:sz w:val="16"/>
          <w:szCs w:val="16"/>
          <w:u w:val="single" w:color="auto"/>
          <w:color w:val="auto"/>
        </w:rPr>
        <w:t>paragraphs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Transfers of the Founder Shares, Private Placement Shares are permitted (a) to the Company’s officers or directors, any affiliates or family members of any of the Company’s officers or directors, any direct or indirect members or partners of the Sponsor or their affiliates, any affiliates of the Sponsor, or any affiliates thereof, or any employees of such affiliates;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or Private Placement Shares, as applicable, were originally purchased; (f) by virtue of the Sponsor’s organizational documents upon liquidation or dissolution of the Sponsor;</w:t>
      </w:r>
    </w:p>
    <w:p>
      <w:pPr>
        <w:ind w:left="4" w:right="80" w:hanging="4"/>
        <w:spacing w:after="0" w:line="252" w:lineRule="auto"/>
        <w:tabs>
          <w:tab w:leader="none" w:pos="25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to the Company for no value for cancellation in connection with the consummation of an initial Business Combination, (h) in the event of the Company’s liquidation prior to the completion of a Business Combination; or (i) in the event of completion of a liquidation, merger, stock exchange or other similar transaction which results in all of the Company’s Public stockholders having the right to exchange their shares of Common Stock for cash, securities or other property subsequent to the completion of an initial Business Combination; provided, however, that, in the case of clauses (a) through (f), these permitted transferees must enter into a written agreement agreeing to be bound by the transfer restrictions in this paragraph 7(c) and the other restrictions contained in this Letter Agreement.</w:t>
      </w:r>
    </w:p>
    <w:p>
      <w:pPr>
        <w:spacing w:after="0" w:line="85" w:lineRule="exact"/>
        <w:rPr>
          <w:rFonts w:ascii="Arial" w:cs="Arial" w:eastAsia="Arial" w:hAnsi="Arial"/>
          <w:sz w:val="18"/>
          <w:szCs w:val="18"/>
          <w:color w:val="auto"/>
        </w:rPr>
      </w:pPr>
    </w:p>
    <w:p>
      <w:pPr>
        <w:ind w:left="4" w:right="80" w:hanging="4"/>
        <w:spacing w:after="0" w:line="259" w:lineRule="auto"/>
        <w:tabs>
          <w:tab w:leader="none" w:pos="25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During the period commencing on the effective date of the Underwriting Agreement and ending 180 days after such date, the Sponsor and each Insider shall not, without the prior written consent of the Representatives, transfer any shares of Common Stock or any other securities convertible into, or exercisable or exchangeable for, shares of Common Stock held by it, her or him, as applicable, subject to certain exceptions enumerated in Section 4(h) of the Underwriting Agreement.</w:t>
      </w:r>
    </w:p>
    <w:p>
      <w:pPr>
        <w:spacing w:after="0" w:line="79" w:lineRule="exact"/>
        <w:rPr>
          <w:sz w:val="20"/>
          <w:szCs w:val="20"/>
          <w:color w:val="auto"/>
        </w:rPr>
      </w:pPr>
    </w:p>
    <w:p>
      <w:pPr>
        <w:ind w:left="4" w:right="100" w:hanging="4"/>
        <w:spacing w:after="0" w:line="279" w:lineRule="auto"/>
        <w:tabs>
          <w:tab w:leader="none" w:pos="184"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The Sponsor and each of the Insiders hereby agree and acknowledge that (i) each of the Underwriters and the Company would be irreparably injured in the event of a breach by the Sponsor or such Insider of its, her or his obligations, as applicable under </w:t>
      </w:r>
      <w:r>
        <w:rPr>
          <w:rFonts w:ascii="Arial" w:cs="Arial" w:eastAsia="Arial" w:hAnsi="Arial"/>
          <w:sz w:val="17"/>
          <w:szCs w:val="17"/>
          <w:u w:val="single" w:color="auto"/>
          <w:color w:val="auto"/>
        </w:rPr>
        <w:t>paragraphs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w:t>
      </w:r>
      <w:r>
        <w:rPr>
          <w:rFonts w:ascii="Arial" w:cs="Arial" w:eastAsia="Arial" w:hAnsi="Arial"/>
          <w:sz w:val="17"/>
          <w:szCs w:val="17"/>
          <w:color w:val="auto"/>
        </w:rPr>
        <w:t>, (ii) monetary damages may not be an adequate remedy for such breach and (iii) the non-breaching party shall be entitled to injunctive relief, in addition to any other remedy that such party may have in law or in equity, in the event of such breach.</w:t>
      </w:r>
    </w:p>
    <w:p>
      <w:pPr>
        <w:sectPr>
          <w:pgSz w:w="11900" w:h="16838" w:orient="portrait"/>
          <w:cols w:equalWidth="0" w:num="1">
            <w:col w:w="11004"/>
          </w:cols>
          <w:pgMar w:left="436" w:top="274" w:right="459" w:bottom="1440" w:gutter="0" w:footer="0" w:header="0"/>
        </w:sectPr>
      </w:pPr>
    </w:p>
    <w:bookmarkStart w:id="292" w:name="page293"/>
    <w:bookmarkEnd w:id="292"/>
    <w:p>
      <w:pPr>
        <w:ind w:left="4" w:hanging="4"/>
        <w:spacing w:after="0" w:line="259" w:lineRule="auto"/>
        <w:tabs>
          <w:tab w:leader="none" w:pos="184"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by the Company</w:t>
      </w:r>
      <w:r>
        <w:rPr>
          <w:rFonts w:ascii="Arial" w:cs="Arial" w:eastAsia="Arial" w:hAnsi="Arial"/>
          <w:sz w:val="18"/>
          <w:szCs w:val="18"/>
          <w:color w:val="auto"/>
        </w:rPr>
        <w:t>. Except as disclosed in the Prospectus, neither the Sponsor nor any affiliate of the Sponsor nor any director or officer of the Company nor any affiliate of the officers shall receive from the Company any finder’s fee, reimbursement, consulting fee, monies in respect of any payment of a loan or other compensation prior to, or in connection with any services rendered in order to effectuate the consummation of the Company’s initial Business Combination (regardless of the type of transaction that it is).</w:t>
      </w:r>
    </w:p>
    <w:p>
      <w:pPr>
        <w:spacing w:after="0" w:line="78" w:lineRule="exact"/>
        <w:rPr>
          <w:rFonts w:ascii="Arial" w:cs="Arial" w:eastAsia="Arial" w:hAnsi="Arial"/>
          <w:sz w:val="18"/>
          <w:szCs w:val="18"/>
          <w:color w:val="auto"/>
        </w:rPr>
      </w:pPr>
    </w:p>
    <w:p>
      <w:pPr>
        <w:ind w:left="4" w:right="400" w:hanging="4"/>
        <w:spacing w:after="0" w:line="263" w:lineRule="auto"/>
        <w:tabs>
          <w:tab w:leader="none" w:pos="184"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Director and Officer Liability Insurance</w:t>
      </w:r>
      <w:r>
        <w:rPr>
          <w:rFonts w:ascii="Arial" w:cs="Arial" w:eastAsia="Arial" w:hAnsi="Arial"/>
          <w:sz w:val="18"/>
          <w:szCs w:val="18"/>
          <w:color w:val="auto"/>
        </w:rPr>
        <w:t>. The Company will maintain an insurance policy or policies providing directors’ and officers’ liability insurance, and the Insiders shall be covered by such policy or policies, in accordance with its or their terms, to the maximum extent of the coverage available for any of the Company’s directors or officers.</w:t>
      </w:r>
    </w:p>
    <w:p>
      <w:pPr>
        <w:spacing w:after="0" w:line="75" w:lineRule="exact"/>
        <w:rPr>
          <w:rFonts w:ascii="Arial" w:cs="Arial" w:eastAsia="Arial" w:hAnsi="Arial"/>
          <w:sz w:val="18"/>
          <w:szCs w:val="18"/>
          <w:color w:val="auto"/>
        </w:rPr>
      </w:pPr>
    </w:p>
    <w:p>
      <w:pPr>
        <w:ind w:left="4" w:right="20" w:hanging="4"/>
        <w:spacing w:after="0" w:line="277" w:lineRule="auto"/>
        <w:tabs>
          <w:tab w:leader="none" w:pos="184"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Letter Agreement shall terminate on the earlier of (i) the expiration of the Founder Shares Lock-up Period and (ii) the liquidation of the Company.</w:t>
      </w:r>
    </w:p>
    <w:p>
      <w:pPr>
        <w:spacing w:after="0" w:line="62" w:lineRule="exact"/>
        <w:rPr>
          <w:rFonts w:ascii="Arial" w:cs="Arial" w:eastAsia="Arial" w:hAnsi="Arial"/>
          <w:sz w:val="18"/>
          <w:szCs w:val="18"/>
          <w:color w:val="auto"/>
        </w:rPr>
      </w:pPr>
    </w:p>
    <w:p>
      <w:pPr>
        <w:ind w:left="4" w:hanging="4"/>
        <w:spacing w:after="0" w:line="283" w:lineRule="auto"/>
        <w:tabs>
          <w:tab w:leader="none" w:pos="274"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(except for the Company’s independent auditors) or (ii) any prospective target business with which the Company has discussed entering into a transaction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indemnification of the Company by the Indemnitor (x) shall apply only to the extent necessary to ensure that such claims by a third party for services rendered or products sold to the Company or a Target do not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interest that may be withdrawn to pay the Company’s tax obligations,</w:t>
      </w:r>
    </w:p>
    <w:p>
      <w:pPr>
        <w:spacing w:after="0" w:line="4" w:lineRule="exact"/>
        <w:rPr>
          <w:rFonts w:ascii="Arial" w:cs="Arial" w:eastAsia="Arial" w:hAnsi="Arial"/>
          <w:sz w:val="16"/>
          <w:szCs w:val="16"/>
          <w:color w:val="auto"/>
        </w:rPr>
      </w:pPr>
    </w:p>
    <w:p>
      <w:pPr>
        <w:ind w:left="4" w:right="80"/>
        <w:spacing w:after="0" w:line="253" w:lineRule="auto"/>
        <w:rPr>
          <w:rFonts w:ascii="Arial" w:cs="Arial" w:eastAsia="Arial" w:hAnsi="Arial"/>
          <w:sz w:val="16"/>
          <w:szCs w:val="16"/>
          <w:color w:val="auto"/>
        </w:rPr>
      </w:pPr>
      <w:r>
        <w:rPr>
          <w:rFonts w:ascii="Arial" w:cs="Arial" w:eastAsia="Arial" w:hAnsi="Arial"/>
          <w:sz w:val="18"/>
          <w:szCs w:val="18"/>
          <w:color w:val="auto"/>
        </w:rPr>
        <w:t>(y) shall not apply to any claims by a third party or Target who executed a waiver of any and all rights to the monies held in the Trust Account (whether or not such waiver is enforceable) and (z) shall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191" w:lineRule="exact"/>
        <w:rPr>
          <w:sz w:val="20"/>
          <w:szCs w:val="20"/>
          <w:color w:val="auto"/>
        </w:rPr>
      </w:pPr>
    </w:p>
    <w:p>
      <w:pPr>
        <w:ind w:left="4" w:right="40"/>
        <w:spacing w:after="0" w:line="267" w:lineRule="auto"/>
        <w:rPr>
          <w:sz w:val="20"/>
          <w:szCs w:val="20"/>
          <w:color w:val="auto"/>
        </w:rPr>
      </w:pPr>
      <w:r>
        <w:rPr>
          <w:rFonts w:ascii="Arial" w:cs="Arial" w:eastAsia="Arial" w:hAnsi="Arial"/>
          <w:sz w:val="17"/>
          <w:szCs w:val="17"/>
          <w:color w:val="auto"/>
        </w:rPr>
        <w:t>Subject to the preceding paragraph, the Company will, to the fullest extent permitted by law, indemnify, exonerate and hold the Sponsor and its managers and partners, and each of their respective partners, shareholders, members, affiliates, associated investment funds, directors, officers, fiduciaries, managers, controlling persons, employees and agents and each of the partners, shareholders, members, affiliates, associated investment funds, directors, officers, fiduciaries, managers, controlling persons, employees and agents of each of the foregoing, whether or not a signatory hereto (collectively, the “Indemnitees”) free and harmless from and against any and all actions, causes of action, suits, claims, liabilities, losses, damages and costs and expenses (including attorneys’ fees and expenses) incurred by an Indemnitee or any of them (collectively, the “Indemnified Liabilities”), arising out of or in connection with any action, cause of action, suit, arbitration, investigation or claim arising out of, or in any way relating to (i) this Letter Agreement, the Public Offering, any completed, abandoned or failed Business Combination or any other agreement or arrangement in connection with the Public Offering or any completed, abandoned or failed Business Combination, or any review or approval of any proposed, abandoned, failed or completed Business Combination or any proxy or other solicitation of shareholder approval or authorization of any proposed, abandoned, failed or completed Business Combination, (ii) any investment opportunities sourced by the Indemnitees, (iii) any act or omission of an Indemnitee in connection with the Company’s or its affiliates’ affairs or (iv) the operations of, or services provided by an Indemnitee to, the Company or any of its affiliates, whether arising prior to or on and after the date hereof and shall advance costs and expenses (including attorneys’ fees and expenses) incurred by the Indemnitee in connection with any of the foregoing upon and following receipt of an undertaking from the applicable Indemnitee to repay (without interest) any amounts advanced if indemnification hereunder is finally judicially determined by a court of competent jurisdiction to not be owed; provided, that if and to the extent that the foregoing indemnification or advancement rights may be unavailable or unenforceable for any reason, the Company</w:t>
      </w:r>
    </w:p>
    <w:p>
      <w:pPr>
        <w:sectPr>
          <w:pgSz w:w="11900" w:h="16838" w:orient="portrait"/>
          <w:cols w:equalWidth="0" w:num="1">
            <w:col w:w="11004"/>
          </w:cols>
          <w:pgMar w:left="436" w:top="274" w:right="459" w:bottom="1440" w:gutter="0" w:footer="0" w:header="0"/>
        </w:sectPr>
      </w:pPr>
    </w:p>
    <w:bookmarkStart w:id="293" w:name="page294"/>
    <w:bookmarkEnd w:id="293"/>
    <w:p>
      <w:pPr>
        <w:ind w:left="4"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hereby agrees to make the maximum contribution to the payment and satisfaction of each of the Indemnified Liabilities which is permissible under applicable law. The rights of any Indemnitee to indemnification or advancement hereunder will be primary and in addition to any other rights any such person may have under any other agreement or instrument to which such Indemnitee is or becomes a party or is or otherwise becomes a beneficiary or under law or regulation. In addition, the rights of any Indemnitee to indemnification hereunder will not entitle such Indemnitee to access the funds held in the Trust Account, as defined above, and any indemnification hereunder will not be permitted to be funded by funds held in the Trust Account. Each Indemnitee (as defined herein) is an intended third party beneficiary of this paragraph, whether or not such Indemnitee is a signatory to this Letter Agreement.</w:t>
      </w:r>
    </w:p>
    <w:p>
      <w:pPr>
        <w:spacing w:after="0" w:line="87" w:lineRule="exact"/>
        <w:rPr>
          <w:sz w:val="20"/>
          <w:szCs w:val="20"/>
          <w:color w:val="auto"/>
        </w:rPr>
      </w:pPr>
    </w:p>
    <w:p>
      <w:pPr>
        <w:ind w:left="4" w:hanging="4"/>
        <w:spacing w:after="0" w:line="271" w:lineRule="auto"/>
        <w:tabs>
          <w:tab w:leader="none" w:pos="267"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Forfeiture of Founder Shares.</w:t>
      </w:r>
      <w:r>
        <w:rPr>
          <w:rFonts w:ascii="Arial" w:cs="Arial" w:eastAsia="Arial" w:hAnsi="Arial"/>
          <w:sz w:val="17"/>
          <w:szCs w:val="17"/>
          <w:color w:val="auto"/>
        </w:rPr>
        <w:t xml:space="preserve"> To the extent that the Underwriters do not exercise their option to purchase additional Common Stock within 45 days from the date of the Prospectus in full (as further described in the Prospectus), the Sponsor agrees to automatically surrender to the Company for no consideration, for cancellation at no cost, an aggregate number of Founder Shares so that the number of Founder Shares will equal of 20% of the sum of the total number of shares of Common Stock (excluding the Private Placement Shares) and Founder Shares outstanding at such time. The Sponsor and Insiders further agree that to the extent that the size of the Public Offering is increased or decreased, the Company will effect a share capitalization or a share repurchase, as applicable, with respect to the Founder Shares immediately prior to the consummation of the Public Offering in such amount as to maintain the number of Founder Shares at 20% of the sum of the total number of shares of Common Stock (excluding the Private Placement Shares) and Founder Shares outstanding at such time.</w:t>
      </w:r>
    </w:p>
    <w:p>
      <w:pPr>
        <w:spacing w:after="0" w:line="70" w:lineRule="exact"/>
        <w:rPr>
          <w:rFonts w:ascii="Arial" w:cs="Arial" w:eastAsia="Arial" w:hAnsi="Arial"/>
          <w:sz w:val="17"/>
          <w:szCs w:val="17"/>
          <w:color w:val="auto"/>
        </w:rPr>
      </w:pPr>
    </w:p>
    <w:p>
      <w:pPr>
        <w:ind w:left="4" w:right="40" w:hanging="4"/>
        <w:spacing w:after="0" w:line="301" w:lineRule="auto"/>
        <w:tabs>
          <w:tab w:leader="none" w:pos="274"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49" w:lineRule="exact"/>
        <w:rPr>
          <w:rFonts w:ascii="Arial" w:cs="Arial" w:eastAsia="Arial" w:hAnsi="Arial"/>
          <w:sz w:val="16"/>
          <w:szCs w:val="16"/>
          <w:color w:val="auto"/>
        </w:rPr>
      </w:pPr>
    </w:p>
    <w:p>
      <w:pPr>
        <w:ind w:left="4" w:right="20" w:hanging="4"/>
        <w:spacing w:after="0" w:line="279" w:lineRule="auto"/>
        <w:tabs>
          <w:tab w:leader="none" w:pos="274"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each of the Insiders and each of their respective successors, heirs, personal representatives and assigns and permitted transferees.</w:t>
      </w:r>
    </w:p>
    <w:p>
      <w:pPr>
        <w:spacing w:after="0" w:line="63" w:lineRule="exact"/>
        <w:rPr>
          <w:rFonts w:ascii="Arial" w:cs="Arial" w:eastAsia="Arial" w:hAnsi="Arial"/>
          <w:sz w:val="17"/>
          <w:szCs w:val="17"/>
          <w:color w:val="auto"/>
        </w:rPr>
      </w:pPr>
    </w:p>
    <w:p>
      <w:pPr>
        <w:ind w:left="4" w:right="20" w:hanging="4"/>
        <w:spacing w:after="0" w:line="308" w:lineRule="auto"/>
        <w:tabs>
          <w:tab w:leader="none" w:pos="274"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38" w:lineRule="exact"/>
        <w:rPr>
          <w:rFonts w:ascii="Arial" w:cs="Arial" w:eastAsia="Arial" w:hAnsi="Arial"/>
          <w:sz w:val="17"/>
          <w:szCs w:val="17"/>
          <w:color w:val="auto"/>
        </w:rPr>
      </w:pPr>
    </w:p>
    <w:p>
      <w:pPr>
        <w:ind w:left="4" w:right="580" w:hanging="4"/>
        <w:spacing w:after="0" w:line="277" w:lineRule="auto"/>
        <w:tabs>
          <w:tab w:leader="none" w:pos="274"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paragraph headings herein are for convenience only and are not part of this Letter Agreement and shall not affect the interpretation thereof.</w:t>
      </w:r>
    </w:p>
    <w:p>
      <w:pPr>
        <w:spacing w:after="0" w:line="62" w:lineRule="exact"/>
        <w:rPr>
          <w:rFonts w:ascii="Arial" w:cs="Arial" w:eastAsia="Arial" w:hAnsi="Arial"/>
          <w:sz w:val="18"/>
          <w:szCs w:val="18"/>
          <w:color w:val="auto"/>
        </w:rPr>
      </w:pPr>
    </w:p>
    <w:p>
      <w:pPr>
        <w:jc w:val="both"/>
        <w:ind w:left="4" w:right="20" w:hanging="4"/>
        <w:spacing w:after="0" w:line="259" w:lineRule="auto"/>
        <w:tabs>
          <w:tab w:leader="none" w:pos="274"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78" w:lineRule="exact"/>
        <w:rPr>
          <w:rFonts w:ascii="Arial" w:cs="Arial" w:eastAsia="Arial" w:hAnsi="Arial"/>
          <w:sz w:val="18"/>
          <w:szCs w:val="18"/>
          <w:color w:val="auto"/>
        </w:rPr>
      </w:pPr>
    </w:p>
    <w:p>
      <w:pPr>
        <w:jc w:val="center"/>
        <w:ind w:left="4" w:right="120" w:hanging="4"/>
        <w:spacing w:after="0" w:line="291" w:lineRule="auto"/>
        <w:tabs>
          <w:tab w:leader="none" w:pos="274"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Letter Agreement shall be governed by and construed and enforced in accordance with the laws of the State of New York, without giving effect to conflicts of law principles that would result in the application of the substantive laws of another jurisdiction. The parties hereto</w:t>
      </w:r>
    </w:p>
    <w:p>
      <w:pPr>
        <w:ind w:left="4" w:right="40"/>
        <w:spacing w:after="0" w:line="302" w:lineRule="auto"/>
        <w:rPr>
          <w:rFonts w:ascii="Arial" w:cs="Arial" w:eastAsia="Arial" w:hAnsi="Arial"/>
          <w:sz w:val="16"/>
          <w:szCs w:val="16"/>
          <w:color w:val="auto"/>
        </w:rPr>
      </w:pPr>
      <w:r>
        <w:rPr>
          <w:rFonts w:ascii="Arial" w:cs="Arial" w:eastAsia="Arial" w:hAnsi="Arial"/>
          <w:sz w:val="16"/>
          <w:szCs w:val="16"/>
          <w:color w:val="auto"/>
        </w:rPr>
        <w:t>(i)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ectPr>
          <w:pgSz w:w="11900" w:h="16838" w:orient="portrait"/>
          <w:cols w:equalWidth="0" w:num="1">
            <w:col w:w="11004"/>
          </w:cols>
          <w:pgMar w:left="436" w:top="274" w:right="459" w:bottom="1440" w:gutter="0" w:footer="0" w:header="0"/>
        </w:sectPr>
      </w:pPr>
    </w:p>
    <w:bookmarkStart w:id="294" w:name="page295"/>
    <w:bookmarkEnd w:id="294"/>
    <w:p>
      <w:pPr>
        <w:ind w:left="4" w:hanging="4"/>
        <w:spacing w:after="0" w:line="342" w:lineRule="auto"/>
        <w:tabs>
          <w:tab w:leader="none" w:pos="274"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6"/>
          <w:szCs w:val="16"/>
          <w:color w:val="auto"/>
        </w:rPr>
        <w:t>. 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295" w:name="page296"/>
    <w:bookmarkEnd w:id="29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DYNAMICS SPONSOR LLC</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Letter Agreement]</w:t>
      </w:r>
    </w:p>
    <w:p>
      <w:pPr>
        <w:sectPr>
          <w:pgSz w:w="11900" w:h="16838" w:orient="portrait"/>
          <w:cols w:equalWidth="0" w:num="1">
            <w:col w:w="9019"/>
          </w:cols>
          <w:pgMar w:left="1440" w:top="274" w:right="1440" w:bottom="1440" w:gutter="0" w:footer="0" w:header="0"/>
        </w:sectPr>
      </w:pPr>
    </w:p>
    <w:bookmarkStart w:id="296" w:name="page297"/>
    <w:bookmarkEnd w:id="29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94635" cy="8255"/>
                    </a:xfrm>
                    <a:prstGeom prst="rect">
                      <a:avLst/>
                    </a:prstGeom>
                    <a:noFill/>
                  </pic:spPr>
                </pic:pic>
              </a:graphicData>
            </a:graphic>
          </wp:anchor>
        </w:drawing>
        <w:t>Omid Farokhzad</w:t>
      </w:r>
    </w:p>
    <w:p>
      <w:pPr>
        <w:spacing w:after="0" w:line="18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19"/>
          </w:cols>
          <w:pgMar w:left="1440" w:top="517" w:right="1440" w:bottom="1440" w:gutter="0" w:footer="0" w:header="0"/>
        </w:sectPr>
      </w:pPr>
    </w:p>
    <w:bookmarkStart w:id="297" w:name="page298"/>
    <w:bookmarkEnd w:id="29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94635" cy="8255"/>
                    </a:xfrm>
                    <a:prstGeom prst="rect">
                      <a:avLst/>
                    </a:prstGeom>
                    <a:noFill/>
                  </pic:spPr>
                </pic:pic>
              </a:graphicData>
            </a:graphic>
          </wp:anchor>
        </w:drawing>
        <w:t>Mostafa Ronaghi</w:t>
      </w:r>
    </w:p>
    <w:p>
      <w:pPr>
        <w:spacing w:after="0" w:line="19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19"/>
          </w:cols>
          <w:pgMar w:left="1440" w:top="517" w:right="1440" w:bottom="1440" w:gutter="0" w:footer="0" w:header="0"/>
        </w:sectPr>
      </w:pPr>
    </w:p>
    <w:bookmarkStart w:id="298" w:name="page299"/>
    <w:bookmarkEnd w:id="29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94635" cy="8255"/>
                    </a:xfrm>
                    <a:prstGeom prst="rect">
                      <a:avLst/>
                    </a:prstGeom>
                    <a:noFill/>
                  </pic:spPr>
                </pic:pic>
              </a:graphicData>
            </a:graphic>
          </wp:anchor>
        </w:drawing>
        <w:t>Mark Afrasiabi</w:t>
      </w:r>
    </w:p>
    <w:p>
      <w:pPr>
        <w:spacing w:after="0" w:line="16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19"/>
          </w:cols>
          <w:pgMar w:left="1440" w:top="517" w:right="1440" w:bottom="1440" w:gutter="0" w:footer="0" w:header="0"/>
        </w:sectPr>
      </w:pPr>
    </w:p>
    <w:bookmarkStart w:id="299" w:name="page300"/>
    <w:bookmarkEnd w:id="29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794635" cy="8890"/>
                    </a:xfrm>
                    <a:prstGeom prst="rect">
                      <a:avLst/>
                    </a:prstGeom>
                    <a:noFill/>
                  </pic:spPr>
                </pic:pic>
              </a:graphicData>
            </a:graphic>
          </wp:anchor>
        </w:drawing>
        <w:t>Rowan Chapman</w:t>
      </w:r>
    </w:p>
    <w:p>
      <w:pPr>
        <w:spacing w:after="0" w:line="18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19"/>
          </w:cols>
          <w:pgMar w:left="1440" w:top="517" w:right="1440" w:bottom="1440" w:gutter="0" w:footer="0" w:header="0"/>
        </w:sectPr>
      </w:pPr>
    </w:p>
    <w:bookmarkStart w:id="300" w:name="page301"/>
    <w:bookmarkEnd w:id="30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94635" cy="8890"/>
                    </a:xfrm>
                    <a:prstGeom prst="rect">
                      <a:avLst/>
                    </a:prstGeom>
                    <a:noFill/>
                  </pic:spPr>
                </pic:pic>
              </a:graphicData>
            </a:graphic>
          </wp:anchor>
        </w:drawing>
        <w:t>David Epstein</w:t>
      </w:r>
    </w:p>
    <w:p>
      <w:pPr>
        <w:spacing w:after="0" w:line="18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19"/>
          </w:cols>
          <w:pgMar w:left="1440" w:top="517" w:right="1440" w:bottom="1440" w:gutter="0" w:footer="0" w:header="0"/>
        </w:sectPr>
      </w:pPr>
    </w:p>
    <w:bookmarkStart w:id="301" w:name="page302"/>
    <w:bookmarkEnd w:id="30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94635" cy="8890"/>
                    </a:xfrm>
                    <a:prstGeom prst="rect">
                      <a:avLst/>
                    </a:prstGeom>
                    <a:noFill/>
                  </pic:spPr>
                </pic:pic>
              </a:graphicData>
            </a:graphic>
          </wp:anchor>
        </w:drawing>
        <w:t>Jay Flatley</w:t>
      </w:r>
    </w:p>
    <w:p>
      <w:pPr>
        <w:spacing w:after="0" w:line="18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19"/>
          </w:cols>
          <w:pgMar w:left="1440" w:top="517" w:right="1440" w:bottom="1440" w:gutter="0" w:footer="0" w:header="0"/>
        </w:sectPr>
      </w:pPr>
    </w:p>
    <w:bookmarkStart w:id="302" w:name="page303"/>
    <w:bookmarkEnd w:id="30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94635" cy="8890"/>
                    </a:xfrm>
                    <a:prstGeom prst="rect">
                      <a:avLst/>
                    </a:prstGeom>
                    <a:noFill/>
                  </pic:spPr>
                </pic:pic>
              </a:graphicData>
            </a:graphic>
          </wp:anchor>
        </w:drawing>
        <w:t>Deep Nishar</w:t>
      </w:r>
    </w:p>
    <w:p>
      <w:pPr>
        <w:spacing w:after="0" w:line="18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19"/>
          </w:cols>
          <w:pgMar w:left="1440" w:top="517" w:right="1440" w:bottom="1440" w:gutter="0" w:footer="0" w:header="0"/>
        </w:sectPr>
      </w:pPr>
    </w:p>
    <w:bookmarkStart w:id="303" w:name="page304"/>
    <w:bookmarkEnd w:id="30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320675</wp:posOffset>
            </wp:positionV>
            <wp:extent cx="27946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94635" cy="8890"/>
                    </a:xfrm>
                    <a:prstGeom prst="rect">
                      <a:avLst/>
                    </a:prstGeom>
                    <a:noFill/>
                  </pic:spPr>
                </pic:pic>
              </a:graphicData>
            </a:graphic>
          </wp:anchor>
        </w:drawing>
        <w:t>Bob Langer</w:t>
      </w:r>
    </w:p>
    <w:p>
      <w:pPr>
        <w:spacing w:after="0" w:line="18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19"/>
          </w:cols>
          <w:pgMar w:left="1440" w:top="517" w:right="1440"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SPECIAL PURPOSE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Mostafa Ronaghi</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10019"/>
          </w:cols>
          <w:pgMar w:left="440" w:top="274" w:right="1440"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This Investment Management Trust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 May [•], 2021, by and between Dynamics Special Purpose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limited purpose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registration statement on Form S-1, File No. 333-228494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and prospectus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for the initial public offering of the Company’s shares of Class A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par value $0.0001 per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initial public offering hereinafter referred to as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has been declared effective as of the date hereof by the U.S.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207"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has entered into an Underwriting Agreement, dated May [•], 2021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J.P. Morgan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LLC as the underwriter (the “</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described in the Prospectus, $200,000,000 of the gross proceeds of the Offering, the sale of the Private Placement Shares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Underwriting Agreement) (or $230,000,000, if the Underwriter’s over-allotment option is exercised in full) will be delivered to the Trustee to be deposited and held in a segregated trust account located at all times in the United States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for the benefit of the Company, the holders of the shares of Common Stock issued in the Offering (the “</w:t>
      </w:r>
      <w:r>
        <w:rPr>
          <w:rFonts w:ascii="Arial" w:cs="Arial" w:eastAsia="Arial" w:hAnsi="Arial"/>
          <w:sz w:val="17"/>
          <w:szCs w:val="17"/>
          <w:b w:val="1"/>
          <w:bCs w:val="1"/>
          <w:i w:val="1"/>
          <w:iCs w:val="1"/>
          <w:color w:val="auto"/>
        </w:rPr>
        <w:t>Public Stockholders</w:t>
      </w:r>
      <w:r>
        <w:rPr>
          <w:rFonts w:ascii="Arial" w:cs="Arial" w:eastAsia="Arial" w:hAnsi="Arial"/>
          <w:sz w:val="17"/>
          <w:szCs w:val="17"/>
          <w:i w:val="1"/>
          <w:iCs w:val="1"/>
          <w:color w:val="auto"/>
        </w:rPr>
        <w:t>”</w:t>
      </w:r>
      <w:r>
        <w:rPr>
          <w:rFonts w:ascii="Arial" w:cs="Arial" w:eastAsia="Arial" w:hAnsi="Arial"/>
          <w:sz w:val="17"/>
          <w:szCs w:val="17"/>
          <w:color w:val="auto"/>
        </w:rPr>
        <w:t>) and the Underwriter as hereinafter provided (the amount to be delivered to the Trustee (and any interest subsequently earned thereon) is referred to herein as the “</w:t>
      </w:r>
      <w:r>
        <w:rPr>
          <w:rFonts w:ascii="Arial" w:cs="Arial" w:eastAsia="Arial" w:hAnsi="Arial"/>
          <w:sz w:val="17"/>
          <w:szCs w:val="17"/>
          <w:b w:val="1"/>
          <w:bCs w:val="1"/>
          <w:i w:val="1"/>
          <w:iCs w:val="1"/>
          <w:color w:val="auto"/>
        </w:rPr>
        <w:t>Property</w:t>
      </w:r>
      <w:r>
        <w:rPr>
          <w:rFonts w:ascii="Arial" w:cs="Arial" w:eastAsia="Arial" w:hAnsi="Arial"/>
          <w:sz w:val="17"/>
          <w:szCs w:val="17"/>
          <w:i w:val="1"/>
          <w:iCs w:val="1"/>
          <w:color w:val="auto"/>
        </w:rPr>
        <w:t>,</w:t>
      </w:r>
      <w:r>
        <w:rPr>
          <w:rFonts w:ascii="Arial" w:cs="Arial" w:eastAsia="Arial" w:hAnsi="Arial"/>
          <w:sz w:val="17"/>
          <w:szCs w:val="17"/>
          <w:color w:val="auto"/>
        </w:rPr>
        <w:t>” the Public Stockholders, for whose benefit the Trustee shall hold the Property, will be referred to collectively as the “</w:t>
      </w:r>
      <w:r>
        <w:rPr>
          <w:rFonts w:ascii="Arial" w:cs="Arial" w:eastAsia="Arial" w:hAnsi="Arial"/>
          <w:sz w:val="17"/>
          <w:szCs w:val="17"/>
          <w:b w:val="1"/>
          <w:bCs w:val="1"/>
          <w:i w:val="1"/>
          <w:iCs w:val="1"/>
          <w:color w:val="auto"/>
        </w:rPr>
        <w:t>Covered Stockholders</w:t>
      </w:r>
      <w:r>
        <w:rPr>
          <w:rFonts w:ascii="Arial" w:cs="Arial" w:eastAsia="Arial" w:hAnsi="Arial"/>
          <w:sz w:val="17"/>
          <w:szCs w:val="17"/>
          <w:i w:val="1"/>
          <w:iCs w:val="1"/>
          <w:color w:val="auto"/>
        </w:rPr>
        <w:t>,</w:t>
      </w:r>
      <w:r>
        <w:rPr>
          <w:rFonts w:ascii="Arial" w:cs="Arial" w:eastAsia="Arial" w:hAnsi="Arial"/>
          <w:sz w:val="17"/>
          <w:szCs w:val="17"/>
          <w:color w:val="auto"/>
        </w:rPr>
        <w:t>” and the Covered Stockholders, the Company and the Underwriter will be referred to together as the “</w:t>
      </w:r>
      <w:r>
        <w:rPr>
          <w:rFonts w:ascii="Arial" w:cs="Arial" w:eastAsia="Arial" w:hAnsi="Arial"/>
          <w:sz w:val="17"/>
          <w:szCs w:val="17"/>
          <w:b w:val="1"/>
          <w:bCs w:val="1"/>
          <w:i w:val="1"/>
          <w:iCs w:val="1"/>
          <w:color w:val="auto"/>
        </w:rPr>
        <w:t>Beneficiaries</w:t>
      </w:r>
      <w:r>
        <w:rPr>
          <w:rFonts w:ascii="Arial" w:cs="Arial" w:eastAsia="Arial" w:hAnsi="Arial"/>
          <w:sz w:val="17"/>
          <w:szCs w:val="17"/>
          <w:color w:val="auto"/>
        </w:rPr>
        <w:t>”);</w:t>
      </w:r>
    </w:p>
    <w:p>
      <w:pPr>
        <w:spacing w:after="0" w:line="172" w:lineRule="exact"/>
        <w:rPr>
          <w:sz w:val="20"/>
          <w:szCs w:val="20"/>
          <w:color w:val="auto"/>
        </w:rPr>
      </w:pPr>
    </w:p>
    <w:p>
      <w:pPr>
        <w:ind w:right="16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Underwriting Agreement, a portion of the Property equal to $7,000,000, or $8,050,000 if the Underwriter’s over-allotment option is exercised in full, is attributable to deferred underwriting discounts and commissions (the “</w:t>
      </w:r>
      <w:r>
        <w:rPr>
          <w:rFonts w:ascii="Arial" w:cs="Arial" w:eastAsia="Arial" w:hAnsi="Arial"/>
          <w:sz w:val="16"/>
          <w:szCs w:val="16"/>
          <w:b w:val="1"/>
          <w:bCs w:val="1"/>
          <w:i w:val="1"/>
          <w:iCs w:val="1"/>
          <w:color w:val="auto"/>
        </w:rPr>
        <w:t>Deferred Discount</w:t>
      </w:r>
      <w:r>
        <w:rPr>
          <w:rFonts w:ascii="Arial" w:cs="Arial" w:eastAsia="Arial" w:hAnsi="Arial"/>
          <w:sz w:val="16"/>
          <w:szCs w:val="16"/>
          <w:color w:val="auto"/>
        </w:rPr>
        <w:t>”) that will be payable by the Company to the Underwriter upon and concurrently with the consummation of the Business Combination (as defined below); and</w:t>
      </w:r>
    </w:p>
    <w:p>
      <w:pPr>
        <w:spacing w:after="0" w:line="14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Trustee desire to enter into this Agreement to set forth the terms and conditions pursuant to which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hold the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 IT IS AGREED</w:t>
      </w:r>
      <w:r>
        <w:rPr>
          <w:rFonts w:ascii="Arial" w:cs="Arial" w:eastAsia="Arial" w:hAnsi="Arial"/>
          <w:sz w:val="18"/>
          <w:szCs w:val="18"/>
          <w:color w:val="auto"/>
        </w:rPr>
        <w:t>:</w:t>
      </w:r>
    </w:p>
    <w:p>
      <w:pPr>
        <w:spacing w:after="0" w:line="121" w:lineRule="exact"/>
        <w:rPr>
          <w:sz w:val="20"/>
          <w:szCs w:val="20"/>
          <w:color w:val="auto"/>
        </w:rPr>
      </w:pPr>
    </w:p>
    <w:p>
      <w:pPr>
        <w:ind w:left="620" w:hanging="184"/>
        <w:spacing w:after="0"/>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117" w:lineRule="exact"/>
        <w:rPr>
          <w:rFonts w:ascii="Arial" w:cs="Arial" w:eastAsia="Arial" w:hAnsi="Arial"/>
          <w:sz w:val="18"/>
          <w:szCs w:val="18"/>
          <w:color w:val="auto"/>
        </w:rPr>
      </w:pPr>
    </w:p>
    <w:p>
      <w:pPr>
        <w:ind w:right="280" w:firstLine="987"/>
        <w:spacing w:after="0" w:line="311" w:lineRule="auto"/>
        <w:tabs>
          <w:tab w:leader="none" w:pos="1236" w:val="left"/>
        </w:tabs>
        <w:numPr>
          <w:ilvl w:val="1"/>
          <w:numId w:val="221"/>
        </w:numPr>
        <w:rPr>
          <w:rFonts w:ascii="Arial" w:cs="Arial" w:eastAsia="Arial" w:hAnsi="Arial"/>
          <w:sz w:val="16"/>
          <w:szCs w:val="16"/>
          <w:color w:val="auto"/>
        </w:rPr>
      </w:pPr>
      <w:r>
        <w:rPr>
          <w:rFonts w:ascii="Arial" w:cs="Arial" w:eastAsia="Arial" w:hAnsi="Arial"/>
          <w:sz w:val="16"/>
          <w:szCs w:val="16"/>
          <w:color w:val="auto"/>
        </w:rPr>
        <w:t>Hold the Property in trust for the Beneficiaries in accordance with the terms of this Agreement in the Trust Account, which Trust Account shall be established by the Trustee in the United States at J.P. Morgan Chase Bank, N.A. (or at another U.S. chartered commercial bank with consolidated assets of $100 billion or more) and at a brokerage institution selected by the Trustee that is reasonably satisfactory to the Company;</w:t>
      </w:r>
    </w:p>
    <w:p>
      <w:pPr>
        <w:sectPr>
          <w:pgSz w:w="11900" w:h="16838" w:orient="portrait"/>
          <w:cols w:equalWidth="0" w:num="1">
            <w:col w:w="11020"/>
          </w:cols>
          <w:pgMar w:left="440" w:top="125" w:right="439" w:bottom="1440" w:gutter="0" w:footer="0" w:header="0"/>
        </w:sectPr>
      </w:pPr>
    </w:p>
    <w:bookmarkStart w:id="306" w:name="page307"/>
    <w:bookmarkEnd w:id="306"/>
    <w:p>
      <w:pPr>
        <w:ind w:left="1240" w:hanging="253"/>
        <w:spacing w:after="0"/>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 supervise and administer the Trust Account subject to the terms and conditions set forth herein;</w:t>
      </w:r>
    </w:p>
    <w:p>
      <w:pPr>
        <w:spacing w:after="0" w:line="117" w:lineRule="exact"/>
        <w:rPr>
          <w:rFonts w:ascii="Arial" w:cs="Arial" w:eastAsia="Arial" w:hAnsi="Arial"/>
          <w:sz w:val="18"/>
          <w:szCs w:val="18"/>
          <w:color w:val="auto"/>
        </w:rPr>
      </w:pPr>
    </w:p>
    <w:p>
      <w:pPr>
        <w:ind w:right="180" w:firstLine="987"/>
        <w:spacing w:after="0" w:line="293" w:lineRule="auto"/>
        <w:tabs>
          <w:tab w:leader="none" w:pos="123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 a timely manner, upon the written instruction of the Company, invest and reinvest the Property solely in United States government securities within the meaning of Section 2(a)(16) of the Investment Company Act of 1940, as amended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having a maturity of 185 days or less, or in money market funds meeting the conditions of paragraphs (d)(1), (d)(2), (d)(3) and (d)(4) of Rule 2a-7 promulgated under the Investment Company Act (or any successor rule), which invest only in direct U.S. government treasury obligations, as determined by the Company; it being understood that the Trust Account will earn no interest while account funds are uninvested awaiting the Company’s instructions hereunder; while account funds are invested or uninvested, the Trustee may earn bank credits or other consideration;</w:t>
      </w:r>
    </w:p>
    <w:p>
      <w:pPr>
        <w:spacing w:after="0" w:line="56" w:lineRule="exact"/>
        <w:rPr>
          <w:rFonts w:ascii="Arial" w:cs="Arial" w:eastAsia="Arial" w:hAnsi="Arial"/>
          <w:sz w:val="16"/>
          <w:szCs w:val="16"/>
          <w:color w:val="auto"/>
        </w:rPr>
      </w:pPr>
    </w:p>
    <w:p>
      <w:pPr>
        <w:ind w:left="1240" w:hanging="253"/>
        <w:spacing w:after="0"/>
        <w:tabs>
          <w:tab w:leader="none" w:pos="12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Collect and receive, when due, all principal, interest or other income arising from the Property, which shall become part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Property</w:t>
      </w:r>
      <w:r>
        <w:rPr>
          <w:rFonts w:ascii="Arial" w:cs="Arial" w:eastAsia="Arial" w:hAnsi="Arial"/>
          <w:sz w:val="18"/>
          <w:szCs w:val="18"/>
          <w:color w:val="auto"/>
        </w:rPr>
        <w:t>,” as such term is used herein;</w:t>
      </w:r>
    </w:p>
    <w:p>
      <w:pPr>
        <w:spacing w:after="0" w:line="103" w:lineRule="exact"/>
        <w:rPr>
          <w:sz w:val="20"/>
          <w:szCs w:val="20"/>
          <w:color w:val="auto"/>
        </w:rPr>
      </w:pPr>
    </w:p>
    <w:p>
      <w:pPr>
        <w:ind w:right="680" w:firstLine="987"/>
        <w:spacing w:after="0" w:line="277" w:lineRule="auto"/>
        <w:tabs>
          <w:tab w:leader="none" w:pos="123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Promptly notify the Company and the Underwriter of all communications received by the Trustee with respect to any Property requiring action by the Company;</w:t>
      </w:r>
    </w:p>
    <w:p>
      <w:pPr>
        <w:spacing w:after="0" w:line="62" w:lineRule="exact"/>
        <w:rPr>
          <w:rFonts w:ascii="Arial" w:cs="Arial" w:eastAsia="Arial" w:hAnsi="Arial"/>
          <w:sz w:val="18"/>
          <w:szCs w:val="18"/>
          <w:color w:val="auto"/>
        </w:rPr>
      </w:pPr>
    </w:p>
    <w:p>
      <w:pPr>
        <w:ind w:right="100" w:firstLine="987"/>
        <w:spacing w:after="0" w:line="277" w:lineRule="auto"/>
        <w:tabs>
          <w:tab w:leader="none" w:pos="121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62" w:lineRule="exact"/>
        <w:rPr>
          <w:rFonts w:ascii="Arial" w:cs="Arial" w:eastAsia="Arial" w:hAnsi="Arial"/>
          <w:sz w:val="18"/>
          <w:szCs w:val="18"/>
          <w:color w:val="auto"/>
        </w:rPr>
      </w:pPr>
    </w:p>
    <w:p>
      <w:pPr>
        <w:ind w:right="700" w:firstLine="987"/>
        <w:spacing w:after="0" w:line="277" w:lineRule="auto"/>
        <w:tabs>
          <w:tab w:leader="none" w:pos="124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62" w:lineRule="exact"/>
        <w:rPr>
          <w:rFonts w:ascii="Arial" w:cs="Arial" w:eastAsia="Arial" w:hAnsi="Arial"/>
          <w:sz w:val="18"/>
          <w:szCs w:val="18"/>
          <w:color w:val="auto"/>
        </w:rPr>
      </w:pPr>
    </w:p>
    <w:p>
      <w:pPr>
        <w:ind w:right="240" w:firstLine="987"/>
        <w:spacing w:after="0" w:line="277" w:lineRule="auto"/>
        <w:tabs>
          <w:tab w:leader="none" w:pos="124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Render to the Company, and to such other persons as the Company may instruct, monthly written statements of the activities of, and amounts in, the Trust Account reflecting all receipts and disbursements of the Trust Account;</w:t>
      </w:r>
    </w:p>
    <w:p>
      <w:pPr>
        <w:spacing w:after="0" w:line="62" w:lineRule="exact"/>
        <w:rPr>
          <w:rFonts w:ascii="Arial" w:cs="Arial" w:eastAsia="Arial" w:hAnsi="Arial"/>
          <w:sz w:val="18"/>
          <w:szCs w:val="18"/>
          <w:color w:val="auto"/>
        </w:rPr>
      </w:pPr>
    </w:p>
    <w:p>
      <w:pPr>
        <w:ind w:firstLine="987"/>
        <w:spacing w:after="0" w:line="253" w:lineRule="auto"/>
        <w:tabs>
          <w:tab w:leader="none" w:pos="120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Commence liquidation of the Trust Account only after and promptly after (x) receipt of, and only in accordance with, the terms of a letter from the Company (“</w:t>
      </w:r>
      <w:r>
        <w:rPr>
          <w:rFonts w:ascii="Arial" w:cs="Arial" w:eastAsia="Arial" w:hAnsi="Arial"/>
          <w:sz w:val="18"/>
          <w:szCs w:val="18"/>
          <w:b w:val="1"/>
          <w:bCs w:val="1"/>
          <w:i w:val="1"/>
          <w:iCs w:val="1"/>
          <w:color w:val="auto"/>
        </w:rPr>
        <w:t>Termination Letter</w:t>
      </w:r>
      <w:r>
        <w:rPr>
          <w:rFonts w:ascii="Arial" w:cs="Arial" w:eastAsia="Arial" w:hAnsi="Arial"/>
          <w:sz w:val="18"/>
          <w:szCs w:val="18"/>
          <w:color w:val="auto"/>
        </w:rPr>
        <w:t>”) in a form substantially similar to that attached hereto as either Exhibit A or Exhibit B, as applicable, signed on behalf of the Company by any of its Chief Executive Officer, Chief Financial Officer, Chief Business Officer or Executive Chair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other authorized officer of the Company, and complete the liquidation of the Trust Account and distribute the Property in the Trust Account, including interest not previously released to the Company to pay its franchise and income taxes (less up to $100,000 of interest that may be released to the Company to pay dissolution expenses in the case of a Termination Letter in the form of Exhibit B hereto), only as directed in the Termination Letter and the other documents referred to therein, or (y) upon the date which is, the later of (1) 24 months after the closing of the Offering and (2) such later date as may be approved by the Company’s stockholders in accordance with the Company’s amended and restated certificate of incorporation if a Termination Letter has not</w:t>
      </w:r>
    </w:p>
    <w:p>
      <w:pPr>
        <w:sectPr>
          <w:pgSz w:w="11900" w:h="16838" w:orient="portrait"/>
          <w:cols w:equalWidth="0" w:num="1">
            <w:col w:w="11000"/>
          </w:cols>
          <w:pgMar w:left="440" w:top="274" w:right="459" w:bottom="1440" w:gutter="0" w:footer="0" w:header="0"/>
        </w:sectPr>
      </w:pPr>
    </w:p>
    <w:bookmarkStart w:id="307" w:name="page308"/>
    <w:bookmarkEnd w:id="30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received by the Trustee prior to such date, in which case the Trust Account shall be liquidated in accordance with the procedures set forth in the form of letter attached hereto as Exhibit B and the Property in the Trust Account, including interest not previously released to the Company to pay its franchise and income taxes (less up to $100,000 of interest that may be released to the Company to pay dissolution expenses) shall be distributed to the Covered Stockholders of record as of such date;</w:t>
      </w:r>
    </w:p>
    <w:p>
      <w:pPr>
        <w:spacing w:after="0" w:line="79" w:lineRule="exact"/>
        <w:rPr>
          <w:sz w:val="20"/>
          <w:szCs w:val="20"/>
          <w:color w:val="auto"/>
        </w:rPr>
      </w:pPr>
    </w:p>
    <w:p>
      <w:pPr>
        <w:ind w:firstLine="987"/>
        <w:spacing w:after="0" w:line="269" w:lineRule="auto"/>
        <w:tabs>
          <w:tab w:leader="none" w:pos="1206" w:val="left"/>
        </w:tabs>
        <w:numPr>
          <w:ilvl w:val="1"/>
          <w:numId w:val="224"/>
        </w:numPr>
        <w:rPr>
          <w:rFonts w:ascii="Arial" w:cs="Arial" w:eastAsia="Arial" w:hAnsi="Arial"/>
          <w:sz w:val="17"/>
          <w:szCs w:val="17"/>
          <w:color w:val="auto"/>
        </w:rPr>
      </w:pPr>
      <w:r>
        <w:rPr>
          <w:rFonts w:ascii="Arial" w:cs="Arial" w:eastAsia="Arial" w:hAnsi="Arial"/>
          <w:sz w:val="17"/>
          <w:szCs w:val="17"/>
          <w:color w:val="auto"/>
        </w:rPr>
        <w:t>Upon written request from the Company, which may be given from time to time in a form substantially similar to that attached hereto as Exhibit C, withdraw from the Trust Account and distribute to the Company the amount of interest earned on the Property requested by the Company to cover any tax obligation, including any franchise tax obligations,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provided, however, that to the extent there is not sufficient cash in the Trust Account to pay such tax obligation, the Trustee shall liquidate such assets held in the Trust Account as shall be designated by the Company in writing to make such distribution, so long as such distribution shall not result in a reduction in the principal price per share amount initially deposited in the Trust Account; provided, further, that if the tax to be paid is a franchise tax, the written request by the Company to make such distribution shall be accompanied by a copy of the franchise tax bill from the State of Delaware for the Company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70" w:lineRule="exact"/>
        <w:rPr>
          <w:rFonts w:ascii="Arial" w:cs="Arial" w:eastAsia="Arial" w:hAnsi="Arial"/>
          <w:sz w:val="17"/>
          <w:szCs w:val="17"/>
          <w:color w:val="auto"/>
        </w:rPr>
      </w:pPr>
    </w:p>
    <w:p>
      <w:pPr>
        <w:ind w:right="140" w:firstLine="987"/>
        <w:spacing w:after="0" w:line="291" w:lineRule="auto"/>
        <w:tabs>
          <w:tab w:leader="none" w:pos="1246" w:val="left"/>
        </w:tabs>
        <w:numPr>
          <w:ilvl w:val="1"/>
          <w:numId w:val="224"/>
        </w:numPr>
        <w:rPr>
          <w:rFonts w:ascii="Arial" w:cs="Arial" w:eastAsia="Arial" w:hAnsi="Arial"/>
          <w:sz w:val="16"/>
          <w:szCs w:val="16"/>
          <w:color w:val="auto"/>
        </w:rPr>
      </w:pPr>
      <w:r>
        <w:rPr>
          <w:rFonts w:ascii="Arial" w:cs="Arial" w:eastAsia="Arial" w:hAnsi="Arial"/>
          <w:sz w:val="16"/>
          <w:szCs w:val="16"/>
          <w:color w:val="auto"/>
        </w:rPr>
        <w:t>Upon written request from the Company, which may be given from time to time in a form substantially similar to that attached hereto as Exhibit D, distribute on behalf of the Company the amount requested by the Company to be used to redeem shares of Common Stock from Public Stockholders properly submitted for redemption in connection with a stockholder vote to approve an amendment to the Company’s amended and restated certificate of incorporation to (i) modify the substance or timing of the Company’s obligation to allow redemption in connection with an initial Business Combination or the Company’s obligation to redeem 100% of the shares of Common Stock sold in the Offering (the “</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if the Company has not consummated an initial Business Combination within the time period set forth in the Company’s amended and restated certificate of incorporation or (ii) with respect to any other provision relating to stockholders’ rights or pre-initial Business Combination activity; and</w:t>
      </w:r>
    </w:p>
    <w:p>
      <w:pPr>
        <w:spacing w:after="0" w:line="58" w:lineRule="exact"/>
        <w:rPr>
          <w:rFonts w:ascii="Arial" w:cs="Arial" w:eastAsia="Arial" w:hAnsi="Arial"/>
          <w:sz w:val="16"/>
          <w:szCs w:val="16"/>
          <w:color w:val="auto"/>
        </w:rPr>
      </w:pPr>
    </w:p>
    <w:p>
      <w:pPr>
        <w:ind w:left="1200" w:hanging="213"/>
        <w:spacing w:after="0"/>
        <w:tabs>
          <w:tab w:leader="none" w:pos="120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Not make any withdrawals or distributions from the Trust Account other than pursuant to Section 1(i), (j) or (k) above.</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ectPr>
          <w:pgSz w:w="11900" w:h="16838" w:orient="portrait"/>
          <w:cols w:equalWidth="0" w:num="1">
            <w:col w:w="11000"/>
          </w:cols>
          <w:pgMar w:left="440" w:top="274" w:right="459" w:bottom="1440" w:gutter="0" w:footer="0" w:header="0"/>
        </w:sectPr>
      </w:pPr>
    </w:p>
    <w:bookmarkStart w:id="308" w:name="page309"/>
    <w:bookmarkEnd w:id="308"/>
    <w:p>
      <w:pPr>
        <w:jc w:val="both"/>
        <w:ind w:left="-987" w:right="240" w:firstLine="987"/>
        <w:spacing w:after="0" w:line="257" w:lineRule="auto"/>
        <w:tabs>
          <w:tab w:leader="none" w:pos="249"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Give all instructions to the Trustee hereunder in writing, signed by the Company’s Chief Executive Officer, Chief Financial Officer, Chief Business Officer or Executive Chair. In addition, except with respect to its duties under Sections 1(i), 1(j) and 1(k)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79" w:lineRule="exact"/>
        <w:rPr>
          <w:rFonts w:ascii="Arial" w:cs="Arial" w:eastAsia="Arial" w:hAnsi="Arial"/>
          <w:sz w:val="18"/>
          <w:szCs w:val="18"/>
          <w:color w:val="auto"/>
        </w:rPr>
      </w:pPr>
    </w:p>
    <w:p>
      <w:pPr>
        <w:ind w:left="-987" w:right="40" w:firstLine="987"/>
        <w:spacing w:after="0" w:line="269" w:lineRule="auto"/>
        <w:tabs>
          <w:tab w:leader="none" w:pos="25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Subject to Section 4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Section 2(b), it shall notify the Company in writing of such claim (hereinafter referred to as the “</w:t>
      </w:r>
      <w:r>
        <w:rPr>
          <w:rFonts w:ascii="Arial" w:cs="Arial" w:eastAsia="Arial" w:hAnsi="Arial"/>
          <w:sz w:val="17"/>
          <w:szCs w:val="17"/>
          <w:b w:val="1"/>
          <w:bCs w:val="1"/>
          <w:i w:val="1"/>
          <w:iCs w:val="1"/>
          <w:color w:val="auto"/>
        </w:rPr>
        <w:t>Indemnified Claim</w:t>
      </w:r>
      <w:r>
        <w:rPr>
          <w:rFonts w:ascii="Arial" w:cs="Arial" w:eastAsia="Arial" w:hAnsi="Arial"/>
          <w:sz w:val="17"/>
          <w:szCs w:val="17"/>
          <w:color w:val="auto"/>
        </w:rPr>
        <w:t>”).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73" w:lineRule="exact"/>
        <w:rPr>
          <w:rFonts w:ascii="Arial" w:cs="Arial" w:eastAsia="Arial" w:hAnsi="Arial"/>
          <w:sz w:val="17"/>
          <w:szCs w:val="17"/>
          <w:color w:val="auto"/>
        </w:rPr>
      </w:pPr>
    </w:p>
    <w:p>
      <w:pPr>
        <w:ind w:left="-987" w:firstLine="987"/>
        <w:spacing w:after="0" w:line="275" w:lineRule="auto"/>
        <w:tabs>
          <w:tab w:leader="none" w:pos="24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Pay the Trustee the fees set forth on Schedule A hereto, including an initial acceptance fee, annual administration fee and transaction processing fee, which fees shall be subject to modification by the parties from time to time. It is expressly understood that the Property shall not be used to pay such fees unless and until the closing of the Business Combination. The Company shall pay the Trustee the initial acceptance fee and the first annual administration fee at the consummation of the Offering. The Company shall not be responsible for any other fees or charges of the Trustee except as set forth in this Section 2(c), Schedule A and as may be provided in Section 2(b) hereof;</w:t>
      </w:r>
    </w:p>
    <w:p>
      <w:pPr>
        <w:spacing w:after="0" w:line="68" w:lineRule="exact"/>
        <w:rPr>
          <w:rFonts w:ascii="Arial" w:cs="Arial" w:eastAsia="Arial" w:hAnsi="Arial"/>
          <w:sz w:val="17"/>
          <w:szCs w:val="17"/>
          <w:color w:val="auto"/>
        </w:rPr>
      </w:pPr>
    </w:p>
    <w:p>
      <w:pPr>
        <w:ind w:left="-987" w:right="180" w:firstLine="987"/>
        <w:spacing w:after="0" w:line="259" w:lineRule="auto"/>
        <w:tabs>
          <w:tab w:leader="none" w:pos="25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provide to the Trustee an affidavit or certificate of the inspector of elections for the stockholder meeting verifying the vote of such stockholders regarding such Business Combination;</w:t>
      </w:r>
    </w:p>
    <w:p>
      <w:pPr>
        <w:spacing w:after="0" w:line="78" w:lineRule="exact"/>
        <w:rPr>
          <w:rFonts w:ascii="Arial" w:cs="Arial" w:eastAsia="Arial" w:hAnsi="Arial"/>
          <w:sz w:val="18"/>
          <w:szCs w:val="18"/>
          <w:color w:val="auto"/>
        </w:rPr>
      </w:pPr>
    </w:p>
    <w:p>
      <w:pPr>
        <w:ind w:left="-987" w:right="440" w:firstLine="987"/>
        <w:spacing w:after="0" w:line="277" w:lineRule="auto"/>
        <w:tabs>
          <w:tab w:leader="none" w:pos="24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Provide the Underwriter with a copy of any Termination Letter(s) and/or any other correspondence that is sent to the Trustee with respect to any proposed withdrawal from the Trust Account promptly after it issues the same;</w:t>
      </w:r>
    </w:p>
    <w:p>
      <w:pPr>
        <w:sectPr>
          <w:pgSz w:w="11900" w:h="16838" w:orient="portrait"/>
          <w:cols w:equalWidth="0" w:num="1">
            <w:col w:w="10013"/>
          </w:cols>
          <w:pgMar w:left="1427" w:top="274" w:right="459" w:bottom="1440" w:gutter="0" w:footer="0" w:header="0"/>
        </w:sectPr>
      </w:pPr>
    </w:p>
    <w:bookmarkStart w:id="309" w:name="page310"/>
    <w:bookmarkEnd w:id="309"/>
    <w:p>
      <w:pPr>
        <w:ind w:left="-436" w:right="80" w:firstLine="987"/>
        <w:spacing w:after="0" w:line="286" w:lineRule="auto"/>
        <w:tabs>
          <w:tab w:leader="none" w:pos="780" w:val="left"/>
        </w:tabs>
        <w:numPr>
          <w:ilvl w:val="1"/>
          <w:numId w:val="2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agreed between the Company and the Underwriter, ensure that any Instruction Letter (as defined in Exhibit A) delivered in connection with a Termination Letter in the form of Exhibit A expressly provides that the Deferred Discount is paid directly to the account or accounts directed by the Underwriter prior to any transfer of the funds held in the Trust Account to the Company or any other person;</w:t>
      </w:r>
    </w:p>
    <w:p>
      <w:pPr>
        <w:spacing w:after="0" w:line="57" w:lineRule="exact"/>
        <w:rPr>
          <w:rFonts w:ascii="Arial" w:cs="Arial" w:eastAsia="Arial" w:hAnsi="Arial"/>
          <w:sz w:val="17"/>
          <w:szCs w:val="17"/>
          <w:color w:val="auto"/>
        </w:rPr>
      </w:pPr>
    </w:p>
    <w:p>
      <w:pPr>
        <w:ind w:left="-436" w:right="120" w:firstLine="987"/>
        <w:spacing w:after="0" w:line="277" w:lineRule="auto"/>
        <w:tabs>
          <w:tab w:leader="none" w:pos="81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62" w:lineRule="exact"/>
        <w:rPr>
          <w:rFonts w:ascii="Arial" w:cs="Arial" w:eastAsia="Arial" w:hAnsi="Arial"/>
          <w:sz w:val="18"/>
          <w:szCs w:val="18"/>
          <w:color w:val="auto"/>
        </w:rPr>
      </w:pPr>
    </w:p>
    <w:p>
      <w:pPr>
        <w:ind w:left="-436" w:right="420" w:firstLine="987"/>
        <w:spacing w:after="0" w:line="263" w:lineRule="auto"/>
        <w:tabs>
          <w:tab w:leader="none" w:pos="81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Within five (5) business days after the Underwriter exercises its over-allotment option in connection with the Offering (or any unexercised portion thereof) or such over-allotment option expires, provide the Trustee with a notice in writing of the total amount of the Deferred Discount, which shall in no event be less than $7,000,000.</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117" w:lineRule="exact"/>
        <w:rPr>
          <w:rFonts w:ascii="Arial" w:cs="Arial" w:eastAsia="Arial" w:hAnsi="Arial"/>
          <w:sz w:val="18"/>
          <w:szCs w:val="18"/>
          <w:color w:val="auto"/>
        </w:rPr>
      </w:pPr>
    </w:p>
    <w:p>
      <w:pPr>
        <w:ind w:left="-436" w:right="440" w:firstLine="987"/>
        <w:spacing w:after="0" w:line="277" w:lineRule="auto"/>
        <w:tabs>
          <w:tab w:leader="none" w:pos="8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62" w:lineRule="exact"/>
        <w:rPr>
          <w:rFonts w:ascii="Arial" w:cs="Arial" w:eastAsia="Arial" w:hAnsi="Arial"/>
          <w:sz w:val="18"/>
          <w:szCs w:val="18"/>
          <w:color w:val="auto"/>
        </w:rPr>
      </w:pPr>
    </w:p>
    <w:p>
      <w:pPr>
        <w:ind w:left="-436" w:right="240" w:firstLine="987"/>
        <w:spacing w:after="0" w:line="277" w:lineRule="auto"/>
        <w:tabs>
          <w:tab w:leader="none" w:pos="81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Section 1 hereof, and the Trustee shall have no liability to any third party except for liability arising out of the Trustee’s gross negligence, fraud or willful misconduct;</w:t>
      </w:r>
    </w:p>
    <w:p>
      <w:pPr>
        <w:spacing w:after="0" w:line="62" w:lineRule="exact"/>
        <w:rPr>
          <w:rFonts w:ascii="Arial" w:cs="Arial" w:eastAsia="Arial" w:hAnsi="Arial"/>
          <w:sz w:val="18"/>
          <w:szCs w:val="18"/>
          <w:color w:val="auto"/>
        </w:rPr>
      </w:pPr>
    </w:p>
    <w:p>
      <w:pPr>
        <w:jc w:val="both"/>
        <w:ind w:left="-436" w:firstLine="987"/>
        <w:spacing w:after="0" w:line="263" w:lineRule="auto"/>
        <w:tabs>
          <w:tab w:leader="none" w:pos="8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75" w:lineRule="exact"/>
        <w:rPr>
          <w:rFonts w:ascii="Arial" w:cs="Arial" w:eastAsia="Arial" w:hAnsi="Arial"/>
          <w:sz w:val="18"/>
          <w:szCs w:val="18"/>
          <w:color w:val="auto"/>
        </w:rPr>
      </w:pPr>
    </w:p>
    <w:p>
      <w:pPr>
        <w:ind w:left="804" w:hanging="253"/>
        <w:spacing w:after="0"/>
        <w:tabs>
          <w:tab w:leader="none" w:pos="80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117" w:lineRule="exact"/>
        <w:rPr>
          <w:rFonts w:ascii="Arial" w:cs="Arial" w:eastAsia="Arial" w:hAnsi="Arial"/>
          <w:sz w:val="18"/>
          <w:szCs w:val="18"/>
          <w:color w:val="auto"/>
        </w:rPr>
      </w:pPr>
    </w:p>
    <w:p>
      <w:pPr>
        <w:ind w:left="-436" w:right="420" w:firstLine="987"/>
        <w:spacing w:after="0" w:line="342" w:lineRule="auto"/>
        <w:tabs>
          <w:tab w:leader="none" w:pos="80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5" w:lineRule="exact"/>
        <w:rPr>
          <w:rFonts w:ascii="Arial" w:cs="Arial" w:eastAsia="Arial" w:hAnsi="Arial"/>
          <w:sz w:val="16"/>
          <w:szCs w:val="16"/>
          <w:color w:val="auto"/>
        </w:rPr>
      </w:pPr>
    </w:p>
    <w:p>
      <w:pPr>
        <w:ind w:left="-436" w:right="20" w:firstLine="987"/>
        <w:spacing w:after="0" w:line="270" w:lineRule="auto"/>
        <w:tabs>
          <w:tab w:leader="none" w:pos="78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ectPr>
          <w:pgSz w:w="11900" w:h="16838" w:orient="portrait"/>
          <w:cols w:equalWidth="0" w:num="1">
            <w:col w:w="10524"/>
          </w:cols>
          <w:pgMar w:left="876" w:top="274" w:right="499" w:bottom="1440" w:gutter="0" w:footer="0" w:header="0"/>
        </w:sectPr>
      </w:pPr>
    </w:p>
    <w:bookmarkStart w:id="310" w:name="page311"/>
    <w:bookmarkEnd w:id="310"/>
    <w:p>
      <w:pPr>
        <w:ind w:left="1240" w:hanging="253"/>
        <w:spacing w:after="0"/>
        <w:tabs>
          <w:tab w:leader="none" w:pos="12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Verify the accuracy of the information contained in the Registration Statement;</w:t>
      </w:r>
    </w:p>
    <w:p>
      <w:pPr>
        <w:spacing w:after="0" w:line="117" w:lineRule="exact"/>
        <w:rPr>
          <w:rFonts w:ascii="Arial" w:cs="Arial" w:eastAsia="Arial" w:hAnsi="Arial"/>
          <w:sz w:val="18"/>
          <w:szCs w:val="18"/>
          <w:color w:val="auto"/>
        </w:rPr>
      </w:pPr>
    </w:p>
    <w:p>
      <w:pPr>
        <w:ind w:right="300" w:firstLine="987"/>
        <w:spacing w:after="0" w:line="277" w:lineRule="auto"/>
        <w:tabs>
          <w:tab w:leader="none" w:pos="124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62" w:lineRule="exact"/>
        <w:rPr>
          <w:rFonts w:ascii="Arial" w:cs="Arial" w:eastAsia="Arial" w:hAnsi="Arial"/>
          <w:sz w:val="18"/>
          <w:szCs w:val="18"/>
          <w:color w:val="auto"/>
        </w:rPr>
      </w:pPr>
    </w:p>
    <w:p>
      <w:pPr>
        <w:ind w:right="240" w:firstLine="987"/>
        <w:spacing w:after="0" w:line="342" w:lineRule="auto"/>
        <w:tabs>
          <w:tab w:leader="none" w:pos="1206" w:val="left"/>
        </w:tabs>
        <w:numPr>
          <w:ilvl w:val="1"/>
          <w:numId w:val="229"/>
        </w:numPr>
        <w:rPr>
          <w:rFonts w:ascii="Arial" w:cs="Arial" w:eastAsia="Arial" w:hAnsi="Arial"/>
          <w:sz w:val="16"/>
          <w:szCs w:val="16"/>
          <w:color w:val="auto"/>
        </w:rPr>
      </w:pPr>
      <w:r>
        <w:rPr>
          <w:rFonts w:ascii="Arial" w:cs="Arial" w:eastAsia="Arial" w:hAnsi="Arial"/>
          <w:sz w:val="16"/>
          <w:szCs w:val="16"/>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5" w:lineRule="exact"/>
        <w:rPr>
          <w:rFonts w:ascii="Arial" w:cs="Arial" w:eastAsia="Arial" w:hAnsi="Arial"/>
          <w:sz w:val="16"/>
          <w:szCs w:val="16"/>
          <w:color w:val="auto"/>
        </w:rPr>
      </w:pPr>
    </w:p>
    <w:p>
      <w:pPr>
        <w:ind w:right="240" w:firstLine="987"/>
        <w:spacing w:after="0" w:line="263" w:lineRule="auto"/>
        <w:tabs>
          <w:tab w:leader="none" w:pos="120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Prepare, execute and file tax reports, income or other tax returns and pay any taxes with respect to any income generated by, and activities relating to, the Trust Account, regardless of whether such tax is payable by the Trust Account or the Company, including, but not limited to, franchise and income tax obligations, except pursuant to Section 1(j) hereof; or</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Verify calculations, qualify or otherwise approve the Company’s written requests for distributions pursuant to Sections 1(i), 1(j) or 1(k)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02" w:lineRule="exact"/>
        <w:rPr>
          <w:rFonts w:ascii="Arial" w:cs="Arial" w:eastAsia="Arial" w:hAnsi="Arial"/>
          <w:sz w:val="16"/>
          <w:szCs w:val="16"/>
          <w:color w:val="auto"/>
        </w:rPr>
      </w:pPr>
    </w:p>
    <w:p>
      <w:pPr>
        <w:ind w:right="120" w:firstLine="436"/>
        <w:spacing w:after="0" w:line="257" w:lineRule="auto"/>
        <w:tabs>
          <w:tab w:leader="none" w:pos="6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2(b) or Section 2(c) hereof, the Trustee shall pursue such Claim solely against the Company and its assets outside the Trust Account and not against the Property or any monies in the Trust Account.</w:t>
      </w:r>
    </w:p>
    <w:p>
      <w:pPr>
        <w:spacing w:after="0" w:line="79" w:lineRule="exact"/>
        <w:rPr>
          <w:rFonts w:ascii="Arial" w:cs="Arial" w:eastAsia="Arial" w:hAnsi="Arial"/>
          <w:sz w:val="18"/>
          <w:szCs w:val="18"/>
          <w:color w:val="auto"/>
        </w:rPr>
      </w:pPr>
    </w:p>
    <w:p>
      <w:pPr>
        <w:ind w:left="620" w:hanging="184"/>
        <w:spacing w:after="0"/>
        <w:tabs>
          <w:tab w:leader="none" w:pos="6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117" w:lineRule="exact"/>
        <w:rPr>
          <w:rFonts w:ascii="Arial" w:cs="Arial" w:eastAsia="Arial" w:hAnsi="Arial"/>
          <w:sz w:val="18"/>
          <w:szCs w:val="18"/>
          <w:color w:val="auto"/>
        </w:rPr>
      </w:pPr>
    </w:p>
    <w:p>
      <w:pPr>
        <w:ind w:firstLine="987"/>
        <w:spacing w:after="0" w:line="271" w:lineRule="auto"/>
        <w:tabs>
          <w:tab w:leader="none" w:pos="1236"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ectPr>
          <w:pgSz w:w="11900" w:h="16838" w:orient="portrait"/>
          <w:cols w:equalWidth="0" w:num="1">
            <w:col w:w="11000"/>
          </w:cols>
          <w:pgMar w:left="440" w:top="274" w:right="459" w:bottom="1440" w:gutter="0" w:footer="0" w:header="0"/>
        </w:sectPr>
      </w:pPr>
    </w:p>
    <w:bookmarkStart w:id="311" w:name="page312"/>
    <w:bookmarkEnd w:id="311"/>
    <w:p>
      <w:pPr>
        <w:ind w:left="-436" w:right="160" w:firstLine="987"/>
        <w:spacing w:after="0" w:line="263" w:lineRule="auto"/>
        <w:tabs>
          <w:tab w:leader="none" w:pos="810" w:val="left"/>
        </w:tabs>
        <w:numPr>
          <w:ilvl w:val="1"/>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such time that the Trustee has completed the liquidation of the Trust Account and its obligations in accordance with the provisions of Section 1(i) hereof (which section may not be amended under any circumstances) and distributed the Property in accordance with the provisions of the Termination Letter, this Agreement shall terminate except with respect to Section 2(b).</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20" w:firstLine="987"/>
        <w:spacing w:after="0" w:line="291" w:lineRule="auto"/>
        <w:tabs>
          <w:tab w:leader="none" w:pos="80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58" w:lineRule="exact"/>
        <w:rPr>
          <w:rFonts w:ascii="Arial" w:cs="Arial" w:eastAsia="Arial" w:hAnsi="Arial"/>
          <w:sz w:val="16"/>
          <w:szCs w:val="16"/>
          <w:color w:val="auto"/>
        </w:rPr>
      </w:pPr>
    </w:p>
    <w:p>
      <w:pPr>
        <w:ind w:left="-436" w:firstLine="987"/>
        <w:spacing w:after="0" w:line="311" w:lineRule="auto"/>
        <w:tabs>
          <w:tab w:leader="none" w:pos="81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40" w:lineRule="exact"/>
        <w:rPr>
          <w:rFonts w:ascii="Arial" w:cs="Arial" w:eastAsia="Arial" w:hAnsi="Arial"/>
          <w:sz w:val="16"/>
          <w:szCs w:val="16"/>
          <w:color w:val="auto"/>
        </w:rPr>
      </w:pPr>
    </w:p>
    <w:p>
      <w:pPr>
        <w:ind w:left="-436" w:right="40" w:firstLine="987"/>
        <w:spacing w:after="0" w:line="263" w:lineRule="auto"/>
        <w:tabs>
          <w:tab w:leader="none" w:pos="8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Subject to Section 6(d), this Agreement or any provision hereof may only be changed, amended or modified (other than to correct a typographical error) by a writing signed by each of the parties hereto.</w:t>
      </w:r>
    </w:p>
    <w:p>
      <w:pPr>
        <w:spacing w:after="0" w:line="75" w:lineRule="exact"/>
        <w:rPr>
          <w:rFonts w:ascii="Arial" w:cs="Arial" w:eastAsia="Arial" w:hAnsi="Arial"/>
          <w:sz w:val="18"/>
          <w:szCs w:val="18"/>
          <w:color w:val="auto"/>
        </w:rPr>
      </w:pPr>
    </w:p>
    <w:p>
      <w:pPr>
        <w:ind w:left="-436" w:firstLine="987"/>
        <w:spacing w:after="0" w:line="269" w:lineRule="auto"/>
        <w:tabs>
          <w:tab w:leader="none" w:pos="81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This Agreement or any provision hereof may only be changed, amended or modified pursuant to Section 6(c) hereof with the Consent of the Stockholders. For purposes of this Section 6(d), the “</w:t>
      </w:r>
      <w:r>
        <w:rPr>
          <w:rFonts w:ascii="Arial" w:cs="Arial" w:eastAsia="Arial" w:hAnsi="Arial"/>
          <w:sz w:val="17"/>
          <w:szCs w:val="17"/>
          <w:b w:val="1"/>
          <w:bCs w:val="1"/>
          <w:i w:val="1"/>
          <w:iCs w:val="1"/>
          <w:color w:val="auto"/>
        </w:rPr>
        <w:t>Consent of the Stockholders</w:t>
      </w:r>
      <w:r>
        <w:rPr>
          <w:rFonts w:ascii="Arial" w:cs="Arial" w:eastAsia="Arial" w:hAnsi="Arial"/>
          <w:sz w:val="17"/>
          <w:szCs w:val="17"/>
          <w:color w:val="auto"/>
        </w:rPr>
        <w:t>” means (i) receipt by the Trustee of a certificate from the inspector of elections of the stockholder meeting certifying that the Company’s stockholders of record as of a record date established in accordance with Section 213(a) of the Delaware General Corporation Law, as amended (or any successor rule), who hold sixty-five percent (65%) or more of all then outstanding shares of the Common Stock, Class B common stock, par value $0.0001 per share, of the Company voting together as a single class, have voted in favor of such change, amendment or modification, or (ii) the Company’s stockholders of record as of the record date who hold sixty-five percent (65%) or more of all then outstanding shares of the Common Stock, Class B common stock, par value $0.0001 per share, of the Company voting together as a single class, have delivered to the Trustee a signed writing approving such change, amendment or modification. No such amendment will affect any Public Stockholder who has otherwise properly indicated his, her or its election to redeem his, her or its shares of Common Stock in connection with a stockholder vote sought to amend this</w:t>
      </w:r>
    </w:p>
    <w:p>
      <w:pPr>
        <w:sectPr>
          <w:pgSz w:w="11900" w:h="16838" w:orient="portrait"/>
          <w:cols w:equalWidth="0" w:num="1">
            <w:col w:w="10564"/>
          </w:cols>
          <w:pgMar w:left="876" w:top="274" w:right="459" w:bottom="1440" w:gutter="0" w:footer="0" w:header="0"/>
        </w:sectPr>
      </w:pPr>
    </w:p>
    <w:bookmarkStart w:id="312" w:name="page313"/>
    <w:bookmarkEnd w:id="312"/>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including a corresponding change to the Company’s amended and restated certificate of incorporation. Except for any liability arising out of the Trustee’s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57" w:lineRule="exact"/>
        <w:rPr>
          <w:sz w:val="20"/>
          <w:szCs w:val="20"/>
          <w:color w:val="auto"/>
        </w:rPr>
      </w:pPr>
    </w:p>
    <w:p>
      <w:pPr>
        <w:ind w:firstLine="987"/>
        <w:spacing w:after="0" w:line="263" w:lineRule="auto"/>
        <w:tabs>
          <w:tab w:leader="none" w:pos="123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75" w:lineRule="exact"/>
        <w:rPr>
          <w:rFonts w:ascii="Arial" w:cs="Arial" w:eastAsia="Arial" w:hAnsi="Arial"/>
          <w:sz w:val="18"/>
          <w:szCs w:val="18"/>
          <w:color w:val="auto"/>
        </w:rPr>
      </w:pPr>
    </w:p>
    <w:p>
      <w:pPr>
        <w:ind w:right="140" w:firstLine="987"/>
        <w:spacing w:after="0" w:line="342" w:lineRule="auto"/>
        <w:tabs>
          <w:tab w:leader="none" w:pos="121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cgonzalez@continentalstock.com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Dynamics Special Purpose Corp.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2875 El Camino Real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Redwood City, CA 94061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ma@dspc.bio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with copies,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Oliver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oliver.smith@davispolk.com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383 Madison Avenue</w:t>
      </w:r>
    </w:p>
    <w:p>
      <w:pPr>
        <w:sectPr>
          <w:pgSz w:w="11900" w:h="16838" w:orient="portrait"/>
          <w:cols w:equalWidth="0" w:num="1">
            <w:col w:w="10980"/>
          </w:cols>
          <w:pgMar w:left="440" w:top="274" w:right="479" w:bottom="1440" w:gutter="0" w:footer="0" w:header="0"/>
        </w:sectPr>
      </w:pPr>
    </w:p>
    <w:bookmarkStart w:id="313" w:name="page314"/>
    <w:bookmarkEnd w:id="3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York, NY 10179</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Equity Syndicate Desk</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(212) 622-8358</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Roxane F. Reardon; Marisa D. Stavenas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rfreardon@stblaw.com; mstavenas@stblaw.com</w:t>
      </w:r>
    </w:p>
    <w:p>
      <w:pPr>
        <w:spacing w:after="0" w:line="103" w:lineRule="exact"/>
        <w:rPr>
          <w:sz w:val="20"/>
          <w:szCs w:val="20"/>
          <w:color w:val="auto"/>
        </w:rPr>
      </w:pPr>
    </w:p>
    <w:p>
      <w:pPr>
        <w:ind w:right="160" w:firstLine="987"/>
        <w:spacing w:after="0" w:line="259" w:lineRule="auto"/>
        <w:tabs>
          <w:tab w:leader="none" w:pos="124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78" w:lineRule="exact"/>
        <w:rPr>
          <w:rFonts w:ascii="Arial" w:cs="Arial" w:eastAsia="Arial" w:hAnsi="Arial"/>
          <w:sz w:val="18"/>
          <w:szCs w:val="18"/>
          <w:color w:val="auto"/>
        </w:rPr>
      </w:pPr>
    </w:p>
    <w:p>
      <w:pPr>
        <w:ind w:right="680" w:firstLine="987"/>
        <w:spacing w:after="0" w:line="277" w:lineRule="auto"/>
        <w:tabs>
          <w:tab w:leader="none" w:pos="124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62" w:lineRule="exact"/>
        <w:rPr>
          <w:rFonts w:ascii="Arial" w:cs="Arial" w:eastAsia="Arial" w:hAnsi="Arial"/>
          <w:sz w:val="18"/>
          <w:szCs w:val="18"/>
          <w:color w:val="auto"/>
        </w:rPr>
      </w:pPr>
    </w:p>
    <w:p>
      <w:pPr>
        <w:ind w:right="560" w:firstLine="987"/>
        <w:spacing w:after="0" w:line="263" w:lineRule="auto"/>
        <w:tabs>
          <w:tab w:leader="none" w:pos="120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Each of the Company and the Trustee hereby acknowledges and agrees that the Underwriter is a third party beneficiary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02" w:lineRule="exact"/>
        <w:rPr>
          <w:rFonts w:ascii="Arial" w:cs="Arial" w:eastAsia="Arial" w:hAnsi="Arial"/>
          <w:sz w:val="17"/>
          <w:szCs w:val="17"/>
          <w:color w:val="auto"/>
        </w:rPr>
      </w:pPr>
    </w:p>
    <w:p>
      <w:pPr>
        <w:ind w:left="1240" w:hanging="253"/>
        <w:spacing w:after="0"/>
        <w:tabs>
          <w:tab w:leader="none" w:pos="12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sectPr>
      </w:pPr>
    </w:p>
    <w:bookmarkStart w:id="314" w:name="page315"/>
    <w:bookmarkEnd w:id="31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CONTINENTAL STOCK TRANSFER &amp;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 COMPANY, as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Francis Wolf</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DYNAMICS SPECIAL PURPOSE CORP.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Investment Management Trust Agreement]</w:t>
      </w:r>
    </w:p>
    <w:p>
      <w:pPr>
        <w:sectPr>
          <w:pgSz w:w="11900" w:h="16838" w:orient="portrait"/>
          <w:cols w:equalWidth="0" w:num="1">
            <w:col w:w="10100"/>
          </w:cols>
          <w:pgMar w:left="880" w:top="270" w:right="919" w:bottom="1440" w:gutter="0" w:footer="0" w:header="0"/>
        </w:sectPr>
      </w:pPr>
    </w:p>
    <w:bookmarkStart w:id="315" w:name="page316"/>
    <w:bookmarkEnd w:id="3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Fee Item</w:t>
            </w: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20" w:type="dxa"/>
            <w:vAlign w:val="bottom"/>
          </w:tcPr>
          <w:p>
            <w:pPr>
              <w:ind w:left="1900"/>
              <w:spacing w:after="0"/>
              <w:rPr>
                <w:sz w:val="20"/>
                <w:szCs w:val="20"/>
                <w:color w:val="auto"/>
              </w:rPr>
            </w:pPr>
            <w:r>
              <w:rPr>
                <w:rFonts w:ascii="Arial" w:cs="Arial" w:eastAsia="Arial" w:hAnsi="Arial"/>
                <w:sz w:val="14"/>
                <w:szCs w:val="14"/>
                <w:b w:val="1"/>
                <w:bCs w:val="1"/>
                <w:color w:val="auto"/>
              </w:rPr>
              <w:t>Time and method of payment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Initial set-up fee</w:t>
            </w:r>
          </w:p>
        </w:tc>
        <w:tc>
          <w:tcPr>
            <w:tcW w:w="24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Initial closing of Offering by wire transfer</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Trustee administration fee</w:t>
            </w:r>
          </w:p>
        </w:tc>
        <w:tc>
          <w:tcPr>
            <w:tcW w:w="586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First year, initial closing of Offering by wire transfer, thereafter 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4"/>
        </w:trPr>
        <w:tc>
          <w:tcPr>
            <w:tcW w:w="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860" w:type="dxa"/>
            <w:vAlign w:val="bottom"/>
            <w:gridSpan w:val="2"/>
          </w:tcPr>
          <w:p>
            <w:pPr>
              <w:ind w:left="240"/>
              <w:spacing w:after="0"/>
              <w:rPr>
                <w:sz w:val="20"/>
                <w:szCs w:val="20"/>
                <w:color w:val="auto"/>
              </w:rPr>
            </w:pPr>
            <w:r>
              <w:rPr>
                <w:rFonts w:ascii="Arial" w:cs="Arial" w:eastAsia="Arial" w:hAnsi="Arial"/>
                <w:sz w:val="18"/>
                <w:szCs w:val="18"/>
                <w:color w:val="auto"/>
                <w:w w:val="92"/>
              </w:rPr>
              <w:t>the anniversary of the effective date of the Offering by wire transfer or check</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10,000.00</w:t>
            </w: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Transaction processing fee for disbursements to</w:t>
            </w:r>
          </w:p>
        </w:tc>
        <w:tc>
          <w:tcPr>
            <w:tcW w:w="5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Billed to Company following disbursement made to Company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4"/>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under Sections 1(i) and 1(j)</w:t>
            </w:r>
          </w:p>
        </w:tc>
        <w:tc>
          <w:tcPr>
            <w:tcW w:w="5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under Section 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w w:val="98"/>
              </w:rPr>
              <w:t>Paying Agent services as required pursuant to</w:t>
            </w:r>
          </w:p>
        </w:tc>
        <w:tc>
          <w:tcPr>
            <w:tcW w:w="2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4"/>
        </w:trPr>
        <w:tc>
          <w:tcPr>
            <w:tcW w:w="3660" w:type="dxa"/>
            <w:vAlign w:val="bottom"/>
            <w:gridSpan w:val="2"/>
          </w:tcPr>
          <w:p>
            <w:pPr>
              <w:spacing w:after="0"/>
              <w:rPr>
                <w:sz w:val="20"/>
                <w:szCs w:val="20"/>
                <w:color w:val="auto"/>
              </w:rPr>
            </w:pPr>
            <w:r>
              <w:rPr>
                <w:rFonts w:ascii="Arial" w:cs="Arial" w:eastAsia="Arial" w:hAnsi="Arial"/>
                <w:sz w:val="18"/>
                <w:szCs w:val="18"/>
                <w:color w:val="auto"/>
              </w:rPr>
              <w:t>Sections 1(i) and 1(k)</w:t>
            </w:r>
          </w:p>
        </w:tc>
        <w:tc>
          <w:tcPr>
            <w:tcW w:w="5860" w:type="dxa"/>
            <w:vAlign w:val="bottom"/>
            <w:gridSpan w:val="2"/>
          </w:tcPr>
          <w:p>
            <w:pPr>
              <w:ind w:left="240"/>
              <w:spacing w:after="0"/>
              <w:rPr>
                <w:sz w:val="20"/>
                <w:szCs w:val="20"/>
                <w:color w:val="auto"/>
              </w:rPr>
            </w:pPr>
            <w:r>
              <w:rPr>
                <w:rFonts w:ascii="Arial" w:cs="Arial" w:eastAsia="Arial" w:hAnsi="Arial"/>
                <w:sz w:val="18"/>
                <w:szCs w:val="18"/>
                <w:color w:val="auto"/>
                <w:w w:val="91"/>
              </w:rPr>
              <w:t>Billed to Company upon delivery of service pursuant to Sections 1(i) and 1(k)</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3"/>
              </w:rPr>
              <w:t>Prevailing rates</w:t>
            </w:r>
          </w:p>
        </w:tc>
      </w:tr>
    </w:tbl>
    <w:p>
      <w:pPr>
        <w:sectPr>
          <w:pgSz w:w="11900" w:h="16838" w:orient="portrait"/>
          <w:cols w:equalWidth="0" w:num="1">
            <w:col w:w="11020"/>
          </w:cols>
          <w:pgMar w:left="440" w:top="270" w:right="439" w:bottom="1440" w:gutter="0" w:footer="0" w:header="0"/>
        </w:sectPr>
      </w:pPr>
    </w:p>
    <w:bookmarkStart w:id="316" w:name="page317"/>
    <w:bookmarkEnd w:id="3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[Insert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Wolf and Ms. Gonzalez:</w:t>
      </w:r>
    </w:p>
    <w:p>
      <w:pPr>
        <w:spacing w:after="0" w:line="225" w:lineRule="exact"/>
        <w:rPr>
          <w:sz w:val="20"/>
          <w:szCs w:val="20"/>
          <w:color w:val="auto"/>
        </w:rPr>
      </w:pPr>
    </w:p>
    <w:p>
      <w:pPr>
        <w:ind w:right="200" w:firstLine="440"/>
        <w:spacing w:after="0" w:line="287" w:lineRule="auto"/>
        <w:rPr>
          <w:sz w:val="20"/>
          <w:szCs w:val="20"/>
          <w:color w:val="auto"/>
        </w:rPr>
      </w:pPr>
      <w:r>
        <w:rPr>
          <w:rFonts w:ascii="Arial" w:cs="Arial" w:eastAsia="Arial" w:hAnsi="Arial"/>
          <w:sz w:val="16"/>
          <w:szCs w:val="16"/>
          <w:color w:val="auto"/>
        </w:rPr>
        <w:t>Pursuant to Section 1(i) of the Investment Management Trust Agreement between Dynamics Special Purpose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May [•],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this is to advise you that the Company has entered into an agreement with [__________] (the “</w:t>
      </w:r>
      <w:r>
        <w:rPr>
          <w:rFonts w:ascii="Arial" w:cs="Arial" w:eastAsia="Arial" w:hAnsi="Arial"/>
          <w:sz w:val="16"/>
          <w:szCs w:val="16"/>
          <w:b w:val="1"/>
          <w:bCs w:val="1"/>
          <w:i w:val="1"/>
          <w:iCs w:val="1"/>
          <w:color w:val="auto"/>
        </w:rPr>
        <w:t>Target Business</w:t>
      </w:r>
      <w:r>
        <w:rPr>
          <w:rFonts w:ascii="Arial" w:cs="Arial" w:eastAsia="Arial" w:hAnsi="Arial"/>
          <w:sz w:val="16"/>
          <w:szCs w:val="16"/>
          <w:color w:val="auto"/>
        </w:rPr>
        <w:t>”) to consummate a business combination with the Target Business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on or about [insert date]. The Company shall notify you at least seventy-two (72) hours (or such shorter time as you may agree) in advance of the actual date fixed for the 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 Capitalized terms used but not defined herein shall have the meanings set forth in the Trust Agreement.</w:t>
      </w:r>
    </w:p>
    <w:p>
      <w:pPr>
        <w:spacing w:after="0" w:line="19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accordance with the terms of the Trust Agreement, we hereby authorize you to commence to liquidate all of the assets of the Trust Account and transfer the proceeds to a segregated account held by you on behalf of the Beneficiaries to the effect that, on the Consummation Date, all of the funds held in the Trust Account will be immediately available for transfer to the account or accounts that the Company shall direct on the Consummation Date (including as directed to it by the Underwriter (with respect to the Deferred Discount)). It is acknowledged and agreed that while the funds are on deposit in the Trust Account awaiting distribution, the Company will not earn any interest or dividends.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consummated, or will be consummated substantially concurrently with your transfer of funds to the accounts as directed by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 and (ii) the Company shall deliver to you (a) a certificate of its Chief Executive Officer, Chief Financial Officer or Chief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 (the “</w:t>
      </w:r>
      <w:r>
        <w:rPr>
          <w:rFonts w:ascii="Arial" w:cs="Arial" w:eastAsia="Arial" w:hAnsi="Arial"/>
          <w:sz w:val="16"/>
          <w:szCs w:val="16"/>
          <w:b w:val="1"/>
          <w:bCs w:val="1"/>
          <w:i w:val="1"/>
          <w:iCs w:val="1"/>
          <w:color w:val="auto"/>
        </w:rPr>
        <w:t>Vote Verification Certificate</w:t>
      </w:r>
      <w:r>
        <w:rPr>
          <w:rFonts w:ascii="Arial" w:cs="Arial" w:eastAsia="Arial" w:hAnsi="Arial"/>
          <w:sz w:val="16"/>
          <w:szCs w:val="16"/>
          <w:color w:val="auto"/>
        </w:rPr>
        <w:t>”), which verifies either that (i) the Business Combination has been approved by a vote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if a vote is held or (ii) no vote of the Company’s stockholders for the approval of the Business Combination is required and none has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and (b) a joint written instruction signed by the Company and the Underwriter with respect to the transfer of the funds held in the Trust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payment of amounts owed to Public Stockholders who have properly exercised their redemption rights and payment of the Deferred Discount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Underwriter from the Trust Account (the “</w:t>
      </w:r>
      <w:r>
        <w:rPr>
          <w:rFonts w:ascii="Arial" w:cs="Arial" w:eastAsia="Arial" w:hAnsi="Arial"/>
          <w:sz w:val="16"/>
          <w:szCs w:val="16"/>
          <w:b w:val="1"/>
          <w:bCs w:val="1"/>
          <w:i w:val="1"/>
          <w:iCs w:val="1"/>
          <w:color w:val="auto"/>
        </w:rPr>
        <w:t>Instruction Letter</w:t>
      </w:r>
      <w:r>
        <w:rPr>
          <w:rFonts w:ascii="Arial" w:cs="Arial" w:eastAsia="Arial" w:hAnsi="Arial"/>
          <w:sz w:val="16"/>
          <w:szCs w:val="16"/>
          <w:color w:val="auto"/>
        </w:rPr>
        <w:t>”). You are hereby directed and authorized to transfer the funds held in the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 immediately upon your</w:t>
      </w:r>
    </w:p>
    <w:p>
      <w:pPr>
        <w:sectPr>
          <w:pgSz w:w="11900" w:h="16838" w:orient="portrait"/>
          <w:cols w:equalWidth="0" w:num="1">
            <w:col w:w="10960"/>
          </w:cols>
          <w:pgMar w:left="440" w:top="270" w:right="499" w:bottom="1440" w:gutter="0" w:footer="0" w:header="0"/>
        </w:sectPr>
      </w:pPr>
    </w:p>
    <w:bookmarkStart w:id="317" w:name="page318"/>
    <w:bookmarkEnd w:id="31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receipt of the Notification, the Vote Verification Certificate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76"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In the event that the Business Combination is not consummated on the Consummation Date described in the notice thereof and we have not notified you on or before the original Consummation Date of a new Consummation Date, then upon receipt by you of written instructions from the Company, the funds held in the Trust Account shall be reinvested as provided in Section 1(c) of the Trust Agreement on the business day immediately following such original Consummation Date as set forth in such notice or as soon thereafter as possible.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318" w:name="page319"/>
    <w:bookmarkEnd w:id="318"/>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Dynamics Special Purpose Corp.</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J.P. Morgan Securities LLC</w:t>
      </w:r>
    </w:p>
    <w:p>
      <w:pPr>
        <w:sectPr>
          <w:pgSz w:w="11900" w:h="16838" w:orient="portrait"/>
          <w:cols w:equalWidth="0" w:num="1">
            <w:col w:w="10019"/>
          </w:cols>
          <w:pgMar w:left="440" w:top="274" w:right="1440" w:bottom="1440" w:gutter="0" w:footer="0" w:header="0"/>
        </w:sectPr>
      </w:pPr>
    </w:p>
    <w:bookmarkStart w:id="319" w:name="page320"/>
    <w:bookmarkEnd w:id="31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[Insert date]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Account—Termination Letter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Wolf and Ms. Gonzalez:</w:t>
      </w:r>
    </w:p>
    <w:p>
      <w:pPr>
        <w:spacing w:after="0" w:line="225"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Pursuant to Section 1(i) of the Investment Management Trust Agreement between Dynamics Special Purpose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 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May [•], 2021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this is to advise you that the Company has been unable to effect a business combination with a Target Business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76"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Account and keep the total proceeds thereof in the Trust Account to await distribution to the Covered Stockholders. The Company has selected [_________, 20__]</w:t>
      </w:r>
      <w:r>
        <w:rPr>
          <w:rFonts w:ascii="Arial" w:cs="Arial" w:eastAsia="Arial" w:hAnsi="Arial"/>
          <w:sz w:val="13"/>
          <w:szCs w:val="13"/>
          <w:color w:val="auto"/>
        </w:rPr>
        <w:t>1</w:t>
      </w:r>
      <w:r>
        <w:rPr>
          <w:rFonts w:ascii="Arial" w:cs="Arial" w:eastAsia="Arial" w:hAnsi="Arial"/>
          <w:sz w:val="16"/>
          <w:szCs w:val="16"/>
          <w:color w:val="auto"/>
        </w:rPr>
        <w:t xml:space="preserve"> as the effective</w:t>
      </w:r>
    </w:p>
    <w:p>
      <w:pPr>
        <w:ind w:left="4"/>
        <w:spacing w:after="0" w:line="271" w:lineRule="auto"/>
        <w:rPr>
          <w:sz w:val="20"/>
          <w:szCs w:val="20"/>
          <w:color w:val="auto"/>
        </w:rPr>
      </w:pPr>
      <w:r>
        <w:rPr>
          <w:rFonts w:ascii="Arial" w:cs="Arial" w:eastAsia="Arial" w:hAnsi="Arial"/>
          <w:sz w:val="17"/>
          <w:szCs w:val="17"/>
          <w:color w:val="auto"/>
        </w:rPr>
        <w:t>date for the purpose of determining when the Covered Stockholders will be entitled to receive their share of the liquidation proceeds. You agree to be the Paying Agent of record and, in your separate capacity as Paying Agent, agree to distribute said funds directly to the Covered Stockholders in accordance with the terms of the Trust Agreement and the Company’s [amended and restated] certificate of incorporation. Upon the distribution of all the funds, net of any payments necessary for reasonable unreimbursed expenses related to liquidating the Trust Account, your obligations under the Trust Agreement shall be terminated, except to the extent otherwise provided in Section 1(i) of the Trust Agreement.</w:t>
      </w:r>
    </w:p>
    <w:p>
      <w:pPr>
        <w:spacing w:after="0" w:line="20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Dynamics Special Purpose Corp.</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cc: 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35"/>
        </w:numPr>
        <w:rPr>
          <w:rFonts w:ascii="Arial" w:cs="Arial" w:eastAsia="Arial" w:hAnsi="Arial"/>
          <w:sz w:val="15"/>
          <w:szCs w:val="15"/>
          <w:color w:val="auto"/>
        </w:rPr>
      </w:pPr>
      <w:r>
        <w:rPr>
          <w:rFonts w:ascii="Arial" w:cs="Arial" w:eastAsia="Arial" w:hAnsi="Arial"/>
          <w:sz w:val="18"/>
          <w:szCs w:val="18"/>
          <w:color w:val="auto"/>
        </w:rPr>
        <w:t>24 months from the closing of the Offering or at a later date, if extended.</w:t>
      </w:r>
    </w:p>
    <w:p>
      <w:pPr>
        <w:sectPr>
          <w:pgSz w:w="11900" w:h="16838" w:orient="portrait"/>
          <w:cols w:equalWidth="0" w:num="1">
            <w:col w:w="11004"/>
          </w:cols>
          <w:pgMar w:left="436" w:top="270" w:right="459" w:bottom="1440" w:gutter="0" w:footer="0" w:header="0"/>
        </w:sectPr>
      </w:pPr>
    </w:p>
    <w:bookmarkStart w:id="320" w:name="page321"/>
    <w:bookmarkEnd w:id="32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[Insert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Wolf and Ms. Gonzalez:</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Pursuant to Section 1(j) of the Investment Management Trust Agreement between Dynamics Special Purpose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dated as of May [•], 2021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the Company hereby requests that you deliver to the Company $[_____] of the interest income earned on the Property as of the date hereof. Capitalized terms used but not defined herein shall have the meanings set forth in the Trust Agreement.</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[WIRE INSTRUCTION INFORMATION]</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Dynamics Special Purpose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J.P. Morgan Securities LLC</w:t>
      </w:r>
    </w:p>
    <w:p>
      <w:pPr>
        <w:sectPr>
          <w:pgSz w:w="11900" w:h="16838" w:orient="portrait"/>
          <w:cols w:equalWidth="0" w:num="1">
            <w:col w:w="10880"/>
          </w:cols>
          <w:pgMar w:left="440" w:top="270" w:right="57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Wolf and Ms. Gonzalez:</w:t>
      </w:r>
    </w:p>
    <w:p>
      <w:pPr>
        <w:spacing w:after="0" w:line="225" w:lineRule="exact"/>
        <w:rPr>
          <w:sz w:val="20"/>
          <w:szCs w:val="20"/>
          <w:color w:val="auto"/>
        </w:rPr>
      </w:pPr>
    </w:p>
    <w:p>
      <w:pPr>
        <w:ind w:right="180" w:firstLine="440"/>
        <w:spacing w:after="0" w:line="287" w:lineRule="auto"/>
        <w:rPr>
          <w:sz w:val="20"/>
          <w:szCs w:val="20"/>
          <w:color w:val="auto"/>
        </w:rPr>
      </w:pPr>
      <w:r>
        <w:rPr>
          <w:rFonts w:ascii="Arial" w:cs="Arial" w:eastAsia="Arial" w:hAnsi="Arial"/>
          <w:sz w:val="16"/>
          <w:szCs w:val="16"/>
          <w:color w:val="auto"/>
        </w:rPr>
        <w:t>Pursuant to Section 1(k) of the Investment Management Trust Agreement between Dynamics Special Purpose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dated as of May [•], 2021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the Company hereby requests that you deliver $[_____] of the principal and interest income earned on the Property as of the date hereof to a segregated account held by you on behalf of</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Public Stockholders who have properly elected to have their Public Shares redeemed by the Company as described below. Capitalized terms used but not defined herein shall have the meanings set forth in the Trust Agreement.</w:t>
      </w:r>
    </w:p>
    <w:p>
      <w:pPr>
        <w:spacing w:after="0" w:line="185"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The Company needs such funds to pay the Public Stockholders who have properly elected to have their Public Shares redeemed by the Company in connection with a stockholder vote to approve an amendment to the Company’s [amended and restated] certificate of incorporation to modify the substance or timing of the ability of Public Stockholders to seek redemption in connection with an initial Business Combination or the Company’s obligation to redeem 100% of the Public Shares if the Company has not consummated an initial Business Combination within such time as is described in the Company’s [amended and restated] certificate of incorporation or to affect provisions of the Company’s [amended and restated] certificate of incorporation relating to the Company’s pre-initial Business Combination activity or related stockholder rights. As such, you are hereby directed and authorized to transfer (via wire transfer) such funds promptly upon your receipt of this letter to a segregated account held by you on behalf of such Public Stockholders.</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Dynamics Special Purpose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J.P. Morgan Securities LLC</w:t>
      </w:r>
    </w:p>
    <w:p>
      <w:pPr>
        <w:sectPr>
          <w:pgSz w:w="11900" w:h="16838" w:orient="portrait"/>
          <w:cols w:equalWidth="0" w:num="1">
            <w:col w:w="11020"/>
          </w:cols>
          <w:pgMar w:left="440" w:top="270" w:right="439" w:bottom="1440" w:gutter="0" w:footer="0" w:header="0"/>
        </w:sectPr>
      </w:pPr>
    </w:p>
    <w:bookmarkStart w:id="322" w:name="page323"/>
    <w:bookmarkEnd w:id="322"/>
    <w:tbl>
      <w:tblPr>
        <w:tblLayout w:type="fixed"/>
        <w:tblInd w:w="4"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80" w:type="dxa"/>
            <w:vAlign w:val="bottom"/>
          </w:tcPr>
          <w:p>
            <w:pPr>
              <w:jc w:val="right"/>
              <w:spacing w:after="0"/>
              <w:rPr>
                <w:sz w:val="20"/>
                <w:szCs w:val="20"/>
                <w:color w:val="auto"/>
              </w:rPr>
            </w:pPr>
            <w:r>
              <w:rPr>
                <w:rFonts w:ascii="Arial" w:cs="Arial" w:eastAsia="Arial" w:hAnsi="Arial"/>
                <w:sz w:val="18"/>
                <w:szCs w:val="18"/>
                <w:color w:val="auto"/>
              </w:rPr>
              <w:t>Exhibit 10.3</w:t>
            </w:r>
          </w:p>
        </w:tc>
      </w:tr>
      <w:tr>
        <w:trPr>
          <w:trHeight w:val="634"/>
        </w:trPr>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80" w:type="dxa"/>
            <w:vAlign w:val="bottom"/>
          </w:tcPr>
          <w:p>
            <w:pPr>
              <w:jc w:val="center"/>
              <w:ind w:right="3470"/>
              <w:spacing w:after="0"/>
              <w:rPr>
                <w:sz w:val="20"/>
                <w:szCs w:val="20"/>
                <w:color w:val="auto"/>
              </w:rPr>
            </w:pPr>
            <w:r>
              <w:rPr>
                <w:rFonts w:ascii="Arial" w:cs="Arial" w:eastAsia="Arial" w:hAnsi="Arial"/>
                <w:sz w:val="18"/>
                <w:szCs w:val="18"/>
                <w:b w:val="1"/>
                <w:bCs w:val="1"/>
                <w:color w:val="auto"/>
                <w:w w:val="89"/>
              </w:rPr>
              <w:t>Dynamics Special Purpose Corp.</w:t>
            </w:r>
          </w:p>
        </w:tc>
      </w:tr>
      <w:tr>
        <w:trPr>
          <w:trHeight w:val="216"/>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80" w:type="dxa"/>
            <w:vAlign w:val="bottom"/>
          </w:tcPr>
          <w:p>
            <w:pPr>
              <w:jc w:val="center"/>
              <w:ind w:right="3470"/>
              <w:spacing w:after="0"/>
              <w:rPr>
                <w:sz w:val="20"/>
                <w:szCs w:val="20"/>
                <w:color w:val="auto"/>
              </w:rPr>
            </w:pPr>
            <w:r>
              <w:rPr>
                <w:rFonts w:ascii="Arial" w:cs="Arial" w:eastAsia="Arial" w:hAnsi="Arial"/>
                <w:sz w:val="18"/>
                <w:szCs w:val="18"/>
                <w:color w:val="auto"/>
                <w:w w:val="91"/>
              </w:rPr>
              <w:t>2875 El Camino Real</w:t>
            </w:r>
          </w:p>
        </w:tc>
      </w:tr>
      <w:tr>
        <w:trPr>
          <w:trHeight w:val="230"/>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80" w:type="dxa"/>
            <w:vAlign w:val="bottom"/>
          </w:tcPr>
          <w:p>
            <w:pPr>
              <w:jc w:val="center"/>
              <w:ind w:right="3450"/>
              <w:spacing w:after="0"/>
              <w:rPr>
                <w:sz w:val="20"/>
                <w:szCs w:val="20"/>
                <w:color w:val="auto"/>
              </w:rPr>
            </w:pPr>
            <w:r>
              <w:rPr>
                <w:rFonts w:ascii="Arial" w:cs="Arial" w:eastAsia="Arial" w:hAnsi="Arial"/>
                <w:sz w:val="18"/>
                <w:szCs w:val="18"/>
                <w:color w:val="auto"/>
                <w:w w:val="92"/>
              </w:rPr>
              <w:t>Redwood City, CA 94061</w:t>
            </w:r>
          </w:p>
        </w:tc>
      </w:tr>
      <w:tr>
        <w:trPr>
          <w:trHeight w:val="445"/>
        </w:trPr>
        <w:tc>
          <w:tcPr>
            <w:tcW w:w="3540" w:type="dxa"/>
            <w:vAlign w:val="bottom"/>
            <w:gridSpan w:val="3"/>
          </w:tcPr>
          <w:p>
            <w:pPr>
              <w:spacing w:after="0"/>
              <w:rPr>
                <w:sz w:val="20"/>
                <w:szCs w:val="20"/>
                <w:color w:val="auto"/>
              </w:rPr>
            </w:pPr>
            <w:r>
              <w:rPr>
                <w:rFonts w:ascii="Arial" w:cs="Arial" w:eastAsia="Arial" w:hAnsi="Arial"/>
                <w:sz w:val="18"/>
                <w:szCs w:val="18"/>
                <w:color w:val="auto"/>
              </w:rPr>
              <w:t>Dynamics Sponsor LLC</w:t>
            </w:r>
          </w:p>
        </w:tc>
        <w:tc>
          <w:tcPr>
            <w:tcW w:w="7480" w:type="dxa"/>
            <w:vAlign w:val="bottom"/>
          </w:tcPr>
          <w:p>
            <w:pPr>
              <w:jc w:val="right"/>
              <w:spacing w:after="0"/>
              <w:rPr>
                <w:sz w:val="20"/>
                <w:szCs w:val="20"/>
                <w:color w:val="auto"/>
              </w:rPr>
            </w:pPr>
            <w:r>
              <w:rPr>
                <w:rFonts w:ascii="Arial" w:cs="Arial" w:eastAsia="Arial" w:hAnsi="Arial"/>
                <w:sz w:val="18"/>
                <w:szCs w:val="18"/>
                <w:b w:val="1"/>
                <w:bCs w:val="1"/>
                <w:color w:val="auto"/>
              </w:rPr>
              <w:t>March 8, 2021</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2875 El Camino Real</w:t>
            </w:r>
          </w:p>
        </w:tc>
        <w:tc>
          <w:tcPr>
            <w:tcW w:w="7480" w:type="dxa"/>
            <w:vAlign w:val="bottom"/>
          </w:tcPr>
          <w:p>
            <w:pPr>
              <w:spacing w:after="0"/>
              <w:rPr>
                <w:sz w:val="18"/>
                <w:szCs w:val="18"/>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Redwood City, CA 94061</w:t>
            </w:r>
          </w:p>
        </w:tc>
        <w:tc>
          <w:tcPr>
            <w:tcW w:w="7480" w:type="dxa"/>
            <w:vAlign w:val="bottom"/>
          </w:tcPr>
          <w:p>
            <w:pPr>
              <w:spacing w:after="0"/>
              <w:rPr>
                <w:sz w:val="20"/>
                <w:szCs w:val="20"/>
                <w:color w:val="auto"/>
              </w:rPr>
            </w:pPr>
          </w:p>
        </w:tc>
      </w:tr>
      <w:tr>
        <w:trPr>
          <w:trHeight w:val="405"/>
        </w:trPr>
        <w:tc>
          <w:tcPr>
            <w:tcW w:w="3540" w:type="dxa"/>
            <w:vAlign w:val="bottom"/>
            <w:gridSpan w:val="3"/>
          </w:tcPr>
          <w:p>
            <w:pPr>
              <w:spacing w:after="0"/>
              <w:rPr>
                <w:sz w:val="20"/>
                <w:szCs w:val="20"/>
                <w:color w:val="auto"/>
              </w:rPr>
            </w:pPr>
            <w:r>
              <w:rPr>
                <w:rFonts w:ascii="Arial" w:cs="Arial" w:eastAsia="Arial" w:hAnsi="Arial"/>
                <w:sz w:val="18"/>
                <w:szCs w:val="18"/>
                <w:color w:val="auto"/>
              </w:rPr>
              <w:t>RE: Securities Subscription Agreement</w:t>
            </w:r>
          </w:p>
        </w:tc>
        <w:tc>
          <w:tcPr>
            <w:tcW w:w="74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344"/>
        </w:trPr>
        <w:tc>
          <w:tcPr>
            <w:tcW w:w="3540" w:type="dxa"/>
            <w:vAlign w:val="bottom"/>
            <w:gridSpan w:val="3"/>
          </w:tcPr>
          <w:p>
            <w:pPr>
              <w:spacing w:after="0"/>
              <w:rPr>
                <w:sz w:val="20"/>
                <w:szCs w:val="20"/>
                <w:color w:val="auto"/>
              </w:rPr>
            </w:pPr>
            <w:r>
              <w:rPr>
                <w:rFonts w:ascii="Arial" w:cs="Arial" w:eastAsia="Arial" w:hAnsi="Arial"/>
                <w:sz w:val="18"/>
                <w:szCs w:val="18"/>
                <w:color w:val="auto"/>
              </w:rPr>
              <w:t>Ladies and Gentlemen:</w:t>
            </w:r>
          </w:p>
        </w:tc>
        <w:tc>
          <w:tcPr>
            <w:tcW w:w="7480" w:type="dxa"/>
            <w:vAlign w:val="bottom"/>
          </w:tcPr>
          <w:p>
            <w:pPr>
              <w:spacing w:after="0"/>
              <w:rPr>
                <w:sz w:val="24"/>
                <w:szCs w:val="24"/>
                <w:color w:val="auto"/>
              </w:rPr>
            </w:pPr>
          </w:p>
        </w:tc>
      </w:tr>
    </w:tbl>
    <w:p>
      <w:pPr>
        <w:spacing w:after="0" w:line="198" w:lineRule="exact"/>
        <w:rPr>
          <w:sz w:val="20"/>
          <w:szCs w:val="20"/>
          <w:color w:val="auto"/>
        </w:rPr>
      </w:pPr>
    </w:p>
    <w:p>
      <w:pPr>
        <w:ind w:left="4" w:right="140" w:firstLine="440"/>
        <w:spacing w:after="0" w:line="274" w:lineRule="auto"/>
        <w:rPr>
          <w:sz w:val="20"/>
          <w:szCs w:val="20"/>
          <w:color w:val="auto"/>
        </w:rPr>
      </w:pPr>
      <w:r>
        <w:rPr>
          <w:rFonts w:ascii="Arial" w:cs="Arial" w:eastAsia="Arial" w:hAnsi="Arial"/>
          <w:sz w:val="17"/>
          <w:szCs w:val="17"/>
          <w:color w:val="auto"/>
        </w:rPr>
        <w:t>We are pleased to accept the offer Dynamics Sponsor LLC (the “</w:t>
      </w:r>
      <w:r>
        <w:rPr>
          <w:rFonts w:ascii="Arial" w:cs="Arial" w:eastAsia="Arial" w:hAnsi="Arial"/>
          <w:sz w:val="17"/>
          <w:szCs w:val="17"/>
          <w:b w:val="1"/>
          <w:bCs w:val="1"/>
          <w:color w:val="auto"/>
        </w:rPr>
        <w:t>Subscriber</w:t>
      </w:r>
      <w:r>
        <w:rPr>
          <w:rFonts w:ascii="Arial" w:cs="Arial" w:eastAsia="Arial" w:hAnsi="Arial"/>
          <w:sz w:val="17"/>
          <w:szCs w:val="17"/>
          <w:color w:val="auto"/>
        </w:rPr>
        <w:t>” or “</w:t>
      </w:r>
      <w:r>
        <w:rPr>
          <w:rFonts w:ascii="Arial" w:cs="Arial" w:eastAsia="Arial" w:hAnsi="Arial"/>
          <w:sz w:val="17"/>
          <w:szCs w:val="17"/>
          <w:b w:val="1"/>
          <w:bCs w:val="1"/>
          <w:color w:val="auto"/>
        </w:rPr>
        <w:t>you</w:t>
      </w:r>
      <w:r>
        <w:rPr>
          <w:rFonts w:ascii="Arial" w:cs="Arial" w:eastAsia="Arial" w:hAnsi="Arial"/>
          <w:sz w:val="17"/>
          <w:szCs w:val="17"/>
          <w:color w:val="auto"/>
        </w:rPr>
        <w:t>”) has made to purchase 5,750,000 shares of Class B common stock (the “</w:t>
      </w:r>
      <w:r>
        <w:rPr>
          <w:rFonts w:ascii="Arial" w:cs="Arial" w:eastAsia="Arial" w:hAnsi="Arial"/>
          <w:sz w:val="17"/>
          <w:szCs w:val="17"/>
          <w:b w:val="1"/>
          <w:bCs w:val="1"/>
          <w:color w:val="auto"/>
        </w:rPr>
        <w:t>Shares</w:t>
      </w:r>
      <w:r>
        <w:rPr>
          <w:rFonts w:ascii="Arial" w:cs="Arial" w:eastAsia="Arial" w:hAnsi="Arial"/>
          <w:sz w:val="17"/>
          <w:szCs w:val="17"/>
          <w:color w:val="auto"/>
        </w:rPr>
        <w:t>”), $0.0001 par value per share (the “</w:t>
      </w:r>
      <w:r>
        <w:rPr>
          <w:rFonts w:ascii="Arial" w:cs="Arial" w:eastAsia="Arial" w:hAnsi="Arial"/>
          <w:sz w:val="17"/>
          <w:szCs w:val="17"/>
          <w:b w:val="1"/>
          <w:bCs w:val="1"/>
          <w:color w:val="auto"/>
        </w:rPr>
        <w:t>Class B Common Stock</w:t>
      </w:r>
      <w:r>
        <w:rPr>
          <w:rFonts w:ascii="Arial" w:cs="Arial" w:eastAsia="Arial" w:hAnsi="Arial"/>
          <w:sz w:val="17"/>
          <w:szCs w:val="17"/>
          <w:color w:val="auto"/>
        </w:rPr>
        <w:t>” together with all other classes of Company (as defined below)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up to 750,000 Shares of which are subject to complete or partial forfeiture by you if the underwriters of the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of Dynamics Special Purpose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do not fully exercise their over-allotment option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The terms (this “</w:t>
      </w:r>
      <w:r>
        <w:rPr>
          <w:rFonts w:ascii="Arial" w:cs="Arial" w:eastAsia="Arial" w:hAnsi="Arial"/>
          <w:sz w:val="17"/>
          <w:szCs w:val="17"/>
          <w:b w:val="1"/>
          <w:bCs w:val="1"/>
          <w:color w:val="auto"/>
        </w:rPr>
        <w:t>Agreement</w:t>
      </w:r>
      <w:r>
        <w:rPr>
          <w:rFonts w:ascii="Arial" w:cs="Arial" w:eastAsia="Arial" w:hAnsi="Arial"/>
          <w:sz w:val="17"/>
          <w:szCs w:val="17"/>
          <w:color w:val="auto"/>
        </w:rPr>
        <w:t>”) on which the Company is willing to sell the Shares to the Subscriber, and the Company and the Subscriber’s agreements regarding such Shares, are as follows:</w:t>
      </w:r>
    </w:p>
    <w:p>
      <w:pPr>
        <w:spacing w:after="0" w:line="173" w:lineRule="exact"/>
        <w:rPr>
          <w:sz w:val="20"/>
          <w:szCs w:val="20"/>
          <w:color w:val="auto"/>
        </w:rPr>
      </w:pPr>
    </w:p>
    <w:p>
      <w:pPr>
        <w:ind w:left="4" w:right="140" w:hanging="4"/>
        <w:spacing w:after="0" w:line="266" w:lineRule="auto"/>
        <w:tabs>
          <w:tab w:leader="none" w:pos="18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 xml:space="preserve"> For the sum of $25,000 (the “</w:t>
      </w:r>
      <w:r>
        <w:rPr>
          <w:rFonts w:ascii="Arial" w:cs="Arial" w:eastAsia="Arial" w:hAnsi="Arial"/>
          <w:sz w:val="18"/>
          <w:szCs w:val="18"/>
          <w:b w:val="1"/>
          <w:bCs w:val="1"/>
          <w:color w:val="auto"/>
        </w:rPr>
        <w:t>Purchase Price</w:t>
      </w:r>
      <w:r>
        <w:rPr>
          <w:rFonts w:ascii="Arial" w:cs="Arial" w:eastAsia="Arial" w:hAnsi="Arial"/>
          <w:sz w:val="18"/>
          <w:szCs w:val="18"/>
          <w:color w:val="auto"/>
        </w:rPr>
        <w:t>”), which the Company acknowledges receiving in cash, the Company hereby sells and issues the Shares to the Subscriber, and the Subscriber hereby purchases the Shares from the Company, subject to the forfeiture provisions of Section 3 below, on the terms and subject to the conditions set forth in this Agreement.</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p>
    <w:p>
      <w:pPr>
        <w:spacing w:after="0" w:line="117" w:lineRule="exact"/>
        <w:rPr>
          <w:sz w:val="20"/>
          <w:szCs w:val="20"/>
          <w:color w:val="auto"/>
        </w:rPr>
      </w:pPr>
    </w:p>
    <w:p>
      <w:pPr>
        <w:ind w:left="444" w:right="52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Company to issue the Shares to the Subscriber, the Subscriber hereby represents and warrants to the Company and agrees with the Company as follows:</w:t>
      </w:r>
    </w:p>
    <w:p>
      <w:pPr>
        <w:spacing w:after="0" w:line="62" w:lineRule="exact"/>
        <w:rPr>
          <w:sz w:val="20"/>
          <w:szCs w:val="20"/>
          <w:color w:val="auto"/>
        </w:rPr>
      </w:pPr>
    </w:p>
    <w:p>
      <w:pPr>
        <w:ind w:left="984" w:right="6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The Subscriber understands that no federal or state agency has passed upon or made any recommendation or endorsement of the offering of the Shares.</w:t>
      </w:r>
    </w:p>
    <w:p>
      <w:pPr>
        <w:spacing w:after="0" w:line="62" w:lineRule="exact"/>
        <w:rPr>
          <w:sz w:val="20"/>
          <w:szCs w:val="20"/>
          <w:color w:val="auto"/>
        </w:rPr>
      </w:pPr>
    </w:p>
    <w:p>
      <w:pPr>
        <w:ind w:left="984" w:right="180"/>
        <w:spacing w:after="0" w:line="301"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(iii) any law, statute, rule or regulation to which the Subscriber is subject or (iv) any agreement, order, judgment or decree to which the Subscriber is subject.</w:t>
      </w:r>
    </w:p>
    <w:p>
      <w:pPr>
        <w:spacing w:after="0" w:line="49" w:lineRule="exact"/>
        <w:rPr>
          <w:sz w:val="20"/>
          <w:szCs w:val="20"/>
          <w:color w:val="auto"/>
        </w:rPr>
      </w:pPr>
    </w:p>
    <w:p>
      <w:pPr>
        <w:ind w:left="984" w:right="60"/>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Organization and Authority</w:t>
      </w:r>
      <w:r>
        <w:rPr>
          <w:rFonts w:ascii="Arial" w:cs="Arial" w:eastAsia="Arial" w:hAnsi="Arial"/>
          <w:sz w:val="17"/>
          <w:szCs w:val="17"/>
          <w:color w:val="auto"/>
        </w:rPr>
        <w:t>.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will be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5" w:right="439" w:bottom="1440" w:gutter="0" w:footer="0" w:header="0"/>
        </w:sectPr>
      </w:pPr>
    </w:p>
    <w:bookmarkStart w:id="323" w:name="page324"/>
    <w:bookmarkEnd w:id="32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 </w:t>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Subscriber is: (i) sophisticated in financial matters and is able to evaluate the risks and benefits of the investment in the Shares and (ii) able to bear the economic risk of its investment in the Shares for an indefinite period of time as the Shares have not been registered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therefore cannot be resold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(x) an effective registration statement under the Securities Act or (y) an exemption from registration available with respect to such sale.</w:t>
      </w:r>
    </w:p>
    <w:p>
      <w:pPr>
        <w:spacing w:after="0" w:line="6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Access to Information; Independent Investigation</w:t>
      </w:r>
      <w:r>
        <w:rPr>
          <w:rFonts w:ascii="Arial" w:cs="Arial" w:eastAsia="Arial" w:hAnsi="Arial"/>
          <w:sz w:val="16"/>
          <w:szCs w:val="16"/>
          <w:color w:val="auto"/>
        </w:rPr>
        <w:t>.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and/or its prospects.</w:t>
      </w:r>
    </w:p>
    <w:p>
      <w:pPr>
        <w:spacing w:after="0" w:line="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Investment Purposes</w:t>
      </w:r>
      <w:r>
        <w:rPr>
          <w:rFonts w:ascii="Arial" w:cs="Arial" w:eastAsia="Arial" w:hAnsi="Arial"/>
          <w:sz w:val="17"/>
          <w:szCs w:val="17"/>
          <w:color w:val="auto"/>
        </w:rPr>
        <w:t>. The Subscriber is purchasing the Shares solely for investment purposes, for the Subscriber’s own account and not for the account or benefit of any other person, and not with a view towards the distribution or dissemination thereof in violation of the registration requirements of the Securities Act. The Subscriber did not enter into this Agreement as a result of any general solicitation or general advertising within the meaning of Rule 502 of Regulation D under the Securities Act.</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Subscriber understands the Shares are being offered in a transaction not involving a public offering within the meaning of the Securities Act. Subscriber understands the Shares will be “restricted securities” as defined in Rule 144(a)(3) under the Securities Act, and Subscriber understands that the certificates or book-entries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11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00"/>
          </w:cols>
          <w:pgMar w:left="1420" w:top="274" w:right="479" w:bottom="1440" w:gutter="0" w:footer="0" w:header="0"/>
        </w:sectPr>
      </w:pPr>
    </w:p>
    <w:bookmarkStart w:id="324" w:name="page325"/>
    <w:bookmarkEnd w:id="324"/>
    <w:p>
      <w:pPr>
        <w:ind w:left="9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2.1.8.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or necessary on the part of Subscriber in connection with the transactions contemplated by this Agreement.</w:t>
      </w:r>
    </w:p>
    <w:p>
      <w:pPr>
        <w:spacing w:after="0" w:line="62" w:lineRule="exact"/>
        <w:rPr>
          <w:sz w:val="20"/>
          <w:szCs w:val="20"/>
          <w:color w:val="auto"/>
        </w:rPr>
      </w:pPr>
    </w:p>
    <w:p>
      <w:pPr>
        <w:ind w:left="444" w:right="22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To induce the Subscriber to purchase the Shares, the Company hereby represents and warrants to the Subscriber and agrees with the Subscriber as follows:</w:t>
      </w:r>
    </w:p>
    <w:p>
      <w:pPr>
        <w:spacing w:after="0" w:line="62" w:lineRule="exact"/>
        <w:rPr>
          <w:sz w:val="20"/>
          <w:szCs w:val="20"/>
          <w:color w:val="auto"/>
        </w:rPr>
      </w:pPr>
    </w:p>
    <w:p>
      <w:pPr>
        <w:ind w:left="984" w:right="60"/>
        <w:spacing w:after="0" w:line="259"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Organization and Corporate Power</w:t>
      </w:r>
      <w:r>
        <w:rPr>
          <w:rFonts w:ascii="Arial" w:cs="Arial" w:eastAsia="Arial" w:hAnsi="Arial"/>
          <w:sz w:val="18"/>
          <w:szCs w:val="18"/>
          <w:color w:val="auto"/>
        </w:rPr>
        <w:t>. The Company is a Delaware corporation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79" w:lineRule="exact"/>
        <w:rPr>
          <w:sz w:val="20"/>
          <w:szCs w:val="20"/>
          <w:color w:val="auto"/>
        </w:rPr>
      </w:pPr>
    </w:p>
    <w:p>
      <w:pPr>
        <w:ind w:left="984" w:right="80"/>
        <w:spacing w:after="0" w:line="279"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the consummation by the Company of the transactions contemplated hereby do not violate, conflict with or constitute a default under (i) the certificate of incorporation or bylaws of the Company, (ii) any agreement, indenture or instrument to which the Company is a party, (iii) any law, statute, rule or regulation to which the Company is subject or (iv) any agreement, order, judgment or decree to which the Company is subject.</w:t>
      </w:r>
    </w:p>
    <w:p>
      <w:pPr>
        <w:spacing w:after="0" w:line="63" w:lineRule="exact"/>
        <w:rPr>
          <w:sz w:val="20"/>
          <w:szCs w:val="20"/>
          <w:color w:val="auto"/>
        </w:rPr>
      </w:pPr>
    </w:p>
    <w:p>
      <w:pPr>
        <w:ind w:left="984" w:right="20"/>
        <w:spacing w:after="0" w:line="275"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(i) transfer restrictions hereunder and other agreements to which the Shares may be subject, (ii) transfer restrictions under federal and state securities laws, and (iii) liens, claims or encumbrances imposed due to the actions of the Subscriber.</w:t>
      </w:r>
    </w:p>
    <w:p>
      <w:pPr>
        <w:spacing w:after="0" w:line="68" w:lineRule="exact"/>
        <w:rPr>
          <w:sz w:val="20"/>
          <w:szCs w:val="20"/>
          <w:color w:val="auto"/>
        </w:rPr>
      </w:pPr>
    </w:p>
    <w:p>
      <w:pPr>
        <w:ind w:left="984"/>
        <w:spacing w:after="0" w:line="291"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No Adverse Actions</w:t>
      </w:r>
      <w:r>
        <w:rPr>
          <w:rFonts w:ascii="Arial" w:cs="Arial" w:eastAsia="Arial" w:hAnsi="Arial"/>
          <w:sz w:val="16"/>
          <w:szCs w:val="16"/>
          <w:color w:val="auto"/>
        </w:rPr>
        <w:t>. There are no actions, suits, investigations or proceedings pending, threatened against or affecting the Company which: (i) seek to restrain, enjoin, prevent the consummation of or otherwise affect the transactions contemplated by this Agreement or</w:t>
      </w:r>
    </w:p>
    <w:p>
      <w:pPr>
        <w:ind w:left="984" w:right="660" w:firstLine="7"/>
        <w:spacing w:after="0" w:line="260" w:lineRule="auto"/>
        <w:tabs>
          <w:tab w:leader="none" w:pos="124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question the validity or legality of any transactions or seek to recover damages or to obtain other relief in connection with any transactions.</w:t>
      </w:r>
    </w:p>
    <w:p>
      <w:pPr>
        <w:spacing w:after="0" w:line="185" w:lineRule="exact"/>
        <w:rPr>
          <w:rFonts w:ascii="Arial" w:cs="Arial" w:eastAsia="Arial" w:hAnsi="Arial"/>
          <w:sz w:val="18"/>
          <w:szCs w:val="18"/>
          <w:color w:val="auto"/>
        </w:rPr>
      </w:pPr>
    </w:p>
    <w:p>
      <w:pPr>
        <w:ind w:left="184" w:hanging="184"/>
        <w:spacing w:after="0"/>
        <w:tabs>
          <w:tab w:leader="none" w:pos="184"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p>
    <w:p>
      <w:pPr>
        <w:spacing w:after="0" w:line="117" w:lineRule="exact"/>
        <w:rPr>
          <w:sz w:val="20"/>
          <w:szCs w:val="20"/>
          <w:color w:val="auto"/>
        </w:rPr>
      </w:pPr>
    </w:p>
    <w:p>
      <w:pPr>
        <w:ind w:left="444" w:right="80"/>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Partial or No Exercise of the Over-allotment Option</w:t>
      </w:r>
      <w:r>
        <w:rPr>
          <w:rFonts w:ascii="Arial" w:cs="Arial" w:eastAsia="Arial" w:hAnsi="Arial"/>
          <w:sz w:val="17"/>
          <w:szCs w:val="17"/>
          <w:color w:val="auto"/>
        </w:rPr>
        <w:t>. In the event the Over-allotment Option granted to the representative(s) of the underwriters of the IPO is not exercised in full, the Subscriber acknowledges and agrees that it shall forfeit any and all rights to such number of Shares (up to an aggregate of 750,000 Shares and pro rata based upon the percentage of the Over-allotment Option exercised) such that immediately following such forfeiture, the Subscriber (and all other initial stockholders prior to the IPO, if any) will own an aggregate number of Shares (not including Common Stock issuable upon exercise of any warrants or any Common Stock purchased by Subscriber in the IPO or in the aftermarket) equal to 20% of the issued and outstanding Common Stock immediately following the IPO.</w:t>
      </w:r>
    </w:p>
    <w:p>
      <w:pPr>
        <w:spacing w:after="0" w:line="70" w:lineRule="exact"/>
        <w:rPr>
          <w:sz w:val="20"/>
          <w:szCs w:val="20"/>
          <w:color w:val="auto"/>
        </w:rPr>
      </w:pPr>
    </w:p>
    <w:p>
      <w:pPr>
        <w:ind w:left="444" w:right="8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If any of the Shares are forfeited in accordance with this Section 3, then after such time the Subscriber (or successor in interest), shall no longer have any rights as a holder of such Shares, and the Company shall take such action as is appropriate to cancel such Shares.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25" w:name="page326"/>
    <w:bookmarkEnd w:id="325"/>
    <w:p>
      <w:pPr>
        <w:ind w:left="4" w:right="20" w:hanging="4"/>
        <w:spacing w:after="0" w:line="272" w:lineRule="auto"/>
        <w:tabs>
          <w:tab w:leader="none" w:pos="184"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of Liquidation Distributions; Redemption Rights</w:t>
      </w:r>
      <w:r>
        <w:rPr>
          <w:rFonts w:ascii="Arial" w:cs="Arial" w:eastAsia="Arial" w:hAnsi="Arial"/>
          <w:sz w:val="17"/>
          <w:szCs w:val="17"/>
          <w:color w:val="auto"/>
        </w:rPr>
        <w:t>.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stockholders and into which substantially all of the proceeds of the IPO will be deposited (the “</w:t>
      </w:r>
      <w:r>
        <w:rPr>
          <w:rFonts w:ascii="Arial" w:cs="Arial" w:eastAsia="Arial" w:hAnsi="Arial"/>
          <w:sz w:val="17"/>
          <w:szCs w:val="17"/>
          <w:b w:val="1"/>
          <w:bCs w:val="1"/>
          <w:color w:val="auto"/>
        </w:rPr>
        <w:t>Trust Account</w:t>
      </w:r>
      <w:r>
        <w:rPr>
          <w:rFonts w:ascii="Arial" w:cs="Arial" w:eastAsia="Arial" w:hAnsi="Arial"/>
          <w:sz w:val="17"/>
          <w:szCs w:val="17"/>
          <w:color w:val="auto"/>
        </w:rPr>
        <w:t>”), in the event of a liquidation of the Company upon the Company’s failure to timely complete an initial business combination. For purposes of clarity, in the event the Subscriber purchases Common Stock in the IPO or in the aftermarket, any additional Common Stock so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177" w:lineRule="exact"/>
        <w:rPr>
          <w:rFonts w:ascii="Arial" w:cs="Arial" w:eastAsia="Arial" w:hAnsi="Arial"/>
          <w:sz w:val="17"/>
          <w:szCs w:val="17"/>
          <w:color w:val="auto"/>
        </w:rPr>
      </w:pPr>
    </w:p>
    <w:p>
      <w:pPr>
        <w:ind w:left="184" w:hanging="184"/>
        <w:spacing w:after="0"/>
        <w:tabs>
          <w:tab w:leader="none" w:pos="184"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Any certificates representing the Shares shall have endorsed thereon legends substantially as follows:</w:t>
      </w:r>
    </w:p>
    <w:p>
      <w:pPr>
        <w:spacing w:after="0" w:line="117" w:lineRule="exact"/>
        <w:rPr>
          <w:sz w:val="20"/>
          <w:szCs w:val="20"/>
          <w:color w:val="auto"/>
        </w:rPr>
      </w:pPr>
    </w:p>
    <w:p>
      <w:pPr>
        <w:ind w:left="444"/>
        <w:spacing w:after="0" w:line="257" w:lineRule="auto"/>
        <w:rPr>
          <w:sz w:val="20"/>
          <w:szCs w:val="20"/>
          <w:color w:val="auto"/>
        </w:rPr>
      </w:pPr>
      <w:r>
        <w:rPr>
          <w:rFonts w:ascii="Arial" w:cs="Arial" w:eastAsia="Arial" w:hAnsi="Arial"/>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80" w:lineRule="exact"/>
        <w:rPr>
          <w:sz w:val="20"/>
          <w:szCs w:val="20"/>
          <w:color w:val="auto"/>
        </w:rPr>
      </w:pPr>
    </w:p>
    <w:p>
      <w:pPr>
        <w:ind w:left="444" w:right="60"/>
        <w:spacing w:after="0" w:line="277" w:lineRule="auto"/>
        <w:rPr>
          <w:sz w:val="20"/>
          <w:szCs w:val="20"/>
          <w:color w:val="auto"/>
        </w:rPr>
      </w:pPr>
      <w:r>
        <w:rPr>
          <w:rFonts w:ascii="Arial" w:cs="Arial" w:eastAsia="Arial" w:hAnsi="Arial"/>
          <w:sz w:val="18"/>
          <w:szCs w:val="18"/>
          <w:color w:val="auto"/>
        </w:rPr>
        <w:t>“THE SECURITIES REPRESENTED BY THIS CERTIFICATE ARE SUBJECT TO LOCKUP PROVISIONS AND MAY NOT BE OFFERED, SOLD, TRANSFERRED, PLEDGED OR OTHERWISE DISPOSED DURING THE TERM OF THE LOCKUP.”</w:t>
      </w:r>
    </w:p>
    <w:p>
      <w:pPr>
        <w:spacing w:after="0" w:line="62" w:lineRule="exact"/>
        <w:rPr>
          <w:sz w:val="20"/>
          <w:szCs w:val="20"/>
          <w:color w:val="auto"/>
        </w:rPr>
      </w:pPr>
    </w:p>
    <w:p>
      <w:pPr>
        <w:ind w:left="444" w:right="20"/>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Additional Shares or Substituted Securities</w:t>
      </w:r>
      <w:r>
        <w:rPr>
          <w:rFonts w:ascii="Arial" w:cs="Arial" w:eastAsia="Arial" w:hAnsi="Arial"/>
          <w:sz w:val="17"/>
          <w:szCs w:val="17"/>
          <w:color w:val="auto"/>
        </w:rPr>
        <w:t>. In the event of the declaration of a stock dividend, the declaration of a special dividend payable in a form other than Common Stock, a spin-off, a stock split, an adjustment in conversion ratio, a recapitalization or a similar transaction affecting the Company’s outstanding Common Stock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or class of Shares subject to this Section 5 and Section 3.</w:t>
      </w:r>
    </w:p>
    <w:p>
      <w:pPr>
        <w:spacing w:after="0" w:line="70" w:lineRule="exact"/>
        <w:rPr>
          <w:sz w:val="20"/>
          <w:szCs w:val="20"/>
          <w:color w:val="auto"/>
        </w:rPr>
      </w:pPr>
    </w:p>
    <w:p>
      <w:pPr>
        <w:ind w:left="444" w:right="620"/>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Subscriber acknowledges that the Shares are being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184" w:lineRule="exact"/>
        <w:rPr>
          <w:sz w:val="20"/>
          <w:szCs w:val="20"/>
          <w:color w:val="auto"/>
        </w:rPr>
      </w:pPr>
    </w:p>
    <w:p>
      <w:pPr>
        <w:ind w:left="184" w:hanging="184"/>
        <w:spacing w:after="0"/>
        <w:tabs>
          <w:tab w:leader="none" w:pos="184"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Other Agreements.</w:t>
      </w:r>
    </w:p>
    <w:p>
      <w:pPr>
        <w:spacing w:after="0" w:line="117"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Subscriber agrees to execute such further instruments and to take such further action as may reasonably be necessary to carry out the intent of this Agreement.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statements or other documents which are required or contemplated by this Agreement shall be in writing and delivered:</w:t>
      </w:r>
    </w:p>
    <w:p>
      <w:pPr>
        <w:spacing w:after="0" w:line="46" w:lineRule="exact"/>
        <w:rPr>
          <w:sz w:val="20"/>
          <w:szCs w:val="20"/>
          <w:color w:val="auto"/>
        </w:rPr>
      </w:pPr>
    </w:p>
    <w:p>
      <w:pPr>
        <w:ind w:left="444" w:right="100" w:hanging="4"/>
        <w:spacing w:after="0" w:line="290" w:lineRule="auto"/>
        <w:tabs>
          <w:tab w:leader="none" w:pos="65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326" w:name="page327"/>
    <w:bookmarkEnd w:id="32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that certain insider letter to be entered into between Subscriber and the Company, substantially in the form to be filed as an exhibit to the Registration Statement on Form S-1 associated with the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all parties hereto.</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Waivers and Consents</w:t>
      </w:r>
      <w:r>
        <w:rPr>
          <w:rFonts w:ascii="Arial" w:cs="Arial" w:eastAsia="Arial" w:hAnsi="Arial"/>
          <w:sz w:val="18"/>
          <w:szCs w:val="18"/>
          <w:color w:val="auto"/>
        </w:rPr>
        <w:t>.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under this Agreement may not be assigned by either party hereto without the prior written consent of the other party.</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Benefit</w:t>
      </w:r>
      <w:r>
        <w:rPr>
          <w:rFonts w:ascii="Arial" w:cs="Arial" w:eastAsia="Arial" w:hAnsi="Arial"/>
          <w:sz w:val="18"/>
          <w:szCs w:val="18"/>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construed in accordance with and governed by the laws of the State of New York applicable to contracts wholly performed within the borders of such state, without giving effect to the conflict of law principles thereof.</w:t>
      </w:r>
    </w:p>
    <w:p>
      <w:pPr>
        <w:spacing w:after="0" w:line="7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880" w:top="274" w:right="499" w:bottom="1440" w:gutter="0" w:footer="0" w:header="0"/>
        </w:sectPr>
      </w:pPr>
    </w:p>
    <w:bookmarkStart w:id="327" w:name="page328"/>
    <w:bookmarkEnd w:id="327"/>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6.10. </w:t>
      </w:r>
      <w:r>
        <w:rPr>
          <w:rFonts w:ascii="Arial" w:cs="Arial" w:eastAsia="Arial" w:hAnsi="Arial"/>
          <w:sz w:val="16"/>
          <w:szCs w:val="16"/>
          <w:u w:val="single" w:color="auto"/>
          <w:color w:val="auto"/>
        </w:rPr>
        <w:t>No Waiver of Rights, Powers and Remedies</w:t>
      </w:r>
      <w:r>
        <w:rPr>
          <w:rFonts w:ascii="Arial" w:cs="Arial" w:eastAsia="Arial" w:hAnsi="Arial"/>
          <w:sz w:val="16"/>
          <w:szCs w:val="16"/>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hold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sections of this Agreement are for convenience of reference only and shall in no way modify or affect the meaning or construction of any of the terms or provisions hereof.</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7"/>
          <w:szCs w:val="17"/>
          <w:i w:val="1"/>
          <w:iCs w:val="1"/>
          <w:color w:val="auto"/>
        </w:rPr>
        <w:t>include</w:t>
      </w:r>
      <w:r>
        <w:rPr>
          <w:rFonts w:ascii="Arial" w:cs="Arial" w:eastAsia="Arial" w:hAnsi="Arial"/>
          <w:sz w:val="17"/>
          <w:szCs w:val="17"/>
          <w:color w:val="auto"/>
        </w:rPr>
        <w:t>,” “</w:t>
      </w:r>
      <w:r>
        <w:rPr>
          <w:rFonts w:ascii="Arial" w:cs="Arial" w:eastAsia="Arial" w:hAnsi="Arial"/>
          <w:sz w:val="17"/>
          <w:szCs w:val="17"/>
          <w:i w:val="1"/>
          <w:iCs w:val="1"/>
          <w:color w:val="auto"/>
        </w:rPr>
        <w:t>includes</w:t>
      </w:r>
      <w:r>
        <w:rPr>
          <w:rFonts w:ascii="Arial" w:cs="Arial" w:eastAsia="Arial" w:hAnsi="Arial"/>
          <w:sz w:val="17"/>
          <w:szCs w:val="17"/>
          <w:color w:val="auto"/>
        </w:rPr>
        <w:t>,” and “</w:t>
      </w:r>
      <w:r>
        <w:rPr>
          <w:rFonts w:ascii="Arial" w:cs="Arial" w:eastAsia="Arial" w:hAnsi="Arial"/>
          <w:sz w:val="17"/>
          <w:szCs w:val="17"/>
          <w:i w:val="1"/>
          <w:iCs w:val="1"/>
          <w:color w:val="auto"/>
        </w:rPr>
        <w:t>including</w:t>
      </w:r>
      <w:r>
        <w:rPr>
          <w:rFonts w:ascii="Arial" w:cs="Arial" w:eastAsia="Arial" w:hAnsi="Arial"/>
          <w:sz w:val="17"/>
          <w:szCs w:val="17"/>
          <w:color w:val="auto"/>
        </w:rPr>
        <w:t>” will be deemed to be followed by “</w:t>
      </w:r>
      <w:r>
        <w:rPr>
          <w:rFonts w:ascii="Arial" w:cs="Arial" w:eastAsia="Arial" w:hAnsi="Arial"/>
          <w:sz w:val="17"/>
          <w:szCs w:val="17"/>
          <w:i w:val="1"/>
          <w:iCs w:val="1"/>
          <w:color w:val="auto"/>
        </w:rPr>
        <w:t>without limitation</w:t>
      </w:r>
      <w:r>
        <w:rPr>
          <w:rFonts w:ascii="Arial" w:cs="Arial" w:eastAsia="Arial" w:hAnsi="Arial"/>
          <w:sz w:val="17"/>
          <w:szCs w:val="17"/>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7"/>
          <w:szCs w:val="17"/>
          <w:i w:val="1"/>
          <w:iCs w:val="1"/>
          <w:color w:val="auto"/>
        </w:rPr>
        <w:t>this Agreement</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hereby</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and words of similar import refer to this Agreement as a whole and not to any particular section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4" w:right="499" w:bottom="1440" w:gutter="0" w:footer="0" w:header="0"/>
        </w:sectPr>
      </w:pPr>
    </w:p>
    <w:bookmarkStart w:id="328" w:name="page329"/>
    <w:bookmarkEnd w:id="328"/>
    <w:p>
      <w:pPr>
        <w:ind w:left="44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6.16.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46" w:lineRule="exact"/>
        <w:rPr>
          <w:sz w:val="20"/>
          <w:szCs w:val="20"/>
          <w:color w:val="auto"/>
        </w:rPr>
      </w:pPr>
    </w:p>
    <w:p>
      <w:pPr>
        <w:ind w:left="4" w:hanging="4"/>
        <w:spacing w:after="0" w:line="259" w:lineRule="auto"/>
        <w:tabs>
          <w:tab w:leader="none" w:pos="184"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Voting and Redemption of Shares</w:t>
      </w:r>
      <w:r>
        <w:rPr>
          <w:rFonts w:ascii="Arial" w:cs="Arial" w:eastAsia="Arial" w:hAnsi="Arial"/>
          <w:sz w:val="18"/>
          <w:szCs w:val="18"/>
          <w:color w:val="auto"/>
        </w:rPr>
        <w:t>. Subscriber agrees to vote the Shares in favor of an initial business combination that the Company negotiates and submits for approval to the Company’s stockholders and shall not seek redemption with respect to such Shares. Additionally, the Subscriber agrees not to redeem any Shares in connection with a redemption or tender offer presented to the Company’s stockholders in connection with an initial business combination negotiated by the Company</w:t>
      </w:r>
    </w:p>
    <w:p>
      <w:pPr>
        <w:spacing w:after="0" w:line="187"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4"/>
          </w:cols>
          <w:pgMar w:left="436" w:top="274" w:right="619" w:bottom="1440" w:gutter="0" w:footer="0" w:header="0"/>
        </w:sectPr>
      </w:pPr>
    </w:p>
    <w:bookmarkStart w:id="329" w:name="page330"/>
    <w:bookmarkEnd w:id="32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accurately sets forth our understanding and agreement, please sign the enclosed copy of this Agreement and return it to us.</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DYNAMICS SPECIAL PURPOSE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SPONSOR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Mostafa Ronaghi</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Subscription Agreement</w:t>
      </w:r>
      <w:r>
        <w:rPr>
          <w:rFonts w:ascii="Arial" w:cs="Arial" w:eastAsia="Arial" w:hAnsi="Arial"/>
          <w:sz w:val="18"/>
          <w:szCs w:val="18"/>
          <w:color w:val="auto"/>
        </w:rPr>
        <w:t>]</w:t>
      </w:r>
    </w:p>
    <w:p>
      <w:pPr>
        <w:sectPr>
          <w:pgSz w:w="11900" w:h="16838" w:orient="portrait"/>
          <w:cols w:equalWidth="0" w:num="1">
            <w:col w:w="10420"/>
          </w:cols>
          <w:pgMar w:left="440" w:top="274" w:right="10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PRIVATE PLACEMENT SHARES PURCHASE AGREEMENT</w:t>
      </w:r>
    </w:p>
    <w:p>
      <w:pPr>
        <w:spacing w:after="0" w:line="229"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THIS PRIVATE PLACEMENT SHARES PURCHASE AGREEMENT (as it may from time to time be amended and including all exhibits referenced herein,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[_____], 2021, is entered into by and between Dynamics Special Purpose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Dynamics Sponsor LLC, a Delaware limited liability company (the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w:t>
      </w:r>
    </w:p>
    <w:p>
      <w:pPr>
        <w:spacing w:after="0" w:line="184"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WHEREAS, the Company intends to consummate an initial public offering of the Company’s Class A common stock, par value $0.0001 per share (each, a “</w:t>
      </w:r>
      <w:r>
        <w:rPr>
          <w:rFonts w:ascii="Arial" w:cs="Arial" w:eastAsia="Arial" w:hAnsi="Arial"/>
          <w:sz w:val="17"/>
          <w:szCs w:val="17"/>
          <w:b w:val="1"/>
          <w:bCs w:val="1"/>
          <w:i w:val="1"/>
          <w:iCs w:val="1"/>
          <w:color w:val="auto"/>
        </w:rPr>
        <w:t>Share</w:t>
      </w:r>
      <w:r>
        <w:rPr>
          <w:rFonts w:ascii="Arial" w:cs="Arial" w:eastAsia="Arial" w:hAnsi="Arial"/>
          <w:sz w:val="17"/>
          <w:szCs w:val="17"/>
          <w:color w:val="auto"/>
        </w:rPr>
        <w:t>”), as set forth in the Company’s Registration Statement on Form S-1,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File Number 333-228494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w:t>
      </w:r>
    </w:p>
    <w:p>
      <w:pPr>
        <w:spacing w:after="0" w:line="16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WHEREAS, the Purchaser has agreed to purchase an aggregate of 655,500 Shares (or 715,500 Shares if the underwriters in the Public Offering exercise their option to purchase additional Shares in full) (the “</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w:t>
      </w:r>
    </w:p>
    <w:p>
      <w:pPr>
        <w:spacing w:after="0" w:line="170" w:lineRule="exact"/>
        <w:rPr>
          <w:sz w:val="20"/>
          <w:szCs w:val="20"/>
          <w:color w:val="auto"/>
        </w:rPr>
      </w:pPr>
    </w:p>
    <w:p>
      <w:pPr>
        <w:ind w:left="4" w:right="240"/>
        <w:spacing w:after="0" w:line="342" w:lineRule="auto"/>
        <w:rPr>
          <w:sz w:val="20"/>
          <w:szCs w:val="20"/>
          <w:color w:val="auto"/>
        </w:rPr>
      </w:pPr>
      <w:r>
        <w:rPr>
          <w:rFonts w:ascii="Arial" w:cs="Arial" w:eastAsia="Arial" w:hAnsi="Arial"/>
          <w:sz w:val="16"/>
          <w:szCs w:val="16"/>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 Authorization, Purchase and Sale; Terms of the Private Placement Shares</w:t>
      </w:r>
      <w:r>
        <w:rPr>
          <w:rFonts w:ascii="Arial" w:cs="Arial" w:eastAsia="Arial" w:hAnsi="Arial"/>
          <w:sz w:val="18"/>
          <w:szCs w:val="18"/>
          <w:color w:val="auto"/>
        </w:rPr>
        <w:t>.</w:t>
      </w:r>
    </w:p>
    <w:p>
      <w:pPr>
        <w:spacing w:after="0" w:line="229"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the Private Placement Shares</w:t>
      </w:r>
      <w:r>
        <w:rPr>
          <w:rFonts w:ascii="Arial" w:cs="Arial" w:eastAsia="Arial" w:hAnsi="Arial"/>
          <w:sz w:val="18"/>
          <w:szCs w:val="18"/>
          <w:color w:val="auto"/>
        </w:rPr>
        <w:t>. The Company has duly authorized the issuance and sale of the Private Placement Shares to the Purchaser.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Purchase and Sale of the Private Placement Shares</w:t>
      </w:r>
      <w:r>
        <w:rPr>
          <w:rFonts w:ascii="Arial" w:cs="Arial" w:eastAsia="Arial" w:hAnsi="Arial"/>
          <w:sz w:val="18"/>
          <w:szCs w:val="18"/>
          <w:color w:val="auto"/>
        </w:rPr>
        <w:t>.</w:t>
      </w:r>
    </w:p>
    <w:p>
      <w:pPr>
        <w:spacing w:after="0" w:line="225" w:lineRule="exact"/>
        <w:rPr>
          <w:sz w:val="20"/>
          <w:szCs w:val="20"/>
          <w:color w:val="auto"/>
        </w:rPr>
      </w:pPr>
    </w:p>
    <w:p>
      <w:pPr>
        <w:ind w:left="4" w:right="100" w:hanging="4"/>
        <w:spacing w:after="0" w:line="290" w:lineRule="auto"/>
        <w:tabs>
          <w:tab w:leader="none" w:pos="21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On the date of the consummation of the Public Offering (the “</w:t>
      </w:r>
      <w:r>
        <w:rPr>
          <w:rFonts w:ascii="Arial" w:cs="Arial" w:eastAsia="Arial" w:hAnsi="Arial"/>
          <w:sz w:val="16"/>
          <w:szCs w:val="16"/>
          <w:b w:val="1"/>
          <w:bCs w:val="1"/>
          <w:i w:val="1"/>
          <w:iCs w:val="1"/>
          <w:color w:val="auto"/>
        </w:rPr>
        <w:t>IPO Closing Date</w:t>
      </w:r>
      <w:r>
        <w:rPr>
          <w:rFonts w:ascii="Arial" w:cs="Arial" w:eastAsia="Arial" w:hAnsi="Arial"/>
          <w:sz w:val="16"/>
          <w:szCs w:val="16"/>
          <w:color w:val="auto"/>
        </w:rPr>
        <w:t>”), the Company shall issue and sell to the Purchaser, and the Purchaser shall purchase from the Company 655,500 Private Placement Shares at a price of $10.00 per Private Placement Share for an aggregate purchase price of $6,555,000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The Purchaser shall pay the Purchase Price by wire transfer of immediately available funds in the following amounts: (i) $2,555,000 to the Company at a financial institution to be chosen by the Company, and (ii) $4,000,000 to the trust account maintained by Continental Stock Transfer &amp; Trust Company, acting as trustee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in each case in accordance with the Company’s wiring instructions, at least one (1) business day prior to the IPO Closing Date. On the IPO Closing Date, subject to the receipt of funds pursuant to the immediately prior sentence, the Company, at its option, shall deliver a certificate evidencing the Private Placement Shares purchased on such date duly registered in the Purchaser’s name to the Purchaser or effect such delivery in book-entry form.</w:t>
      </w:r>
    </w:p>
    <w:p>
      <w:pPr>
        <w:spacing w:after="0" w:line="165" w:lineRule="exact"/>
        <w:rPr>
          <w:rFonts w:ascii="Arial" w:cs="Arial" w:eastAsia="Arial" w:hAnsi="Arial"/>
          <w:sz w:val="16"/>
          <w:szCs w:val="16"/>
          <w:color w:val="auto"/>
        </w:rPr>
      </w:pPr>
    </w:p>
    <w:p>
      <w:pPr>
        <w:ind w:left="4" w:right="20" w:hanging="4"/>
        <w:spacing w:after="0" w:line="289" w:lineRule="auto"/>
        <w:tabs>
          <w:tab w:leader="none" w:pos="26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On the date of the closing of the option to purchase additional Shares, if any, in connection with the Public Offering or on such earlier time and date as may be mutually agreed by the Purchaser and the Company (the “</w:t>
      </w:r>
      <w:r>
        <w:rPr>
          <w:rFonts w:ascii="Arial" w:cs="Arial" w:eastAsia="Arial" w:hAnsi="Arial"/>
          <w:sz w:val="16"/>
          <w:szCs w:val="16"/>
          <w:b w:val="1"/>
          <w:bCs w:val="1"/>
          <w:i w:val="1"/>
          <w:iCs w:val="1"/>
          <w:color w:val="auto"/>
        </w:rPr>
        <w:t>Option Closing Date</w:t>
      </w:r>
      <w:r>
        <w:rPr>
          <w:rFonts w:ascii="Arial" w:cs="Arial" w:eastAsia="Arial" w:hAnsi="Arial"/>
          <w:sz w:val="16"/>
          <w:szCs w:val="16"/>
          <w:color w:val="auto"/>
        </w:rPr>
        <w:t>”, and each Option Closing Date (if any) and the IPO Closing Date, a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the Company shall issue and sell to the Purchaser, and the Purchaser shall purchase from the Company, up to 60,000 Private Placement Shares (or, to the extent the option to purchase additional Shares is not exercised in full, a lesser number of Private Placement Shares in proportion to portion of the option that is exercised) at a price of $10.00 per Private Placement Share for an aggregate purchase price of up to $600,000 (the “</w:t>
      </w:r>
      <w:r>
        <w:rPr>
          <w:rFonts w:ascii="Arial" w:cs="Arial" w:eastAsia="Arial" w:hAnsi="Arial"/>
          <w:sz w:val="16"/>
          <w:szCs w:val="16"/>
          <w:b w:val="1"/>
          <w:bCs w:val="1"/>
          <w:i w:val="1"/>
          <w:iCs w:val="1"/>
          <w:color w:val="auto"/>
        </w:rPr>
        <w:t>Option Purchase Price</w:t>
      </w:r>
      <w:r>
        <w:rPr>
          <w:rFonts w:ascii="Arial" w:cs="Arial" w:eastAsia="Arial" w:hAnsi="Arial"/>
          <w:sz w:val="16"/>
          <w:szCs w:val="16"/>
          <w:color w:val="auto"/>
        </w:rPr>
        <w:t>”). The Purchaser shall pay the Option Purchase Price in accordance with the Company’s wire instruction by wire transfer of immediately available funds to the Trust Account, at least one (1) business day prior to the Option Closing Date. On the Option Closing Date, subject to the receipt of funds pursuant to the immediately prior sentence, the Company shall, at its option, deliver a certificate evidencing the Private Placement Shares purchased on such date duly registered in the Purchaser’s name to the Purchaser or effect such delivery in book-entry form.</w:t>
      </w:r>
    </w:p>
    <w:p>
      <w:pPr>
        <w:sectPr>
          <w:pgSz w:w="11900" w:h="16838" w:orient="portrait"/>
          <w:cols w:equalWidth="0" w:num="1">
            <w:col w:w="11024"/>
          </w:cols>
          <w:pgMar w:left="436" w:top="121" w:right="439" w:bottom="1440" w:gutter="0" w:footer="0" w:header="0"/>
        </w:sectPr>
      </w:pPr>
    </w:p>
    <w:bookmarkStart w:id="331" w:name="page332"/>
    <w:bookmarkEnd w:id="33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8"/>
          <w:szCs w:val="18"/>
          <w:u w:val="single" w:color="auto"/>
          <w:color w:val="auto"/>
        </w:rPr>
        <w:t>Terms of the Private Placement Shares</w:t>
      </w:r>
      <w:r>
        <w:rPr>
          <w:rFonts w:ascii="Arial" w:cs="Arial" w:eastAsia="Arial" w:hAnsi="Arial"/>
          <w:sz w:val="18"/>
          <w:szCs w:val="18"/>
          <w:color w:val="auto"/>
        </w:rPr>
        <w:t>.</w:t>
      </w:r>
    </w:p>
    <w:p>
      <w:pPr>
        <w:spacing w:after="0" w:line="225" w:lineRule="exact"/>
        <w:rPr>
          <w:sz w:val="20"/>
          <w:szCs w:val="20"/>
          <w:color w:val="auto"/>
        </w:rPr>
      </w:pPr>
    </w:p>
    <w:p>
      <w:pPr>
        <w:ind w:left="4" w:hanging="4"/>
        <w:spacing w:after="0" w:line="273" w:lineRule="auto"/>
        <w:tabs>
          <w:tab w:leader="none" w:pos="21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Private Placement Shares are substantially identical to the Shares to be offered in the Public Offering except that (a) the Private Placement Shares will not, except in limited circumstances, be transferable or salable until 30 days after the completion of the Company’s initial business combination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so long as they are held by the Purchaser or its permitted transferees, and (b) the Private Placement Shares are being purchased pursuant to an exemption from the registration requirements of the Securities Act and will become freely tradable only after the expiration of the lockup described above in clause (a) and they are registered pursuant to the Registration and Shareholder Rights Agreement (as defined below), or an exemption from registration is available and the restrictions described above in clause (a) have expired.</w:t>
      </w:r>
    </w:p>
    <w:p>
      <w:pPr>
        <w:spacing w:after="0" w:line="177" w:lineRule="exact"/>
        <w:rPr>
          <w:rFonts w:ascii="Arial" w:cs="Arial" w:eastAsia="Arial" w:hAnsi="Arial"/>
          <w:sz w:val="17"/>
          <w:szCs w:val="17"/>
          <w:color w:val="auto"/>
        </w:rPr>
      </w:pPr>
    </w:p>
    <w:p>
      <w:pPr>
        <w:ind w:left="4" w:right="60" w:hanging="4"/>
        <w:spacing w:after="0" w:line="263" w:lineRule="auto"/>
        <w:tabs>
          <w:tab w:leader="none" w:pos="26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On the IPO Closing Date, the Company and the Purchaser shall enter into a registration and shareholder rights agreement (the “</w:t>
      </w:r>
      <w:r>
        <w:rPr>
          <w:rFonts w:ascii="Arial" w:cs="Arial" w:eastAsia="Arial" w:hAnsi="Arial"/>
          <w:sz w:val="18"/>
          <w:szCs w:val="18"/>
          <w:b w:val="1"/>
          <w:bCs w:val="1"/>
          <w:i w:val="1"/>
          <w:iCs w:val="1"/>
          <w:color w:val="auto"/>
        </w:rPr>
        <w:t>Registration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Shareholder Rights Agreement</w:t>
      </w:r>
      <w:r>
        <w:rPr>
          <w:rFonts w:ascii="Arial" w:cs="Arial" w:eastAsia="Arial" w:hAnsi="Arial"/>
          <w:sz w:val="18"/>
          <w:szCs w:val="18"/>
          <w:color w:val="auto"/>
        </w:rPr>
        <w:t>”) pursuant to which the Company will grant certain registration rights to the Purchaser relating to the Private Placement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180"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 to enter into this Agreement and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Placement Shares the Company hereby represents and warrants to the Purchaser (which representations and warranties shall survive each Closing Date) that:</w:t>
      </w:r>
    </w:p>
    <w:p>
      <w:pPr>
        <w:spacing w:after="0" w:line="72"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Incorporation and Corporate Power</w:t>
      </w:r>
      <w:r>
        <w:rPr>
          <w:rFonts w:ascii="Arial" w:cs="Arial" w:eastAsia="Arial" w:hAnsi="Arial"/>
          <w:sz w:val="18"/>
          <w:szCs w:val="18"/>
          <w:color w:val="auto"/>
        </w:rPr>
        <w:t>.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ind w:left="4" w:right="240" w:hanging="4"/>
        <w:spacing w:after="0" w:line="255" w:lineRule="auto"/>
        <w:tabs>
          <w:tab w:leader="none" w:pos="21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Private Placement Shares have been duly authorized by the Company as of the Closing Date. This Agreement constitutes the valid and binding obligation of the Company,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 Upon issuance in accordance with, and payment pursuant to, the terms of this Agreement, the Private Placement Shares will constitute valid and binding obligations of the Company, enforceable in accordance with their terms as of the Closing Date.</w:t>
      </w:r>
    </w:p>
    <w:p>
      <w:pPr>
        <w:spacing w:after="0" w:line="192" w:lineRule="exact"/>
        <w:rPr>
          <w:rFonts w:ascii="Arial" w:cs="Arial" w:eastAsia="Arial" w:hAnsi="Arial"/>
          <w:sz w:val="18"/>
          <w:szCs w:val="18"/>
          <w:color w:val="auto"/>
        </w:rPr>
      </w:pPr>
    </w:p>
    <w:p>
      <w:pPr>
        <w:ind w:left="4" w:right="260" w:hanging="4"/>
        <w:spacing w:after="0" w:line="291" w:lineRule="auto"/>
        <w:tabs>
          <w:tab w:leader="none" w:pos="269"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and the Private Placement Shares, the issuance and sale of the Private Placement Shares and the fulfillment of and compliance with the respective terms hereof and thereof by the Company, do not and will not as of the Closing Date</w:t>
      </w:r>
    </w:p>
    <w:p>
      <w:pPr>
        <w:ind w:left="4" w:right="20"/>
        <w:spacing w:after="0" w:line="290" w:lineRule="auto"/>
        <w:rPr>
          <w:rFonts w:ascii="Arial" w:cs="Arial" w:eastAsia="Arial" w:hAnsi="Arial"/>
          <w:sz w:val="16"/>
          <w:szCs w:val="16"/>
          <w:color w:val="auto"/>
        </w:rPr>
      </w:pPr>
      <w:r>
        <w:rPr>
          <w:rFonts w:ascii="Arial" w:cs="Arial" w:eastAsia="Arial" w:hAnsi="Arial"/>
          <w:sz w:val="16"/>
          <w:szCs w:val="16"/>
          <w:color w:val="auto"/>
        </w:rPr>
        <w:t>(a) conflict with or result in a breach of the terms, conditions or provisions of, (b) constitute a default under, (c) result in the creation of any lien, security interest, charge or encumbrance upon the Company’s share capital or assets under, (d) result in a violation of, or (e) require any authorization, consent, approval, exemption or other action by or notice or declaration to, or filing with, any court or administrative or governmental body or agency pursuant to the amended and restated memorandum and articles of association of the Company (in effect on the date hereof or as may be amended prior to completion of the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64"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Title to Securities</w:t>
      </w:r>
      <w:r>
        <w:rPr>
          <w:rFonts w:ascii="Arial" w:cs="Arial" w:eastAsia="Arial" w:hAnsi="Arial"/>
          <w:sz w:val="18"/>
          <w:szCs w:val="18"/>
          <w:color w:val="auto"/>
        </w:rPr>
        <w:t>. Upon issuance in accordance with, and payment pursuant to, the terms hereof, the Private Placement Shares will be duly and validly issued, fully paid and nonassessable. Upon issuance in accordance with, and payment pursuant to, the terms hereof, the Purchaser will have good title to the Private Placement Shares purchased by it,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ectPr>
          <w:pgSz w:w="11900" w:h="16838" w:orient="portrait"/>
          <w:cols w:equalWidth="0" w:num="1">
            <w:col w:w="11024"/>
          </w:cols>
          <w:pgMar w:left="436" w:top="274" w:right="439" w:bottom="1440" w:gutter="0" w:footer="0" w:header="0"/>
        </w:sectPr>
      </w:pPr>
    </w:p>
    <w:bookmarkStart w:id="332" w:name="page333"/>
    <w:bookmarkEnd w:id="332"/>
    <w:p>
      <w:pPr>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4"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Regulation D Qualification</w:t>
      </w:r>
      <w:r>
        <w:rPr>
          <w:rFonts w:ascii="Arial" w:cs="Arial" w:eastAsia="Arial" w:hAnsi="Arial"/>
          <w:sz w:val="18"/>
          <w:szCs w:val="18"/>
          <w:color w:val="auto"/>
        </w:rPr>
        <w:t>. Neither the Company nor, to its actual knowledge, any of its affiliates, members, officers, directors or beneficial shareholders of 20% or more of its outstanding securities, has experienced a disqualifying event as enumerated pursuant to Rule 506(d) of Regulation D under the Securities Act.</w:t>
      </w:r>
    </w:p>
    <w:p>
      <w:pPr>
        <w:spacing w:after="0" w:line="180" w:lineRule="exact"/>
        <w:rPr>
          <w:sz w:val="20"/>
          <w:szCs w:val="20"/>
          <w:color w:val="auto"/>
        </w:rPr>
      </w:pPr>
    </w:p>
    <w:p>
      <w:pPr>
        <w:ind w:left="4" w:right="100"/>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 </w:t>
      </w:r>
      <w:r>
        <w:rPr>
          <w:rFonts w:ascii="Arial" w:cs="Arial" w:eastAsia="Arial" w:hAnsi="Arial"/>
          <w:sz w:val="18"/>
          <w:szCs w:val="18"/>
          <w:color w:val="auto"/>
        </w:rPr>
        <w:t>As a material inducement to the Company to enter into this Agreement and issue and</w:t>
      </w:r>
      <w:r>
        <w:rPr>
          <w:rFonts w:ascii="Arial" w:cs="Arial" w:eastAsia="Arial" w:hAnsi="Arial"/>
          <w:sz w:val="18"/>
          <w:szCs w:val="18"/>
          <w:b w:val="1"/>
          <w:bCs w:val="1"/>
          <w:color w:val="auto"/>
        </w:rPr>
        <w:t xml:space="preserve"> </w:t>
      </w:r>
      <w:r>
        <w:rPr>
          <w:rFonts w:ascii="Arial" w:cs="Arial" w:eastAsia="Arial" w:hAnsi="Arial"/>
          <w:sz w:val="18"/>
          <w:szCs w:val="18"/>
          <w:color w:val="auto"/>
        </w:rPr>
        <w:t>sell the Private Placement Shares to the Purchaser, the Purchaser hereby represents and warrants to the Company (which representations and warranties shall survive each Closing Date) that:</w:t>
      </w:r>
    </w:p>
    <w:p>
      <w:pPr>
        <w:spacing w:after="0" w:line="72"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The Purchaser possesses all requisite power and authority necessary to carry out the transactions contemplated by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r>
        <w:rPr>
          <w:rFonts w:ascii="Arial" w:cs="Arial" w:eastAsia="Arial" w:hAnsi="Arial"/>
          <w:sz w:val="18"/>
          <w:szCs w:val="18"/>
          <w:color w:val="auto"/>
        </w:rPr>
        <w:t>.</w:t>
      </w:r>
    </w:p>
    <w:p>
      <w:pPr>
        <w:spacing w:after="0" w:line="225" w:lineRule="exact"/>
        <w:rPr>
          <w:sz w:val="20"/>
          <w:szCs w:val="20"/>
          <w:color w:val="auto"/>
        </w:rPr>
      </w:pPr>
    </w:p>
    <w:p>
      <w:pPr>
        <w:ind w:left="4" w:right="300" w:hanging="4"/>
        <w:spacing w:after="0" w:line="263" w:lineRule="auto"/>
        <w:tabs>
          <w:tab w:leader="none" w:pos="21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3" w:lineRule="exact"/>
        <w:rPr>
          <w:rFonts w:ascii="Arial" w:cs="Arial" w:eastAsia="Arial" w:hAnsi="Arial"/>
          <w:sz w:val="18"/>
          <w:szCs w:val="18"/>
          <w:color w:val="auto"/>
        </w:rPr>
      </w:pPr>
    </w:p>
    <w:p>
      <w:pPr>
        <w:ind w:left="4" w:right="40" w:hanging="4"/>
        <w:spacing w:after="0" w:line="254" w:lineRule="auto"/>
        <w:tabs>
          <w:tab w:leader="none" w:pos="26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each Closing Date (a) conflict with or result in a breach by the Purchaser of the terms, conditions or provisions of, (b) constitute a default under, (c) result in the creation of any lien, security interest, charge or encumbrance upon the Purchaser’s equity or assets under, (d) result in a violation of, or (e) require authorization, consent, approval, exemption or other action by or notice or declaration to, or filing with, any court or administrative or governmental body or agency pursuant to the Purchaser’s organizational documents in effect on the date hereof or as may be amended prior to completion of the contemplated Public Offering, or any material law, statute, rule or regulation to which the Purchaser is subject, or any agreement, instrument, order, judgment or decree to which the Purchaser is subject, except for any filings required after the date hereof under federal or state securities laws.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w:t>
      </w:r>
    </w:p>
    <w:p>
      <w:pPr>
        <w:spacing w:after="0" w:line="225" w:lineRule="exact"/>
        <w:rPr>
          <w:sz w:val="20"/>
          <w:szCs w:val="20"/>
          <w:color w:val="auto"/>
        </w:rPr>
      </w:pPr>
    </w:p>
    <w:p>
      <w:pPr>
        <w:ind w:left="4" w:right="80" w:hanging="4"/>
        <w:spacing w:after="0" w:line="277" w:lineRule="auto"/>
        <w:tabs>
          <w:tab w:leader="none" w:pos="21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Purchaser is acquiring the Private Placement Shares for its own account, for investment purposes only and not with a view towards, or for resale in connection with, any public sale or distribution thereof.</w:t>
      </w:r>
    </w:p>
    <w:p>
      <w:pPr>
        <w:spacing w:after="0" w:line="170" w:lineRule="exact"/>
        <w:rPr>
          <w:rFonts w:ascii="Arial" w:cs="Arial" w:eastAsia="Arial" w:hAnsi="Arial"/>
          <w:sz w:val="18"/>
          <w:szCs w:val="18"/>
          <w:color w:val="auto"/>
        </w:rPr>
      </w:pPr>
    </w:p>
    <w:p>
      <w:pPr>
        <w:ind w:left="4" w:right="100" w:hanging="4"/>
        <w:spacing w:after="0" w:line="308" w:lineRule="auto"/>
        <w:tabs>
          <w:tab w:leader="none" w:pos="269"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Purchaser is an “</w:t>
      </w:r>
      <w:r>
        <w:rPr>
          <w:rFonts w:ascii="Arial" w:cs="Arial" w:eastAsia="Arial" w:hAnsi="Arial"/>
          <w:sz w:val="17"/>
          <w:szCs w:val="17"/>
          <w:b w:val="1"/>
          <w:bCs w:val="1"/>
          <w:i w:val="1"/>
          <w:iCs w:val="1"/>
          <w:color w:val="auto"/>
        </w:rPr>
        <w:t>accredited investor</w:t>
      </w:r>
      <w:r>
        <w:rPr>
          <w:rFonts w:ascii="Arial" w:cs="Arial" w:eastAsia="Arial" w:hAnsi="Arial"/>
          <w:sz w:val="17"/>
          <w:szCs w:val="17"/>
          <w:color w:val="auto"/>
        </w:rPr>
        <w:t>” as such term is defined in Rule 501(a)(3) of Regulation D under the Securities Act, and the Purchaser has not experienced a disqualifying event as enumerated pursuant to Rule 506(d) of Regulation D under the Securities Act.</w:t>
      </w:r>
    </w:p>
    <w:p>
      <w:pPr>
        <w:spacing w:after="0" w:line="146" w:lineRule="exact"/>
        <w:rPr>
          <w:rFonts w:ascii="Arial" w:cs="Arial" w:eastAsia="Arial" w:hAnsi="Arial"/>
          <w:sz w:val="17"/>
          <w:szCs w:val="17"/>
          <w:color w:val="auto"/>
        </w:rPr>
      </w:pPr>
    </w:p>
    <w:p>
      <w:pPr>
        <w:ind w:left="4" w:right="200" w:hanging="4"/>
        <w:spacing w:after="0" w:line="279" w:lineRule="auto"/>
        <w:tabs>
          <w:tab w:leader="none" w:pos="319"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Purchaser understands that the Private Placement Shares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Private Placement Shares.</w:t>
      </w:r>
    </w:p>
    <w:p>
      <w:pPr>
        <w:spacing w:after="0" w:line="171" w:lineRule="exact"/>
        <w:rPr>
          <w:rFonts w:ascii="Arial" w:cs="Arial" w:eastAsia="Arial" w:hAnsi="Arial"/>
          <w:sz w:val="17"/>
          <w:szCs w:val="17"/>
          <w:color w:val="auto"/>
        </w:rPr>
      </w:pPr>
    </w:p>
    <w:p>
      <w:pPr>
        <w:ind w:left="4" w:right="220" w:hanging="4"/>
        <w:spacing w:after="0" w:line="277" w:lineRule="auto"/>
        <w:tabs>
          <w:tab w:leader="none" w:pos="30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under the Securities Act.</w:t>
      </w:r>
    </w:p>
    <w:p>
      <w:pPr>
        <w:spacing w:after="0" w:line="170" w:lineRule="exact"/>
        <w:rPr>
          <w:rFonts w:ascii="Arial" w:cs="Arial" w:eastAsia="Arial" w:hAnsi="Arial"/>
          <w:sz w:val="18"/>
          <w:szCs w:val="18"/>
          <w:color w:val="auto"/>
        </w:rPr>
      </w:pPr>
    </w:p>
    <w:p>
      <w:pPr>
        <w:ind w:left="4" w:hanging="4"/>
        <w:spacing w:after="0" w:line="257" w:lineRule="auto"/>
        <w:tabs>
          <w:tab w:leader="none" w:pos="25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Private Placement Shares which have been requested by the Purchaser. The Purchaser has been afforded the opportunity to ask questions of the executive officers and directors of the Company. The Purchaser understands that its investment in the Private Placement Shares involves a high degree of risk and it has sought such accounting, legal and tax advice as it has considered necessary to make an informed investment decision with respect to the acquisition of the Private Placement Shares.</w:t>
      </w:r>
    </w:p>
    <w:p>
      <w:pPr>
        <w:sectPr>
          <w:pgSz w:w="11900" w:h="16838" w:orient="portrait"/>
          <w:cols w:equalWidth="0" w:num="1">
            <w:col w:w="11004"/>
          </w:cols>
          <w:pgMar w:left="436" w:top="274" w:right="459" w:bottom="1440" w:gutter="0" w:footer="0" w:header="0"/>
        </w:sectPr>
      </w:pPr>
    </w:p>
    <w:bookmarkStart w:id="333" w:name="page334"/>
    <w:bookmarkEnd w:id="333"/>
    <w:p>
      <w:pPr>
        <w:ind w:left="4" w:right="120" w:hanging="4"/>
        <w:spacing w:after="0" w:line="311" w:lineRule="auto"/>
        <w:tabs>
          <w:tab w:leader="none" w:pos="309" w:val="left"/>
        </w:tabs>
        <w:numPr>
          <w:ilvl w:val="0"/>
          <w:numId w:val="2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Purchaser understands that no United States federal or state agency or any other government or governmental agency has passed on or made any recommendation or endorsement of the Private Placement Shares or the fairness or suitability of the investment in the Private Placement Shares by the Purchaser nor have such authorities passed upon or endorsed the merits of the offering of the Private Placement Shares.</w:t>
      </w:r>
    </w:p>
    <w:p>
      <w:pPr>
        <w:spacing w:after="0" w:line="148" w:lineRule="exact"/>
        <w:rPr>
          <w:rFonts w:ascii="Arial" w:cs="Arial" w:eastAsia="Arial" w:hAnsi="Arial"/>
          <w:sz w:val="16"/>
          <w:szCs w:val="16"/>
          <w:color w:val="auto"/>
        </w:rPr>
      </w:pPr>
    </w:p>
    <w:p>
      <w:pPr>
        <w:ind w:left="4" w:right="20" w:hanging="4"/>
        <w:spacing w:after="0" w:line="269" w:lineRule="auto"/>
        <w:tabs>
          <w:tab w:leader="none" w:pos="35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Purchaser understands that: (a) the Private Placement Shares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and Shareholder Rights Agreement, neither the Company nor any other person is under any obligation to register the Private Placement Shares under the Securities Act or any state securities laws or to comply with the terms and conditions of any exemption thereunder. In this regard, the Purchaser understands that the SEC has taken the position that promoters or affiliates of a blank check company and their transferees, both before and after an initial Business Combination, are deemed to be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under the Securities Act when reselling the securities of a blank check company. Based on that position, Rule 144 adopted pursuant to the Securities Act would not be available for resale transactions of the Private Placement Shares despite technical compliance with the requirements of such Rule, and the Private Placement Shares can be resold only through a registered offering or in reliance upon another exemption from the registration requirements of the Securities Act.</w:t>
      </w:r>
    </w:p>
    <w:p>
      <w:pPr>
        <w:spacing w:after="0" w:line="185" w:lineRule="exact"/>
        <w:rPr>
          <w:rFonts w:ascii="Arial" w:cs="Arial" w:eastAsia="Arial" w:hAnsi="Arial"/>
          <w:sz w:val="17"/>
          <w:szCs w:val="17"/>
          <w:color w:val="auto"/>
        </w:rPr>
      </w:pPr>
    </w:p>
    <w:p>
      <w:pPr>
        <w:ind w:left="4" w:right="40" w:hanging="4"/>
        <w:spacing w:after="0" w:line="273" w:lineRule="auto"/>
        <w:tabs>
          <w:tab w:leader="none" w:pos="40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Private Placement Shares and is able to bear the economic risk of an investment in the Private Placement Shares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Private Placement Shares. The Purchaser can afford a complete loss of its investments in the Private Placement Shares.</w:t>
      </w:r>
    </w:p>
    <w:p>
      <w:pPr>
        <w:spacing w:after="0" w:line="177" w:lineRule="exact"/>
        <w:rPr>
          <w:rFonts w:ascii="Arial" w:cs="Arial" w:eastAsia="Arial" w:hAnsi="Arial"/>
          <w:sz w:val="17"/>
          <w:szCs w:val="17"/>
          <w:color w:val="auto"/>
        </w:rPr>
      </w:pPr>
    </w:p>
    <w:p>
      <w:pPr>
        <w:ind w:left="304" w:hanging="304"/>
        <w:spacing w:after="0"/>
        <w:tabs>
          <w:tab w:leader="none" w:pos="304"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Purchaser understands that the Private Placement Shares shall bear the following legend and appropriate “stop transfer restrictions”:</w:t>
      </w:r>
    </w:p>
    <w:p>
      <w:pPr>
        <w:spacing w:after="0" w:line="129"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SECURITIES REPRESENTED BY THIS CERTIFICATE ARE SUBJECT TO LOCKUP PROVISIONS AND MAY NOT BE OFFERED, SOLD, TRANSFERRED, PLEDGED OR OTHERWISE DISPOSED OF DURING THE TERM OF THE LOCKUP.”</w:t>
      </w:r>
    </w:p>
    <w:p>
      <w:pPr>
        <w:spacing w:after="0" w:line="166" w:lineRule="exact"/>
        <w:rPr>
          <w:sz w:val="20"/>
          <w:szCs w:val="20"/>
          <w:color w:val="auto"/>
        </w:rPr>
      </w:pPr>
    </w:p>
    <w:p>
      <w:pPr>
        <w:ind w:left="4" w:right="420"/>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obligations of the Purchaser to purchase and pay for the Private Placement Shares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fulfillment, on or before each Closing Date, of each of the following conditions:</w:t>
      </w:r>
    </w:p>
    <w:p>
      <w:pPr>
        <w:spacing w:after="0" w:line="58"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Section 2 shall be true and correct at and as of the Closing Date as though then made.</w:t>
      </w:r>
    </w:p>
    <w:p>
      <w:pPr>
        <w:spacing w:after="0" w:line="170"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such Closing Date.</w:t>
      </w:r>
    </w:p>
    <w:p>
      <w:pPr>
        <w:sectPr>
          <w:pgSz w:w="11900" w:h="16838" w:orient="portrait"/>
          <w:cols w:equalWidth="0" w:num="1">
            <w:col w:w="10984"/>
          </w:cols>
          <w:pgMar w:left="436" w:top="274" w:right="479" w:bottom="1440" w:gutter="0" w:footer="0" w:header="0"/>
        </w:sectPr>
      </w:pPr>
    </w:p>
    <w:bookmarkStart w:id="334" w:name="page335"/>
    <w:bookmarkEnd w:id="334"/>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7"/>
          <w:szCs w:val="17"/>
          <w:u w:val="single" w:color="auto"/>
          <w:color w:val="auto"/>
        </w:rPr>
        <w:t>No Injunction</w:t>
      </w:r>
      <w:r>
        <w:rPr>
          <w:rFonts w:ascii="Arial" w:cs="Arial" w:eastAsia="Arial" w:hAnsi="Arial"/>
          <w:sz w:val="17"/>
          <w:szCs w:val="17"/>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Registration and Shareholder Rights Agreement</w:t>
      </w:r>
      <w:r>
        <w:rPr>
          <w:rFonts w:ascii="Arial" w:cs="Arial" w:eastAsia="Arial" w:hAnsi="Arial"/>
          <w:sz w:val="18"/>
          <w:szCs w:val="18"/>
          <w:color w:val="auto"/>
        </w:rPr>
        <w:t>. The Company shall have entered into the Registration and Shareholder Rights Agreement, in the form of Exhibit A hereto, on terms satisfactory to the Purchaser.</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 under this Agreement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on or before each Closing Date, of each of the following conditions: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Purchaser contained in Section 3 shall be true and correct at and as of such Closing Date as though then made.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The Purchaser shall have performed and complied with all agreements, obligations and conditions contained in this Agreement that are required to be performed or complied with by the Purchaser on or before such Closing Date.</w:t>
      </w:r>
    </w:p>
    <w:p>
      <w:pPr>
        <w:spacing w:after="0" w:line="170"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Corporate Consents</w:t>
      </w:r>
      <w:r>
        <w:rPr>
          <w:rFonts w:ascii="Arial" w:cs="Arial" w:eastAsia="Arial" w:hAnsi="Arial"/>
          <w:sz w:val="18"/>
          <w:szCs w:val="18"/>
          <w:color w:val="auto"/>
        </w:rPr>
        <w:t>. The Company shall have obtained the consent of its board of directors authorizing the execution, delivery and performance of this Agreement and the issuance and sale of the Private Placement Shares hereunder.</w:t>
      </w:r>
    </w:p>
    <w:p>
      <w:pPr>
        <w:spacing w:after="0" w:line="17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No Injunction</w:t>
      </w:r>
      <w:r>
        <w:rPr>
          <w:rFonts w:ascii="Arial" w:cs="Arial" w:eastAsia="Arial" w:hAnsi="Arial"/>
          <w:sz w:val="17"/>
          <w:szCs w:val="17"/>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Miscellaneous</w:t>
      </w:r>
      <w:r>
        <w:rPr>
          <w:rFonts w:ascii="Arial" w:cs="Arial" w:eastAsia="Arial" w:hAnsi="Arial"/>
          <w:sz w:val="18"/>
          <w:szCs w:val="18"/>
          <w:color w:val="auto"/>
        </w:rPr>
        <w: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none of which need contain the signatures of more than one party, but all such counterparts taken together shall constitute one and the same agreement. Signatures to this Agreement transmitted via facsimile or e-mail shall be valid and effective to bind the party so signing.</w:t>
      </w:r>
    </w:p>
    <w:p>
      <w:pPr>
        <w:spacing w:after="0" w:line="184"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2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a contract made under the laws of the State of New York and for all purposes shall be construed in accordance with the internal laws of the State of New York, without giving effect to conflicts of law principles that would result in the application of the laws of another jurisdiction.</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modified or waived as to any particular provision, except by a written instrument executed by the parties 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DYNAMICS SPECIAL PURPOSE CORP.</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PURCHASER: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DYNAMICS SPONSOR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019"/>
          </w:cols>
          <w:pgMar w:left="440" w:top="274" w:right="1440"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and Shareholder Rights Agreement</w:t>
      </w:r>
    </w:p>
    <w:p>
      <w:pPr>
        <w:sectPr>
          <w:pgSz w:w="11900" w:h="16838" w:orient="portrait"/>
          <w:cols w:equalWidth="0" w:num="1">
            <w:col w:w="9019"/>
          </w:cols>
          <w:pgMar w:left="1440" w:top="270" w:right="1440"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REGISTRATION AND STOCKHOLDER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[_____], 2021, is made and entered into by</w:t>
      </w:r>
    </w:p>
    <w:p>
      <w:pPr>
        <w:spacing w:after="0" w:line="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and among Dynamics Special Purpose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Dynamics Sponsor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xml:space="preserve">”), and the undersigned parties listed under Holder on the signature page hereto (each such party, together with the Sponsor and any person or entity who hereafter becomes a party to this Agreement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of this Agreement,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Sponsor have entered into that certain Securities Subscription Agreement, dated as of March 8, 2021,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Sponsor purchased an aggregate of 5,750,000 shares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of the Company’s Class B common stock, par value $0.0001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w:t>
      </w:r>
    </w:p>
    <w:p>
      <w:pPr>
        <w:spacing w:after="0" w:line="176"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Founder Shares are convertible into shares of the Company’s Class A common stock, par value $0.0001 per share (the “</w:t>
      </w:r>
      <w:r>
        <w:rPr>
          <w:rFonts w:ascii="Arial" w:cs="Arial" w:eastAsia="Arial" w:hAnsi="Arial"/>
          <w:sz w:val="18"/>
          <w:szCs w:val="18"/>
          <w:b w:val="1"/>
          <w:bCs w:val="1"/>
          <w:i w:val="1"/>
          <w:iCs w:val="1"/>
          <w:color w:val="auto"/>
        </w:rPr>
        <w:t>Common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on a one-for-one basis, subject to adjustment on the terms and conditions provided in the Company’s amended and restated certificate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as may be amended from time to time;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[_____], 2021, the Company and the Sponsor entered into that certain Private Placement Shares Purchase Agreement, pursuant to</w:t>
      </w:r>
    </w:p>
    <w:p>
      <w:pPr>
        <w:spacing w:after="0" w:line="5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which the Sponsor agreed to purchase 655,500 shares of Common Stock (or up to 715,500 shares of Common Stock if the Underwriter’s (as defined below) option to purchase additional shares of Common Stock in connection with the Company’s initial public offering is exercised in full) (the “</w:t>
      </w:r>
      <w:r>
        <w:rPr>
          <w:rFonts w:ascii="Arial" w:cs="Arial" w:eastAsia="Arial" w:hAnsi="Arial"/>
          <w:sz w:val="16"/>
          <w:szCs w:val="16"/>
          <w:b w:val="1"/>
          <w:bCs w:val="1"/>
          <w:i w:val="1"/>
          <w:i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Placement Shares</w:t>
      </w:r>
      <w:r>
        <w:rPr>
          <w:rFonts w:ascii="Arial" w:cs="Arial" w:eastAsia="Arial" w:hAnsi="Arial"/>
          <w:sz w:val="16"/>
          <w:szCs w:val="16"/>
          <w:color w:val="auto"/>
        </w:rPr>
        <w:t>”), in a private placement transaction occurring simultaneously with the closing of the Company’s initial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order to finance the Company’s transaction costs in connection with an intended Business Combination (as defined below), the Sponsor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or certain of the Company’s officers or directors may, but are not obligated to, loan the Company funds as the Company may require, of which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$2,000,000 of such loans may be convertible into shares of the post-business combination entity at a price of $10.00 per share at the option of the lender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Working Capital Shares</w:t>
      </w:r>
      <w:r>
        <w:rPr>
          <w:rFonts w:ascii="Arial" w:cs="Arial" w:eastAsia="Arial" w:hAnsi="Arial"/>
          <w:sz w:val="18"/>
          <w:szCs w:val="18"/>
          <w:color w:val="auto"/>
        </w:rPr>
        <w:t>”); and</w:t>
      </w:r>
    </w:p>
    <w:p>
      <w:pPr>
        <w:spacing w:after="0" w:line="20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right="100"/>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mutual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The terms defined in this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Article I</w:t>
      </w:r>
      <w:r>
        <w:rPr>
          <w:rFonts w:ascii="Arial" w:cs="Arial" w:eastAsia="Arial" w:hAnsi="Arial"/>
          <w:sz w:val="16"/>
          <w:szCs w:val="16"/>
          <w:color w:val="auto"/>
        </w:rPr>
        <w:t xml:space="preserve"> </w:t>
      </w:r>
      <w:r>
        <w:rPr>
          <w:rFonts w:ascii="Arial" w:cs="Arial" w:eastAsia="Arial" w:hAnsi="Arial"/>
          <w:sz w:val="16"/>
          <w:szCs w:val="16"/>
          <w:b w:val="1"/>
          <w:bCs w:val="1"/>
          <w:color w:val="auto"/>
        </w:rPr>
        <w:t>shall, for all purposes of this Agreement, have the respective meanings set forth below:</w:t>
      </w:r>
    </w:p>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principal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ectPr>
          <w:pgSz w:w="11900" w:h="16838" w:orient="portrait"/>
          <w:cols w:equalWidth="0" w:num="1">
            <w:col w:w="11020"/>
          </w:cols>
          <w:pgMar w:left="440" w:top="121" w:right="4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share exchange, asset acquisition, share purchase, reorganization or other similar business combination with one or more businesses, involving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and (B) subsequent to the Business Combination, (x) if the last reported sales price of the Common Stock equals or exceeds $12.00 per share (as adjusted for share splits,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the date hereof, by and between the Company, the Sponsor and each of the Company’s officers, directors and director nominees.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shall mean a person or entity to whom a Holder of Registrable Securities is permitted to transfer such Registrable Securities prior to the expiration of the Founder Shares Lock-up Period or Private Placement Lock-up Period, as the case may be, under the Insider Letter and any other applicable agreement between such Holder and the Company, and to any transferee thereafter.</w:t>
      </w:r>
    </w:p>
    <w:p>
      <w:pPr>
        <w:sectPr>
          <w:pgSz w:w="11900" w:h="16838" w:orient="portrait"/>
          <w:cols w:equalWidth="0" w:num="1">
            <w:col w:w="11000"/>
          </w:cols>
          <w:pgMar w:left="440" w:top="274" w:right="459" w:bottom="1440" w:gutter="0" w:footer="0" w:header="0"/>
        </w:sectPr>
      </w:pPr>
    </w:p>
    <w:bookmarkStart w:id="339" w:name="page340"/>
    <w:bookmarkEnd w:id="33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Shares that are held by the initial purchasers or their Permitted Transferees, the period ending 30 days after the completion of the Company’s initial Business Combination.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left="4" w:right="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the Founder Shares (including any shares of Common Stock or other equivalent equity security issued or issuable upon the conversion of any such Founder Shares or exercisable for shares of Common Stock), (b) the Private Placement Shares, (c) the Working Capital Shares, (d) any outstanding shares of Common Stock or any other equity security (including the shares of Common Stock issued or issuable upon the exercise of any other equity security) of the Company held by a Holder as of the date of this Agreement, and (e) any other equity security of the Company issued or issuable with respect to any such shares of Common Stock by way of a share capitalization or share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w:t>
      </w:r>
    </w:p>
    <w:p>
      <w:pPr>
        <w:spacing w:after="0" w:line="5" w:lineRule="exact"/>
        <w:rPr>
          <w:sz w:val="20"/>
          <w:szCs w:val="20"/>
          <w:color w:val="auto"/>
        </w:rPr>
      </w:pPr>
    </w:p>
    <w:p>
      <w:pPr>
        <w:ind w:left="4" w:right="180" w:hanging="4"/>
        <w:spacing w:after="0" w:line="260" w:lineRule="auto"/>
        <w:tabs>
          <w:tab w:leader="none" w:pos="31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such securities shall have ceased to be outstanding; or (iv) such securities have been sold to, or through, a broker, dealer or underwriter in a public distribution or other public securities transaction.</w:t>
      </w:r>
    </w:p>
    <w:p>
      <w:pPr>
        <w:spacing w:after="0" w:line="185" w:lineRule="exact"/>
        <w:rPr>
          <w:sz w:val="20"/>
          <w:szCs w:val="20"/>
          <w:color w:val="auto"/>
        </w:rPr>
      </w:pPr>
    </w:p>
    <w:p>
      <w:pPr>
        <w:ind w:left="4" w:right="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17" w:lineRule="exact"/>
        <w:rPr>
          <w:sz w:val="20"/>
          <w:szCs w:val="20"/>
          <w:color w:val="auto"/>
        </w:rPr>
      </w:pPr>
    </w:p>
    <w:p>
      <w:pPr>
        <w:ind w:left="4" w:right="80" w:hanging="4"/>
        <w:spacing w:after="0" w:line="277" w:lineRule="auto"/>
        <w:tabs>
          <w:tab w:leader="none" w:pos="29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shares of Common Stock are then listed;</w:t>
      </w:r>
    </w:p>
    <w:p>
      <w:pPr>
        <w:spacing w:after="0" w:line="170" w:lineRule="exact"/>
        <w:rPr>
          <w:rFonts w:ascii="Arial" w:cs="Arial" w:eastAsia="Arial" w:hAnsi="Arial"/>
          <w:sz w:val="18"/>
          <w:szCs w:val="18"/>
          <w:color w:val="auto"/>
        </w:rPr>
      </w:pPr>
    </w:p>
    <w:p>
      <w:pPr>
        <w:ind w:left="4" w:right="260" w:hanging="4"/>
        <w:spacing w:after="0" w:line="277" w:lineRule="auto"/>
        <w:tabs>
          <w:tab w:leader="none" w:pos="28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284" w:hanging="284"/>
        <w:spacing w:after="0"/>
        <w:tabs>
          <w:tab w:leader="none" w:pos="28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4" w:right="280" w:hanging="4"/>
        <w:spacing w:after="0" w:line="277" w:lineRule="auto"/>
        <w:tabs>
          <w:tab w:leader="none" w:pos="27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4" w:right="900" w:hanging="4"/>
        <w:spacing w:after="0" w:line="277" w:lineRule="auto"/>
        <w:tabs>
          <w:tab w:leader="none" w:pos="26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ind w:left="4" w:right="4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ectPr>
          <w:pgSz w:w="11900" w:h="16838" w:orient="portrait"/>
          <w:cols w:equalWidth="0" w:num="1">
            <w:col w:w="11004"/>
          </w:cols>
          <w:pgMar w:left="436" w:top="274" w:right="459" w:bottom="1440" w:gutter="0" w:footer="0" w:header="0"/>
        </w:sectPr>
      </w:pPr>
    </w:p>
    <w:bookmarkStart w:id="340" w:name="page341"/>
    <w:bookmarkEnd w:id="34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Director</w:t>
      </w:r>
      <w:r>
        <w:rPr>
          <w:rFonts w:ascii="Arial" w:cs="Arial" w:eastAsia="Arial" w:hAnsi="Arial"/>
          <w:sz w:val="18"/>
          <w:szCs w:val="18"/>
          <w:color w:val="auto"/>
        </w:rPr>
        <w:t>” means an individual elected to the Board that has been nominated by the Sponsor pursuant to this Agreement.</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Shares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REGISTRATIONS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p>
    <w:p>
      <w:pPr>
        <w:spacing w:after="0" w:line="225"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a majority in interest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shall so notify the Company, in writing, within three (3)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w:t>
      </w:r>
    </w:p>
    <w:p>
      <w:pPr>
        <w:spacing w:after="0" w:line="2" w:lineRule="exact"/>
        <w:rPr>
          <w:sz w:val="20"/>
          <w:szCs w:val="20"/>
          <w:color w:val="auto"/>
        </w:rPr>
      </w:pPr>
    </w:p>
    <w:p>
      <w:pPr>
        <w:ind w:left="4" w:right="20" w:hanging="4"/>
        <w:spacing w:after="0" w:line="273" w:lineRule="auto"/>
        <w:tabs>
          <w:tab w:leader="none" w:pos="259"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Registrations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 respect to any or all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Registration shall not be counted for such purposes unless a Form S-1 or any similar long-form registration statement that may be available at such time (“</w:t>
      </w:r>
      <w:r>
        <w:rPr>
          <w:rFonts w:ascii="Arial" w:cs="Arial" w:eastAsia="Arial" w:hAnsi="Arial"/>
          <w:sz w:val="17"/>
          <w:szCs w:val="17"/>
          <w:b w:val="1"/>
          <w:bCs w:val="1"/>
          <w:i w:val="1"/>
          <w:iCs w:val="1"/>
          <w:color w:val="auto"/>
        </w:rPr>
        <w:t>Form S-1</w:t>
      </w:r>
      <w:r>
        <w:rPr>
          <w:rFonts w:ascii="Arial" w:cs="Arial" w:eastAsia="Arial" w:hAnsi="Arial"/>
          <w:sz w:val="17"/>
          <w:szCs w:val="17"/>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this Agreement.</w:t>
      </w:r>
    </w:p>
    <w:p>
      <w:pPr>
        <w:spacing w:after="0" w:line="176" w:lineRule="exact"/>
        <w:rPr>
          <w:sz w:val="20"/>
          <w:szCs w:val="20"/>
          <w:color w:val="auto"/>
        </w:rPr>
      </w:pPr>
    </w:p>
    <w:p>
      <w:pPr>
        <w:ind w:left="4" w:right="80"/>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ectPr>
          <w:pgSz w:w="11900" w:h="16838" w:orient="portrait"/>
          <w:cols w:equalWidth="0" w:num="1">
            <w:col w:w="11004"/>
          </w:cols>
          <w:pgMar w:left="436" w:top="274" w:right="459" w:bottom="1440" w:gutter="0" w:footer="0" w:header="0"/>
        </w:sectPr>
      </w:pPr>
    </w:p>
    <w:bookmarkStart w:id="341" w:name="page342"/>
    <w:bookmarkEnd w:id="34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i w:val="1"/>
          <w:iCs w:val="1"/>
          <w:color w:val="auto"/>
        </w:rPr>
        <w:t>Maximum Number of Securities</w:t>
      </w:r>
      <w:r>
        <w:rPr>
          <w:rFonts w:ascii="Arial" w:cs="Arial" w:eastAsia="Arial" w:hAnsi="Arial"/>
          <w:sz w:val="16"/>
          <w:szCs w:val="16"/>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6"/>
          <w:szCs w:val="16"/>
          <w:b w:val="1"/>
          <w:bCs w:val="1"/>
          <w:i w:val="1"/>
          <w:iCs w:val="1"/>
          <w:color w:val="auto"/>
        </w:rPr>
        <w:t>Pro Rata</w:t>
      </w:r>
      <w:r>
        <w:rPr>
          <w:rFonts w:ascii="Arial" w:cs="Arial" w:eastAsia="Arial" w:hAnsi="Arial"/>
          <w:sz w:val="16"/>
          <w:szCs w:val="16"/>
          <w:color w:val="auto"/>
        </w:rPr>
        <w:t>”)) that can be sold without exceeding the Maximum Number of Securities; (ii) second, to the extent that the Maximum Number of Securities has not been reached under the foregoing clause (i), the shares of Common Stock or other equity securities that the Company desires to sell, which can be sold without exceeding the Maximum Number of Securities; and (iii) third, to the extent that the Maximum Number of Securities has not been reached under the foregoing clauses (i) and (ii),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7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Demand Registration Withdrawal</w:t>
      </w:r>
      <w:r>
        <w:rPr>
          <w:rFonts w:ascii="Arial" w:cs="Arial" w:eastAsia="Arial" w:hAnsi="Arial"/>
          <w:sz w:val="17"/>
          <w:szCs w:val="17"/>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Piggyback Rights</w:t>
      </w:r>
      <w:r>
        <w:rPr>
          <w:rFonts w:ascii="Arial" w:cs="Arial" w:eastAsia="Arial" w:hAnsi="Arial"/>
          <w:sz w:val="18"/>
          <w:szCs w:val="18"/>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other than a Registration Statement (i) filed in connection with any employee share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 (7)</w:t>
      </w:r>
    </w:p>
    <w:p>
      <w:pPr>
        <w:sectPr>
          <w:pgSz w:w="11900" w:h="16838" w:orient="portrait"/>
          <w:cols w:equalWidth="0" w:num="1">
            <w:col w:w="11000"/>
          </w:cols>
          <w:pgMar w:left="440" w:top="274" w:right="459" w:bottom="1440" w:gutter="0" w:footer="0" w:header="0"/>
        </w:sectPr>
      </w:pPr>
    </w:p>
    <w:bookmarkStart w:id="342" w:name="page343"/>
    <w:bookmarkEnd w:id="342"/>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w:t>
      </w:r>
    </w:p>
    <w:p>
      <w:pPr>
        <w:ind w:left="4" w:hanging="4"/>
        <w:spacing w:after="0" w:line="287" w:lineRule="auto"/>
        <w:tabs>
          <w:tab w:leader="none" w:pos="28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w:t>
      </w:r>
    </w:p>
    <w:p>
      <w:pPr>
        <w:spacing w:after="0" w:line="170"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69" w:lineRule="exact"/>
        <w:rPr>
          <w:sz w:val="20"/>
          <w:szCs w:val="20"/>
          <w:color w:val="auto"/>
        </w:rPr>
      </w:pPr>
    </w:p>
    <w:p>
      <w:pPr>
        <w:ind w:left="4" w:right="300" w:hanging="4"/>
        <w:spacing w:after="0" w:line="291" w:lineRule="auto"/>
        <w:tabs>
          <w:tab w:leader="none" w:pos="24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the Company shall include in any such Registration (A) first, the shares of Common Stock or other equity securities that the Company desires to sell, which can be sold without exceeding the Maximum Number of Securities; and</w:t>
      </w:r>
    </w:p>
    <w:p>
      <w:pPr>
        <w:ind w:left="4" w:right="2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Pro Rata, which can be sold without exceeding the Maximum Number of Securities; (C) third, to the extent that the Maximum Number of Securities has not been reached under the foregoing clauses</w:t>
      </w:r>
    </w:p>
    <w:p>
      <w:pPr>
        <w:spacing w:after="0" w:line="1" w:lineRule="exact"/>
        <w:rPr>
          <w:rFonts w:ascii="Arial" w:cs="Arial" w:eastAsia="Arial" w:hAnsi="Arial"/>
          <w:sz w:val="16"/>
          <w:szCs w:val="16"/>
          <w:color w:val="auto"/>
        </w:rPr>
      </w:pPr>
    </w:p>
    <w:p>
      <w:pPr>
        <w:ind w:left="4"/>
        <w:spacing w:after="0" w:line="253" w:lineRule="auto"/>
        <w:rPr>
          <w:rFonts w:ascii="Arial" w:cs="Arial" w:eastAsia="Arial" w:hAnsi="Arial"/>
          <w:sz w:val="16"/>
          <w:szCs w:val="16"/>
          <w:color w:val="auto"/>
        </w:rPr>
      </w:pPr>
      <w:r>
        <w:rPr>
          <w:rFonts w:ascii="Arial" w:cs="Arial" w:eastAsia="Arial" w:hAnsi="Arial"/>
          <w:sz w:val="18"/>
          <w:szCs w:val="18"/>
          <w:color w:val="auto"/>
        </w:rPr>
        <w:t>(A)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0" w:lineRule="exact"/>
        <w:rPr>
          <w:rFonts w:ascii="Arial" w:cs="Arial" w:eastAsia="Arial" w:hAnsi="Arial"/>
          <w:sz w:val="16"/>
          <w:szCs w:val="16"/>
          <w:color w:val="auto"/>
        </w:rPr>
      </w:pPr>
    </w:p>
    <w:p>
      <w:pPr>
        <w:ind w:left="4" w:hanging="4"/>
        <w:spacing w:after="0" w:line="288" w:lineRule="auto"/>
        <w:tabs>
          <w:tab w:leader="none" w:pos="25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Pro Rata,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68" w:lineRule="exact"/>
        <w:rPr>
          <w:sz w:val="20"/>
          <w:szCs w:val="20"/>
          <w:color w:val="auto"/>
        </w:rPr>
      </w:pPr>
    </w:p>
    <w:p>
      <w:pPr>
        <w:jc w:val="both"/>
        <w:ind w:left="4" w:right="140"/>
        <w:spacing w:after="0" w:line="31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w:t>
      </w:r>
    </w:p>
    <w:p>
      <w:pPr>
        <w:sectPr>
          <w:pgSz w:w="11900" w:h="16838" w:orient="portrait"/>
          <w:cols w:equalWidth="0" w:num="1">
            <w:col w:w="11004"/>
          </w:cols>
          <w:pgMar w:left="436" w:top="274" w:right="459" w:bottom="1440" w:gutter="0" w:footer="0" w:header="0"/>
        </w:sectPr>
      </w:pPr>
    </w:p>
    <w:bookmarkStart w:id="343" w:name="page344"/>
    <w:bookmarkEnd w:id="343"/>
    <w:p>
      <w:pPr>
        <w:ind w:left="4"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5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Registrations on Form S-3.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Holders of Registrable Securities may at any time, and from time to time, request in writing that the Company, pursuant to Rule 415 under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Act (or any successor rule promulgated thereafter by the Commission), register the resale of any or all of their Registrable Securities on Form</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S-3 or similar short form registration statement that may be available at such time (“</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or if the Company is ineligible to use Form S-3, 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Form S-1; provided, however, that the Company shall not be obligated to effect such request through an Underwritten Offering. Within five (5) days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Company’s receipt of a written request from a Holder or Holders of Registrable Securities for a Registration on Form S-3, the Company shall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promptly give written notice of the proposed Registration on Form S-3 to all other Holders of Registrable Securities, and each Holder of Registrable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who thereafter wishes to include all or a portion of such Holder’s Registrable Securities in such Registration on Form S-3 shall so notify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in writing, within ten (10) business days after the receipt by the Holder of the notice from the Company. As soon as practicable thereafter, but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 more than twelve (12) days after the Company’s initial receipt of such written request for a Registration on Form S-3, the Company shall register 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or such portion of such Holder’s Registrable Securities as are specified in such written request, together with all or such portion of Registrable Securities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any other Holder or Holders joining in such request as are specified in the written notification given by such Holder or Holders; provided, however,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that the Company shall not be obligated to effect any such Registration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if (i) a Form S-3 is not available for such officering,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or (ii) if the Holders of Registrable Securities, together with the Holders of any other equity securities of the Company entitled to inclusion in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Registration, propose to sell the Registrable Securities and such other equity securities (if any) at any aggregate price to the public of less than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$10,000,000. In the event the Company files a registration statement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on Form S-1, the Company shall use its commercially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reasonable efforts to convert the Form S-1 to a Form S-3 as soon as practicable after the Company is eligible to use Form S-3.</w:t>
      </w:r>
    </w:p>
    <w:p>
      <w:pPr>
        <w:spacing w:after="0" w:line="211"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w:t>
      </w:r>
    </w:p>
    <w:p>
      <w:pPr>
        <w:spacing w:after="0" w:line="2" w:lineRule="exact"/>
        <w:rPr>
          <w:sz w:val="20"/>
          <w:szCs w:val="20"/>
          <w:color w:val="auto"/>
        </w:rPr>
      </w:pPr>
    </w:p>
    <w:p>
      <w:pPr>
        <w:ind w:left="4" w:right="60" w:hanging="4"/>
        <w:spacing w:after="0" w:line="287" w:lineRule="auto"/>
        <w:tabs>
          <w:tab w:leader="none" w:pos="289"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no Registration shall be effected or permitted and no Registration Statement shall become effective, with respect to any Registrable Securities held by any Holder, until after the expiration of the Founder Shares Lock-Up Period or the Private Placement Lock-Up Period, as the case may be.</w:t>
      </w:r>
    </w:p>
    <w:p>
      <w:pPr>
        <w:sectPr>
          <w:pgSz w:w="11900" w:h="16838" w:orient="portrait"/>
          <w:cols w:equalWidth="0" w:num="1">
            <w:col w:w="11004"/>
          </w:cols>
          <w:pgMar w:left="436" w:top="274" w:right="459"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Procedure</w:t>
      </w:r>
      <w:r>
        <w:rPr>
          <w:rFonts w:ascii="Arial" w:cs="Arial" w:eastAsia="Arial" w:hAnsi="Arial"/>
          <w:sz w:val="16"/>
          <w:szCs w:val="16"/>
          <w:color w:val="auto"/>
        </w:rPr>
        <w:t>s.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4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or Prospectus (other than by way of a document incorporated by reference) furnish a copy thereof to each seller of such Registrable Securities or its counsel;</w:t>
      </w:r>
    </w:p>
    <w:p>
      <w:pPr>
        <w:sectPr>
          <w:pgSz w:w="11900" w:h="16838" w:orient="portrait"/>
          <w:cols w:equalWidth="0" w:num="1">
            <w:col w:w="11000"/>
          </w:cols>
          <w:pgMar w:left="440" w:top="270" w:right="459" w:bottom="1440" w:gutter="0" w:footer="0" w:header="0"/>
        </w:sectPr>
      </w:pPr>
    </w:p>
    <w:bookmarkStart w:id="345" w:name="page346"/>
    <w:bookmarkEnd w:id="345"/>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Suspension of Sales; Adverse Disclosure</w:t>
      </w:r>
      <w:r>
        <w:rPr>
          <w:rFonts w:ascii="Arial" w:cs="Arial" w:eastAsia="Arial" w:hAnsi="Arial"/>
          <w:sz w:val="16"/>
          <w:szCs w:val="16"/>
          <w:color w:val="auto"/>
        </w:rPr>
        <w:t>.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w:t>
      </w:r>
    </w:p>
    <w:p>
      <w:pPr>
        <w:sectPr>
          <w:pgSz w:w="11900" w:h="16838" w:orient="portrait"/>
          <w:cols w:equalWidth="0" w:num="1">
            <w:col w:w="11000"/>
          </w:cols>
          <w:pgMar w:left="440" w:top="274" w:right="459" w:bottom="1440" w:gutter="0" w:footer="0" w:header="0"/>
        </w:sectPr>
      </w:pPr>
    </w:p>
    <w:bookmarkStart w:id="346" w:name="page347"/>
    <w:bookmarkEnd w:id="34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CONTRIBUTION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ectPr>
          <w:pgSz w:w="11900" w:h="16838" w:orient="portrait"/>
          <w:cols w:equalWidth="0" w:num="1">
            <w:col w:w="11000"/>
          </w:cols>
          <w:pgMar w:left="440" w:top="274" w:right="459" w:bottom="1440" w:gutter="0" w:footer="0" w:header="0"/>
        </w:sectPr>
      </w:pPr>
    </w:p>
    <w:bookmarkStart w:id="347" w:name="page348"/>
    <w:bookmarkEnd w:id="347"/>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4.1.5 If the indemnification provided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liability of any Holder under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subsections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from any person who was not guilty of such fraudulent misrepresentation.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 RIGHTS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5.1 Subject to the terms and conditions of this Agreement, at any time and from time to time on or after the date that the Company consummates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and for so long as the Sponsor holds any Registrable Securities: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5.1.1 The Sponsor shall have the right, but not the obligation, to designate three individuals to be appointed or nominated, as the case may be, for election to the Board (including any successor, each, a “</w:t>
      </w:r>
      <w:r>
        <w:rPr>
          <w:rFonts w:ascii="Arial" w:cs="Arial" w:eastAsia="Arial" w:hAnsi="Arial"/>
          <w:sz w:val="18"/>
          <w:szCs w:val="18"/>
          <w:b w:val="1"/>
          <w:bCs w:val="1"/>
          <w:i w:val="1"/>
          <w:iCs w:val="1"/>
          <w:color w:val="auto"/>
        </w:rPr>
        <w:t>Nominee</w:t>
      </w:r>
      <w:r>
        <w:rPr>
          <w:rFonts w:ascii="Arial" w:cs="Arial" w:eastAsia="Arial" w:hAnsi="Arial"/>
          <w:sz w:val="18"/>
          <w:szCs w:val="18"/>
          <w:color w:val="auto"/>
        </w:rPr>
        <w:t>”) by giving written notice to the Company on or before the time such information is reasonably requested by the Board or the Nominating Committee of the Board, as applicable, for inclusion in a proxy statement for a meeting of stockholders provided to the Sponsor.</w:t>
      </w:r>
    </w:p>
    <w:p>
      <w:pPr>
        <w:sectPr>
          <w:pgSz w:w="11900" w:h="16838" w:orient="portrait"/>
          <w:cols w:equalWidth="0" w:num="1">
            <w:col w:w="11000"/>
          </w:cols>
          <w:pgMar w:left="440" w:top="274" w:right="459" w:bottom="1440" w:gutter="0" w:footer="0" w:header="0"/>
        </w:sectPr>
      </w:pPr>
    </w:p>
    <w:bookmarkStart w:id="348" w:name="page349"/>
    <w:bookmarkEnd w:id="348"/>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5.1.2 The Company will, as promptly as practicable, use its best efforts to take all necessary and desirable actions (including, without limitation, calling special meetings of the Board and the stockholders and recommending, supporting and soliciting proxies) so that there is three Sponsor Directors serving on the Board at all times.</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5.1.3 The Company shall, to the fullest extent permitted by applicable law, use its best efforts to take all actions necessary to ensure that: (i) each Nominee is included in the Board’s slate of nominees to the stockholders of the Company for each election of Directors; and (ii) each Nominee is included in the proxy statement prepared by management of the Company in connection with soliciting proxies for every meeting of the stockholders of the Company called with respect to the election of members of the Board, and at every adjournment or postponement thereof, and on every action or approval by written consent of the stockholders of the Company or the Board with respect to the election of members of the Board.</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upon removal or resignation of such Sponsor Director for any reason, the Company shall take all actions reasonably necessary to extend such</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liability insurance coverage for a period of not less than six years from any such event in respect of any act or omission occurring at or prior to such event.</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5.1.8 For so long as a Sponsor Director serves as a Director of the Company, the Company shall not amend, alter or repeal any right to indemnification or exculpation covering or benefiting any Director nominated pursuant to this Agreement as and to the extent consistent with applicable law, whether such right is contained in the Company’s amended and restated memorandum and articles of association, each as amended, or another document (except to the extent such amendment or alteration permits the Company to provide broader indemnification or exculpation rights on a retroactive basis than permitted prior thereto).</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5.1.9 Each Nominee may, but does not need to qualify as “independent” pursuant to listing standards of the Nasdaq (or such other national securities exchange upon which the Company’s securities are then listed).</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w:t>
      </w:r>
    </w:p>
    <w:p>
      <w:pPr>
        <w:sectPr>
          <w:pgSz w:w="11900" w:h="16838" w:orient="portrait"/>
          <w:cols w:equalWidth="0" w:num="1">
            <w:col w:w="11000"/>
          </w:cols>
          <w:pgMar w:left="440" w:top="274" w:right="459" w:bottom="1440" w:gutter="0" w:footer="0" w:header="0"/>
        </w:sectPr>
      </w:pPr>
    </w:p>
    <w:bookmarkStart w:id="349" w:name="page350"/>
    <w:bookmarkEnd w:id="349"/>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30 calendar days of the Company’s notice to Sponsor of its objection to the Nominee and such replacement Nominee shall be subject to the review process outlined above.</w:t>
      </w:r>
    </w:p>
    <w:p>
      <w:pPr>
        <w:spacing w:after="0" w:line="1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2875 El Camino Real, Redwood City, California, 94061, Attention: Mark Afrasiabi, with copy to: Davis Polk &amp; Wardwell LLP, 450 Lexington Avenue, New York, NY, 10017, Attention: Oliver Smith,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Section 6.1.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Assignment; No Third Party Beneficiaries.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6.2.1 This Agreement and the rights, duties and obligations of the Company hereunder may not be assigned or delegated by the Company in whole or in part.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6.2.2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6.2.3 This Agreement and the provisions hereof shall be binding upon and shall inure to the benefit of each of the parties and its successors and the permitted assigns of the Holders, which shall include Permitted Transferees.</w:t>
      </w:r>
    </w:p>
    <w:p>
      <w:pPr>
        <w:sectPr>
          <w:pgSz w:w="11900" w:h="16838" w:orient="portrait"/>
          <w:cols w:equalWidth="0" w:num="1">
            <w:col w:w="11000"/>
          </w:cols>
          <w:pgMar w:left="440" w:top="274" w:right="459" w:bottom="1440" w:gutter="0" w:footer="0" w:header="0"/>
        </w:sectPr>
      </w:pPr>
    </w:p>
    <w:bookmarkStart w:id="350" w:name="page351"/>
    <w:bookmarkEnd w:id="35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6.2.5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16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WAIVER OF TRIAL BY JURY</w:t>
      </w:r>
      <w:r>
        <w:rPr>
          <w:rFonts w:ascii="Arial" w:cs="Arial" w:eastAsia="Arial" w:hAnsi="Arial"/>
          <w:sz w:val="18"/>
          <w:szCs w:val="18"/>
          <w:b w:val="1"/>
          <w:bCs w:val="1"/>
          <w:color w:val="auto"/>
        </w:rPr>
        <w:t>. EACH PARTY HEREBY IRREVOCABLY AND UNCONDITIONALLY WAIVES THE RIGHT TO A</w:t>
      </w:r>
      <w:r>
        <w:rPr>
          <w:rFonts w:ascii="Arial" w:cs="Arial" w:eastAsia="Arial" w:hAnsi="Arial"/>
          <w:sz w:val="18"/>
          <w:szCs w:val="18"/>
          <w:color w:val="auto"/>
        </w:rPr>
        <w:t xml:space="preserve"> </w:t>
      </w:r>
      <w:r>
        <w:rPr>
          <w:rFonts w:ascii="Arial" w:cs="Arial" w:eastAsia="Arial" w:hAnsi="Arial"/>
          <w:sz w:val="18"/>
          <w:szCs w:val="18"/>
          <w:b w:val="1"/>
          <w:bCs w:val="1"/>
          <w:color w:val="auto"/>
        </w:rPr>
        <w:t>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w:t>
      </w:r>
    </w:p>
    <w:p>
      <w:pPr>
        <w:sectPr>
          <w:pgSz w:w="11900" w:h="16838" w:orient="portrait"/>
          <w:cols w:equalWidth="0" w:num="1">
            <w:col w:w="11000"/>
          </w:cols>
          <w:pgMar w:left="440" w:top="274" w:right="459" w:bottom="1440" w:gutter="0" w:footer="0" w:header="0"/>
        </w:sectPr>
      </w:pPr>
    </w:p>
    <w:bookmarkStart w:id="351" w:name="page352"/>
    <w:bookmarkEnd w:id="351"/>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(i) the tenth anniversary of the date of this Agreement and (ii) the date as of which no Registrable Securities remain outstanding. The provisions of Section 3.5 and </w:t>
      </w:r>
      <w:r>
        <w:rPr>
          <w:rFonts w:ascii="Arial" w:cs="Arial" w:eastAsia="Arial" w:hAnsi="Arial"/>
          <w:sz w:val="18"/>
          <w:szCs w:val="18"/>
          <w:i w:val="1"/>
          <w:iCs w:val="1"/>
          <w:color w:val="auto"/>
        </w:rPr>
        <w:t>Article IV</w:t>
      </w:r>
      <w:r>
        <w:rPr>
          <w:rFonts w:ascii="Arial" w:cs="Arial" w:eastAsia="Arial" w:hAnsi="Arial"/>
          <w:sz w:val="18"/>
          <w:szCs w:val="18"/>
          <w:color w:val="auto"/>
        </w:rPr>
        <w:t xml:space="preserve"> shall survive any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undersigned have caused this Agreement to be executed as of the date first written above.</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DYNAMICS SPECIAL PURPOSE CORP.</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and Stockholder Rights Agreement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353" w:name="page354"/>
    <w:bookmarkEnd w:id="35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DYNAMICS SPONSOR LLC</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599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54" w:name="page355"/>
    <w:bookmarkEnd w:id="35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Omid Farokhzad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55" w:name="page356"/>
    <w:bookmarkEnd w:id="35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Mostafa Ronaghi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56" w:name="page357"/>
    <w:bookmarkEnd w:id="35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Mark Afrasiabi</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57" w:name="page358"/>
    <w:bookmarkEnd w:id="35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David Epstein</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58" w:name="page359"/>
    <w:bookmarkEnd w:id="35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Jay Flatley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59" w:name="page360"/>
    <w:bookmarkEnd w:id="35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Deep Nishar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60" w:name="page361"/>
    <w:bookmarkEnd w:id="36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Rowan Chapman</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61" w:name="page362"/>
    <w:bookmarkEnd w:id="36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Robert Langer</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and Stockholder Rights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2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This Indemnification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this [•] day of [•], 2021, by and between Dynamics Special Purpose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70" w:lineRule="exact"/>
        <w:rPr>
          <w:sz w:val="20"/>
          <w:szCs w:val="20"/>
          <w:color w:val="auto"/>
        </w:rPr>
      </w:pPr>
    </w:p>
    <w:p>
      <w:pPr>
        <w:ind w:right="460" w:firstLine="440"/>
        <w:spacing w:after="0" w:line="259" w:lineRule="auto"/>
        <w:rPr>
          <w:sz w:val="20"/>
          <w:szCs w:val="20"/>
          <w:color w:val="auto"/>
        </w:rPr>
      </w:pPr>
      <w:r>
        <w:rPr>
          <w:rFonts w:ascii="Arial" w:cs="Arial" w:eastAsia="Arial" w:hAnsi="Arial"/>
          <w:sz w:val="18"/>
          <w:szCs w:val="18"/>
          <w:color w:val="auto"/>
        </w:rPr>
        <w:t>WHEREAS, in light of the litigation costs and risks to directors and officers resulting from their service to companies, and the desire of the Company to attract and retain qualified individuals to serve as directors and officers, it is reasonable, prudent and necessary for the Company to indemnify and advance expenses on behalf of its directors and/or officers to the fullest extent permitted by applicable law so that they will serve or continue to serve the Company free from undue concern regarding such risks;</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the Company has requested that Indemnitee serve or continue to serve as a director and/or an officer of the Company and may have requested or may in the future request that Indemnitee serve in other capacities;</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one of the conditions that Indemnitee requires in order to serve as a director and/or an officer of the Company is that Indemnitee be so indemnified; and</w:t>
      </w:r>
    </w:p>
    <w:p>
      <w:pPr>
        <w:spacing w:after="0" w:line="170"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WHEREAS, Indemnitee does not regard the advancement or indemnification protections provided for in the Bylaws or the Certificate of Incorporation to be adequate protection against personal liability.</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62" w:lineRule="exact"/>
        <w:rPr>
          <w:sz w:val="20"/>
          <w:szCs w:val="20"/>
          <w:color w:val="auto"/>
        </w:rPr>
      </w:pPr>
    </w:p>
    <w:p>
      <w:pPr>
        <w:ind w:right="240" w:firstLine="436"/>
        <w:spacing w:after="0" w:line="255" w:lineRule="auto"/>
        <w:tabs>
          <w:tab w:leader="none" w:pos="62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Services by Indemnitee</w:t>
      </w:r>
      <w:r>
        <w:rPr>
          <w:rFonts w:ascii="Arial" w:cs="Arial" w:eastAsia="Arial" w:hAnsi="Arial"/>
          <w:sz w:val="18"/>
          <w:szCs w:val="18"/>
          <w:color w:val="auto"/>
        </w:rPr>
        <w:t>. Indemnitee agrees to serve as an officer, director, advisor, key employee or in any other capacity of the Company. Indemnitee may at any time and for any reason resign from such position (subject to any contractual obligation the Indemnitee may have under any other agreement). The foregoing notwithstanding, this Agreement shall continue in full force and effect after Indemnitee has ceased to serve as a director, officer, advisor, key employee or in any other capacity of the Company. This Agreement, however, shall not impose any obligation on Indemnitee or the Company to continue Indemnitee’s service to the Company beyond any period otherwise required by law or by other agreements or commitments of the parties, if any.</w:t>
      </w:r>
    </w:p>
    <w:p>
      <w:pPr>
        <w:spacing w:after="0" w:line="84" w:lineRule="exact"/>
        <w:rPr>
          <w:rFonts w:ascii="Arial" w:cs="Arial" w:eastAsia="Arial" w:hAnsi="Arial"/>
          <w:sz w:val="18"/>
          <w:szCs w:val="18"/>
          <w:color w:val="auto"/>
        </w:rPr>
      </w:pPr>
    </w:p>
    <w:p>
      <w:pPr>
        <w:ind w:right="100" w:firstLine="436"/>
        <w:spacing w:after="0" w:line="279" w:lineRule="auto"/>
        <w:tabs>
          <w:tab w:leader="none" w:pos="62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Indemnification—General</w:t>
      </w:r>
      <w:r>
        <w:rPr>
          <w:rFonts w:ascii="Arial" w:cs="Arial" w:eastAsia="Arial" w:hAnsi="Arial"/>
          <w:sz w:val="17"/>
          <w:szCs w:val="17"/>
          <w:color w:val="auto"/>
        </w:rPr>
        <w:t>. On the terms and subject to the conditions of this Agreement, the Company shall, to the fullest extent permitted by law, indemnify Indemnitee with respect to, and hold Indemnitee harmless from and against, all losses, liabilities, judgments, fines, penalties, costs, amounts paid in settlement, Expenses (as hereinafter defined) and other amounts that Indemnitee incurs and that result from, arise in connection with or are by reason of Indemnitee’s Corporate Status (as hereinafter defined) and shall advance Expenses to Indemnitee.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3" w:name="page364"/>
    <w:bookmarkEnd w:id="363"/>
    <w:p>
      <w:pPr>
        <w:ind w:right="80" w:firstLine="436"/>
        <w:spacing w:after="0" w:line="290" w:lineRule="auto"/>
        <w:tabs>
          <w:tab w:leader="none" w:pos="620"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 in Third-Party Proceedings</w:t>
      </w:r>
      <w:r>
        <w:rPr>
          <w:rFonts w:ascii="Arial" w:cs="Arial" w:eastAsia="Arial" w:hAnsi="Arial"/>
          <w:sz w:val="16"/>
          <w:szCs w:val="16"/>
          <w:color w:val="auto"/>
        </w:rPr>
        <w:t>. If in connection with or by reason of Indemnitee’s Corporate Status, Indemnitee was, is, or is threatened to be made, a party to or a participant in any Proceeding (as hereinafter defined) other than a Proceeding by or in the right of the Company to procure a judgment in its favor, the Company shall, to the fullest extent permitted by law, indemnify Indemnitee with respect to, and hold Indemnitee harmless from and against, all Expenses, liabilities, judgments, penalties, fines and amounts paid in settlement (including all interest, assessments and other charges paid or payable in connection with or in respect of such liabilities, judgments, penalties, fines and amounts paid in settlement) actually and reasonably incurred by Indemnitee or on behalf of Indemnitee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57" w:lineRule="exact"/>
        <w:rPr>
          <w:rFonts w:ascii="Arial" w:cs="Arial" w:eastAsia="Arial" w:hAnsi="Arial"/>
          <w:sz w:val="16"/>
          <w:szCs w:val="16"/>
          <w:color w:val="auto"/>
        </w:rPr>
      </w:pPr>
    </w:p>
    <w:p>
      <w:pPr>
        <w:ind w:firstLine="436"/>
        <w:spacing w:after="0" w:line="289" w:lineRule="auto"/>
        <w:tabs>
          <w:tab w:leader="none" w:pos="620"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If in connection with or by reason of Indemnitee’s Corporate Status, Indemnitee was, is, or is threatened to be made, a party to or a participant in any Proceeding by or in the right of the Company to procure a judgment in the Company’s favor, the Company shall, to the fullest extent permitted by law, indemnify Indemnitee with respect to, and hold Indemnitee harmless from and against, all Expenses actually and reasonably incurred by Indemnitee or on behalf of Indemnitee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(as hereinafter defined) shall determine upon application that, despite the adjudication of liability but in view of all the circumstances of the case, Indemnitee is fairly and reasonably entitled to indemnification, to be held harmless or to exoneration.</w:t>
      </w:r>
    </w:p>
    <w:p>
      <w:pPr>
        <w:spacing w:after="0" w:line="58" w:lineRule="exact"/>
        <w:rPr>
          <w:rFonts w:ascii="Arial" w:cs="Arial" w:eastAsia="Arial" w:hAnsi="Arial"/>
          <w:sz w:val="16"/>
          <w:szCs w:val="16"/>
          <w:color w:val="auto"/>
        </w:rPr>
      </w:pPr>
    </w:p>
    <w:p>
      <w:pPr>
        <w:ind w:firstLine="436"/>
        <w:spacing w:after="0" w:line="269" w:lineRule="auto"/>
        <w:tabs>
          <w:tab w:leader="none" w:pos="620"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Mandatory Indemnification in Case of Successful Defense</w:t>
      </w:r>
      <w:r>
        <w:rPr>
          <w:rFonts w:ascii="Arial" w:cs="Arial" w:eastAsia="Arial" w:hAnsi="Arial"/>
          <w:sz w:val="17"/>
          <w:szCs w:val="17"/>
          <w:color w:val="auto"/>
        </w:rPr>
        <w:t xml:space="preserve">. Notwithstanding any other provisions of this Agreement, to the extent that Indemnitee is, by reason of Indemnitee’s Corporate Status, a party to (or a participant in) and is successful, on the merits or otherwise, in defense of any Proceeding or any claim, issue or matter therein (including, without limitation, any Proceeding brought by or in the right of the Company), the Company shall, to the fullest extent permitted by applicable law, indemnify Indemnitee with respect to, and hold Indemnitee harmless from and against, all Expenses actually and reasonably incurred by Indemnitee or on behalf of Indemnitee in connection therewith. If Indemnitee is not wholly successful in defense of such Proceeding but is successful, on the merits or otherwise, as to one or more but less than all claims, issues or matters in such Proceeding, the Company shall, to the fullest extent permitted by law, indemnify Indemnitee against all Expenses actually and reasonably incurred by Indemnitee or on behalf of Indemnitee in connection with each successfully resolved claim, issue or matter.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on substantive or procedural grounds, or settlement of any such claim prior to a final judgment by a court of competent jurisdiction with respect to such Proceeding, shall be deemed to be a successful result as to such claim, issue or matter.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64" w:name="page365"/>
    <w:bookmarkEnd w:id="364"/>
    <w:p>
      <w:pPr>
        <w:ind w:right="220" w:firstLine="436"/>
        <w:spacing w:after="0" w:line="296" w:lineRule="auto"/>
        <w:tabs>
          <w:tab w:leader="none" w:pos="62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Partial Indemnification</w:t>
      </w:r>
      <w:r>
        <w:rPr>
          <w:rFonts w:ascii="Arial" w:cs="Arial" w:eastAsia="Arial" w:hAnsi="Arial"/>
          <w:sz w:val="16"/>
          <w:szCs w:val="16"/>
          <w:color w:val="auto"/>
        </w:rPr>
        <w:t>. If Indemnitee is entitled under any provision of this Agreement or otherwise to indemnification by the Company for some or a portion of the Expenses, liabilities, judgments, penalties, fines and amounts paid in settlement (including all interest, assessments and other charges paid or payable in connection with or in respect of such liabilities, judgments, penalties, fines and amounts paid in settlement) actually and reasonably incurred by Indemnitee or in connection with a Proceeding or any claim, issue or matter therein, in whole or in part, the Company shall, to the fullest extent permitted by law, indemnify Indemnitee to the fullest extent to which Indemnitee is entitled to such indemnification.</w:t>
      </w:r>
    </w:p>
    <w:p>
      <w:pPr>
        <w:spacing w:after="0" w:line="161" w:lineRule="exact"/>
        <w:rPr>
          <w:rFonts w:ascii="Arial" w:cs="Arial" w:eastAsia="Arial" w:hAnsi="Arial"/>
          <w:sz w:val="16"/>
          <w:szCs w:val="16"/>
          <w:color w:val="auto"/>
        </w:rPr>
      </w:pPr>
    </w:p>
    <w:p>
      <w:pPr>
        <w:ind w:left="620" w:hanging="184"/>
        <w:spacing w:after="0"/>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Indemnification for Additional Expenses Incurred to Secure Recovery or as Witness</w:t>
      </w:r>
      <w:r>
        <w:rPr>
          <w:rFonts w:ascii="Arial" w:cs="Arial" w:eastAsia="Arial" w:hAnsi="Arial"/>
          <w:sz w:val="18"/>
          <w:szCs w:val="18"/>
          <w:color w:val="auto"/>
        </w:rPr>
        <w:t>.</w:t>
      </w:r>
    </w:p>
    <w:p>
      <w:pPr>
        <w:spacing w:after="0" w:line="117" w:lineRule="exact"/>
        <w:rPr>
          <w:sz w:val="20"/>
          <w:szCs w:val="20"/>
          <w:color w:val="auto"/>
        </w:rPr>
      </w:pPr>
    </w:p>
    <w:p>
      <w:pPr>
        <w:ind w:right="140" w:firstLine="436"/>
        <w:spacing w:after="0" w:line="255" w:lineRule="auto"/>
        <w:tabs>
          <w:tab w:leader="none" w:pos="68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Company shall, to the fullest extent permitted by law, indemnify Indemnitee with respect to, and hold Indemnitee harmless from and against, any and all Expenses and, if requested by Indemnitee, shall advance on an as-incurred basis (as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Agreement) such Expenses to Indemnitee, which are actually and reasonably incurred by Indemnitee in connection with any action or proceeding or part thereof brought by Indemnitee for (i) indemnification or advance payment of Expenses by the Company under this Agreement, any other agreement, the Certificate of Incorporation or Bylaws of the Company as now or hereafter in effect; or (ii) recovery under any director and officer liability insurance policies maintained by the Company.</w:t>
      </w:r>
    </w:p>
    <w:p>
      <w:pPr>
        <w:spacing w:after="0" w:line="84" w:lineRule="exact"/>
        <w:rPr>
          <w:rFonts w:ascii="Arial" w:cs="Arial" w:eastAsia="Arial" w:hAnsi="Arial"/>
          <w:sz w:val="18"/>
          <w:szCs w:val="18"/>
          <w:color w:val="auto"/>
        </w:rPr>
      </w:pPr>
    </w:p>
    <w:p>
      <w:pPr>
        <w:ind w:firstLine="436"/>
        <w:spacing w:after="0" w:line="279" w:lineRule="auto"/>
        <w:tabs>
          <w:tab w:leader="none" w:pos="69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To the extent that Indemnitee is, by reason of Corporate Status, a witness (or is forced or asked to respond to discovery requests) in any Proceeding to which Indemnitee is not a party, the Company shall, to the fullest extent permitted by law, indemnify Indemnitee with respect to, and hold Indemnitee harmless from and against, and the Company will advance on an as-incurred basis (as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all Expenses actually and reasonably incurred by Indemnitee or on behalf of Indemnitee in connection therewith.</w:t>
      </w:r>
    </w:p>
    <w:p>
      <w:pPr>
        <w:spacing w:after="0" w:line="63" w:lineRule="exact"/>
        <w:rPr>
          <w:sz w:val="20"/>
          <w:szCs w:val="20"/>
          <w:color w:val="auto"/>
        </w:rPr>
      </w:pPr>
    </w:p>
    <w:p>
      <w:pPr>
        <w:ind w:firstLine="436"/>
        <w:spacing w:after="0" w:line="287" w:lineRule="auto"/>
        <w:tabs>
          <w:tab w:leader="none" w:pos="620"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The Company shall, to the fullest extent permitted by law, pay on a current and as-incurred basis all Expenses actually and reasonably incurred by Indemnitee in connection with any Proceeding in any way connected with, resulting from or relating to Indemnitee’s Corporate Status. Such Expenses shall be paid in advance of the final disposition of such Proceeding, without regard to whether Indemnitee will ultimately be entitled to be indemnified for such Expenses and without regard to whether an Adverse Determination (as hereinafter defined) has been or may be made, except as contemplated by the last sentence of </w:t>
      </w:r>
      <w:r>
        <w:rPr>
          <w:rFonts w:ascii="Arial" w:cs="Arial" w:eastAsia="Arial" w:hAnsi="Arial"/>
          <w:sz w:val="16"/>
          <w:szCs w:val="16"/>
          <w:u w:val="single" w:color="auto"/>
          <w:color w:val="auto"/>
        </w:rPr>
        <w:t>Section 9(f)</w:t>
      </w:r>
      <w:r>
        <w:rPr>
          <w:rFonts w:ascii="Arial" w:cs="Arial" w:eastAsia="Arial" w:hAnsi="Arial"/>
          <w:sz w:val="16"/>
          <w:szCs w:val="16"/>
          <w:color w:val="auto"/>
        </w:rPr>
        <w:t xml:space="preserve"> of this Agreement. Upon submission by the Indemnitee and receipt by the Company of a request for advancement of Expenses pursuant to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of this Agreement, Indemnitee shall be entitled to advancement of Expenses as provided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and such advancement of Expenses shall continue until such time (if any) as there is a final non-appealable judicial determination that Indemnitee is not entitled to indemnification. Indemnitee shall repay such amounts advanced if and to the extent that it shall ultimately be determined in a decision by a court of competent jurisdiction from which no appeal can be taken that Indemnitee is not entitled to be indemnified by the Company for such Expenses. Such repayment obligation shall be unsecured and shall not bear interest. The Company shall not impose on Indemnitee additional conditions to advancement or require from Indemnitee additional undertakings regarding repayment.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65" w:name="page366"/>
    <w:bookmarkEnd w:id="365"/>
    <w:p>
      <w:pPr>
        <w:ind w:left="624" w:hanging="184"/>
        <w:spacing w:after="0"/>
        <w:tabs>
          <w:tab w:leader="none" w:pos="624"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987"/>
        <w:spacing w:after="0" w:line="271" w:lineRule="auto"/>
        <w:tabs>
          <w:tab w:leader="none" w:pos="1240" w:val="left"/>
        </w:tabs>
        <w:numPr>
          <w:ilvl w:val="2"/>
          <w:numId w:val="260"/>
        </w:numPr>
        <w:rPr>
          <w:rFonts w:ascii="Arial" w:cs="Arial" w:eastAsia="Arial" w:hAnsi="Arial"/>
          <w:sz w:val="17"/>
          <w:szCs w:val="17"/>
          <w:color w:val="auto"/>
        </w:rPr>
      </w:pPr>
      <w:r>
        <w:rPr>
          <w:rFonts w:ascii="Arial" w:cs="Arial" w:eastAsia="Arial" w:hAnsi="Arial"/>
          <w:sz w:val="17"/>
          <w:szCs w:val="17"/>
          <w:u w:val="single" w:color="auto"/>
          <w:color w:val="auto"/>
        </w:rPr>
        <w:t>Notice of Proceeding</w:t>
      </w:r>
      <w:r>
        <w:rPr>
          <w:rFonts w:ascii="Arial" w:cs="Arial" w:eastAsia="Arial" w:hAnsi="Arial"/>
          <w:sz w:val="17"/>
          <w:szCs w:val="17"/>
          <w:color w:val="auto"/>
        </w:rPr>
        <w:t>. Indemnitee agrees to notify the Company promptly upon being served with any summons, citation, subpoena, complaint, indictment, information or other document relating to any Proceeding or matter which may be subject to indemnification or advancement of Expenses hereunder. Any failure by Indemnitee to notify the Company will relieve the Company of its advancement or indemnification obligations under this Agreement only to the extent the Company can establish that such omission to notify resulted in actual and material prejudice to it which cannot be reversed or otherwise eliminated without any material negative effect on the Company, and the omission to notify the Company will, in any event, not relieve the Company from any liability which it may have to indemnify Indemnitee otherwise than under this Agreement. If, at the time of receipt of any such notice, the Company has director and officer insurance policies in effect, the Company will promptly notify the relevant insurers in accordance with the procedures and requirements of such policies.</w:t>
      </w:r>
    </w:p>
    <w:p>
      <w:pPr>
        <w:spacing w:after="0" w:line="70" w:lineRule="exact"/>
        <w:rPr>
          <w:rFonts w:ascii="Arial" w:cs="Arial" w:eastAsia="Arial" w:hAnsi="Arial"/>
          <w:sz w:val="17"/>
          <w:szCs w:val="17"/>
          <w:color w:val="auto"/>
        </w:rPr>
      </w:pPr>
    </w:p>
    <w:p>
      <w:pPr>
        <w:ind w:left="4" w:firstLine="987"/>
        <w:spacing w:after="0" w:line="284" w:lineRule="auto"/>
        <w:tabs>
          <w:tab w:leader="none" w:pos="1250" w:val="left"/>
        </w:tabs>
        <w:numPr>
          <w:ilvl w:val="2"/>
          <w:numId w:val="260"/>
        </w:numPr>
        <w:rPr>
          <w:rFonts w:ascii="Arial" w:cs="Arial" w:eastAsia="Arial" w:hAnsi="Arial"/>
          <w:sz w:val="16"/>
          <w:szCs w:val="16"/>
          <w:color w:val="auto"/>
        </w:rPr>
      </w:pPr>
      <w:r>
        <w:rPr>
          <w:rFonts w:ascii="Arial" w:cs="Arial" w:eastAsia="Arial" w:hAnsi="Arial"/>
          <w:sz w:val="16"/>
          <w:szCs w:val="16"/>
          <w:u w:val="single" w:color="auto"/>
          <w:color w:val="auto"/>
        </w:rPr>
        <w:t>Defense; Settlement</w:t>
      </w:r>
      <w:r>
        <w:rPr>
          <w:rFonts w:ascii="Arial" w:cs="Arial" w:eastAsia="Arial" w:hAnsi="Arial"/>
          <w:sz w:val="16"/>
          <w:szCs w:val="16"/>
          <w:color w:val="auto"/>
        </w:rPr>
        <w:t>. Indemnitee shall have the sole right and obligation to control the defense or conduct of any claim or Proceeding with respect to Indemnitee. The Company shall not, without the prior written consent of Indemnitee, which may be provided or withheld in Indemnitee’s sole discretion, effect any settlement of any Proceeding against Indemnitee or which could have been brought against Indemnitee or which potentially or actually imposes any cost, liability, exposure or burden on Indemnitee unless (i) such settlement solely involves the payment of money or performance of any obligation by persons other than Indemnitee and includes an unconditional release of Indemnitee by all relevant parties from all liability on any matters that are the subject of such Proceeding and an acknowledgment that Indemnitee denies all wrongdoing in connection with such matters and</w:t>
      </w:r>
    </w:p>
    <w:p>
      <w:pPr>
        <w:spacing w:after="0" w:line="4" w:lineRule="exact"/>
        <w:rPr>
          <w:rFonts w:ascii="Arial" w:cs="Arial" w:eastAsia="Arial" w:hAnsi="Arial"/>
          <w:sz w:val="16"/>
          <w:szCs w:val="16"/>
          <w:color w:val="auto"/>
        </w:rPr>
      </w:pPr>
    </w:p>
    <w:p>
      <w:pPr>
        <w:ind w:left="4" w:right="40" w:hanging="4"/>
        <w:spacing w:after="0" w:line="269" w:lineRule="auto"/>
        <w:tabs>
          <w:tab w:leader="none" w:pos="26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Company has fully indemnified the Indemnitee with respect to, and held Indemnitee harmless from and against, all Expenses actually and reasonably incurred by Indemnitee or on behalf of Indemnitee in connection with such Proceeding. The Company shall not be obligated to indemnify Indemnitee against amounts paid in settlement of a Proceeding against Indemnitee if such settlement is effected by Indemnitee without the Company’s prior written consent, which consent shall not be unreasonably withheld, delayed or conditioned, unless such settlement solely involves the payment of money or performance of any obligation by persons other than the Company and includes an unconditional release of the Company by any party to such Proceeding other than the Indemnitee from all liability on any matters that are the subject of such Proceeding and an acknowledgment that the Company denies all wrongdoing in connection with such matters.</w:t>
      </w:r>
    </w:p>
    <w:p>
      <w:pPr>
        <w:spacing w:after="0" w:line="72" w:lineRule="exact"/>
        <w:rPr>
          <w:rFonts w:ascii="Arial" w:cs="Arial" w:eastAsia="Arial" w:hAnsi="Arial"/>
          <w:sz w:val="17"/>
          <w:szCs w:val="17"/>
          <w:color w:val="auto"/>
        </w:rPr>
      </w:pPr>
    </w:p>
    <w:p>
      <w:pPr>
        <w:ind w:left="1244" w:hanging="253"/>
        <w:spacing w:after="0"/>
        <w:tabs>
          <w:tab w:leader="none" w:pos="1244" w:val="left"/>
        </w:tabs>
        <w:numPr>
          <w:ilvl w:val="2"/>
          <w:numId w:val="261"/>
        </w:numPr>
        <w:rPr>
          <w:rFonts w:ascii="Arial" w:cs="Arial" w:eastAsia="Arial" w:hAnsi="Arial"/>
          <w:sz w:val="18"/>
          <w:szCs w:val="18"/>
          <w:color w:val="auto"/>
        </w:rPr>
      </w:pPr>
      <w:r>
        <w:rPr>
          <w:rFonts w:ascii="Arial" w:cs="Arial" w:eastAsia="Arial" w:hAnsi="Arial"/>
          <w:sz w:val="18"/>
          <w:szCs w:val="18"/>
          <w:u w:val="single" w:color="auto"/>
          <w:color w:val="auto"/>
        </w:rPr>
        <w:t>Request for Advancement; Request for 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90" w:lineRule="auto"/>
        <w:tabs>
          <w:tab w:leader="none" w:pos="1651" w:val="left"/>
        </w:tabs>
        <w:numPr>
          <w:ilvl w:val="3"/>
          <w:numId w:val="261"/>
        </w:numPr>
        <w:rPr>
          <w:rFonts w:ascii="Arial" w:cs="Arial" w:eastAsia="Arial" w:hAnsi="Arial"/>
          <w:sz w:val="16"/>
          <w:szCs w:val="16"/>
          <w:color w:val="auto"/>
        </w:rPr>
      </w:pPr>
      <w:r>
        <w:rPr>
          <w:rFonts w:ascii="Arial" w:cs="Arial" w:eastAsia="Arial" w:hAnsi="Arial"/>
          <w:sz w:val="16"/>
          <w:szCs w:val="16"/>
          <w:color w:val="auto"/>
        </w:rPr>
        <w:t>To obtain advancement of Expenses under this Agreement, Indemnitee shall submit to the Company a written request therefor, together with such invoices or other supporting information as may be reasonably requested by the Company and reasonably available to Indemnitee, and, only to the extent required by applicable law which cannot be waived, an unsecured written undertaking to repay amounts advanced. The Company shall make advance payment of Expenses to Indemnitee no later than ten (10) business days after receipt of the written request for advancement (and each subsequent request for advancement) by Indemnitee. If, at the time of receipt of any such written request for advancement of Expenses, the Company has director and officer insurance policies in effect, the Company will promptly notify the relevant insurers in accordance with the procedures and requirements of such policies. The Company shall thereafter keep such director and officer insurers informed of the status of the Proceeding or other claim and take such other actions, as appropriate to secure coverage of Indemnitee for such claim.</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66" w:name="page367"/>
    <w:bookmarkEnd w:id="366"/>
    <w:p>
      <w:pPr>
        <w:ind w:left="4" w:firstLine="1428"/>
        <w:spacing w:after="0" w:line="290" w:lineRule="auto"/>
        <w:tabs>
          <w:tab w:leader="none" w:pos="1701" w:val="left"/>
        </w:tabs>
        <w:numPr>
          <w:ilvl w:val="2"/>
          <w:numId w:val="2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obtain indemnification under this Agreement, Indemnitee may submit a written request for indemnification hereunder. The time at which Indemnitee submits a written request for indemnification shall be determined by the Indemnitee in the Indemnitee’s sole discretion. Once Indemnitee submits such a written request for indemnification (and only at such time that Indemnitee submits such a written request for indemnification), a Determination (as hereinafter defined) shall thereafter be made, as provided in and only to the extent required by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of this Agreement. In no event shall a Determination be made, or required to be made, as a condition to or otherwise in connection with any advancement of Expenses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9(c)(i)</w:t>
      </w:r>
      <w:r>
        <w:rPr>
          <w:rFonts w:ascii="Arial" w:cs="Arial" w:eastAsia="Arial" w:hAnsi="Arial"/>
          <w:sz w:val="16"/>
          <w:szCs w:val="16"/>
          <w:color w:val="auto"/>
        </w:rPr>
        <w:t xml:space="preserve"> of this Agreement. If, at the time of receipt of any such request for indemnification, the Company has director and officer insurance policies in effect, the Company will promptly notify the relevant insurers and take such other actions as necessary or appropriate to secure coverage of Indemnitee for such claim in accordance with the procedures and requirements of such policies.</w:t>
      </w:r>
    </w:p>
    <w:p>
      <w:pPr>
        <w:spacing w:after="0" w:line="57" w:lineRule="exact"/>
        <w:rPr>
          <w:rFonts w:ascii="Arial" w:cs="Arial" w:eastAsia="Arial" w:hAnsi="Arial"/>
          <w:sz w:val="16"/>
          <w:szCs w:val="16"/>
          <w:color w:val="auto"/>
        </w:rPr>
      </w:pPr>
    </w:p>
    <w:p>
      <w:pPr>
        <w:ind w:left="4" w:right="40" w:firstLine="987"/>
        <w:spacing w:after="0" w:line="285" w:lineRule="auto"/>
        <w:tabs>
          <w:tab w:leader="none" w:pos="1250"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The Company agrees that Indemnitee shall be indemnified to the fullest extent permitted by law and that no Determination shall be required in connection with such indemnification unless specifically required by applicable law which cannot be waived. In no event shall a Determination be required in connection with indemnification for Expenses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or incurred in connection with any Proceeding or portion thereof with respect to which Indemnitee has been successful on the merits or otherwise. Any decision that a Determination is required by law in connection with any other indemnification of Indemnitee, and any such Determination, shall be made within twenty</w:t>
      </w:r>
    </w:p>
    <w:p>
      <w:pPr>
        <w:spacing w:after="0" w:line="1" w:lineRule="exact"/>
        <w:rPr>
          <w:rFonts w:ascii="Arial" w:cs="Arial" w:eastAsia="Arial" w:hAnsi="Arial"/>
          <w:sz w:val="16"/>
          <w:szCs w:val="16"/>
          <w:color w:val="auto"/>
        </w:rPr>
      </w:pPr>
    </w:p>
    <w:p>
      <w:pPr>
        <w:ind w:left="4" w:hanging="4"/>
        <w:spacing w:after="0" w:line="281" w:lineRule="auto"/>
        <w:tabs>
          <w:tab w:leader="none" w:pos="34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days after receipt of Indemnitee’s written request for indemnification pursuant to </w:t>
      </w:r>
      <w:r>
        <w:rPr>
          <w:rFonts w:ascii="Arial" w:cs="Arial" w:eastAsia="Arial" w:hAnsi="Arial"/>
          <w:sz w:val="16"/>
          <w:szCs w:val="16"/>
          <w:u w:val="single" w:color="auto"/>
          <w:color w:val="auto"/>
        </w:rPr>
        <w:t>Section 9(c)(ii)</w:t>
      </w:r>
      <w:r>
        <w:rPr>
          <w:rFonts w:ascii="Arial" w:cs="Arial" w:eastAsia="Arial" w:hAnsi="Arial"/>
          <w:sz w:val="16"/>
          <w:szCs w:val="16"/>
          <w:color w:val="auto"/>
        </w:rPr>
        <w:t xml:space="preserve"> and such Determination shall be made either (i) by the Disinterested Directors (as hereinafter defined), even though less than a quorum, so long as Indemnitee does not request that such Determination be made by Independent Counsel (as hereinafter defined), or (ii) if so requested by Indemnitee, in Indemnitee’s sole discretion, by Independent Counsel in a written opinion to the Company and Indemnitee. If a Determination is made that Indemnitee is entitled to indemnification, payment to Indemnitee shall be made within ten (10) business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Expenses actually and reasonably incurred by Indemnitee in so cooperating with the Disinterested Directors or Independent Counsel, as the case may be, making such determination shall be advanced and borne by the Company (irrespective of the Determination as to Indemnitee’s entitlement to indemnification) and the Company is liable to indemnify and hold Indemnitee harmless therefrom. If the person, persons or entity empowered or selected under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of this Agreement to determine whether Indemnitee is entitled to indemnification shall not have made a determination within twenty (20)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twenty (20) day period may be extended for a reasonable time, not to exceed an additional twenty</w:t>
      </w:r>
    </w:p>
    <w:p>
      <w:pPr>
        <w:spacing w:after="0" w:line="9" w:lineRule="exact"/>
        <w:rPr>
          <w:rFonts w:ascii="Arial" w:cs="Arial" w:eastAsia="Arial" w:hAnsi="Arial"/>
          <w:sz w:val="16"/>
          <w:szCs w:val="16"/>
          <w:color w:val="auto"/>
        </w:rPr>
      </w:pPr>
    </w:p>
    <w:p>
      <w:pPr>
        <w:ind w:left="4" w:right="80" w:hanging="4"/>
        <w:spacing w:after="0" w:line="302" w:lineRule="auto"/>
        <w:tabs>
          <w:tab w:leader="none" w:pos="34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not apply if the determination of entitlement to indemnification is to be made by Independent Counsel pursuant to </w:t>
      </w:r>
      <w:r>
        <w:rPr>
          <w:rFonts w:ascii="Arial" w:cs="Arial" w:eastAsia="Arial" w:hAnsi="Arial"/>
          <w:sz w:val="16"/>
          <w:szCs w:val="16"/>
          <w:u w:val="single" w:color="auto"/>
          <w:color w:val="auto"/>
        </w:rPr>
        <w:t>Section 9(e)</w:t>
      </w:r>
      <w:r>
        <w:rPr>
          <w:rFonts w:ascii="Arial" w:cs="Arial" w:eastAsia="Arial" w:hAnsi="Arial"/>
          <w:sz w:val="16"/>
          <w:szCs w:val="16"/>
          <w:color w:val="auto"/>
        </w:rPr>
        <w:t>.</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367" w:name="page368"/>
    <w:bookmarkEnd w:id="367"/>
    <w:p>
      <w:pPr>
        <w:ind w:firstLine="987"/>
        <w:spacing w:after="0" w:line="284" w:lineRule="auto"/>
        <w:tabs>
          <w:tab w:leader="none" w:pos="1236"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Counsel</w:t>
      </w:r>
      <w:r>
        <w:rPr>
          <w:rFonts w:ascii="Arial" w:cs="Arial" w:eastAsia="Arial" w:hAnsi="Arial"/>
          <w:sz w:val="16"/>
          <w:szCs w:val="16"/>
          <w:color w:val="auto"/>
        </w:rPr>
        <w:t xml:space="preserve">. In the event a Determination is to be made by Independent Counsel pursuant to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of this Agreement, the Independent Counsel shall be selected as provided in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The Independent Counsel shall be selected by Indemnitee (unless Indemnitee shall request that such selection be made by the Board of Directors, in which event the Board of Directors shall make such selection on behalf of the Company, subject to the remaining provisions of this </w:t>
      </w:r>
      <w:r>
        <w:rPr>
          <w:rFonts w:ascii="Arial" w:cs="Arial" w:eastAsia="Arial" w:hAnsi="Arial"/>
          <w:sz w:val="16"/>
          <w:szCs w:val="16"/>
          <w:u w:val="single" w:color="auto"/>
          <w:color w:val="auto"/>
        </w:rPr>
        <w:t>Section 9(e)</w:t>
      </w:r>
      <w:r>
        <w:rPr>
          <w:rFonts w:ascii="Arial" w:cs="Arial" w:eastAsia="Arial" w:hAnsi="Arial"/>
          <w:sz w:val="16"/>
          <w:szCs w:val="16"/>
          <w:color w:val="auto"/>
        </w:rPr>
        <w:t xml:space="preserve">), and Indemnitee or the Company, as the case may be, shall give written notice to the other, advising the Company or Indemnitee of the identity of the Independent Counsel so selected. The Company or Indemnitee, as the case may be, may, within ten (10) days after such written notice of selection shall have been received, deliver to Indemnitee or the Company,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 9(c)(ii)</w:t>
      </w:r>
      <w:r>
        <w:rPr>
          <w:rFonts w:ascii="Arial" w:cs="Arial" w:eastAsia="Arial" w:hAnsi="Arial"/>
          <w:sz w:val="16"/>
          <w:szCs w:val="16"/>
          <w:color w:val="auto"/>
        </w:rPr>
        <w:t xml:space="preserve"> of this Agreement and after a request for the appointment of Independent Counsel has been made,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of this Agreement. Upon the due commencement of any judicial proceeding or arbitration pursuant to </w:t>
      </w:r>
      <w:r>
        <w:rPr>
          <w:rFonts w:ascii="Arial" w:cs="Arial" w:eastAsia="Arial" w:hAnsi="Arial"/>
          <w:sz w:val="16"/>
          <w:szCs w:val="16"/>
          <w:u w:val="single" w:color="auto"/>
          <w:color w:val="auto"/>
        </w:rPr>
        <w:t>Section 9(f)</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 Any expenses actually and reasonably incurred by or in connection with the appointment of Independent Counsel shall be borne by the Company (irrespective of the Determination of Indemnitee’s entitlement to indemnification) and not by Indemnitee.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68" w:name="page369"/>
    <w:bookmarkEnd w:id="368"/>
    <w:p>
      <w:pPr>
        <w:ind w:right="40" w:firstLine="987"/>
        <w:spacing w:after="0" w:line="269" w:lineRule="auto"/>
        <w:tabs>
          <w:tab w:leader="none" w:pos="1216"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of Determination; Remedies of Indemnitee</w:t>
      </w:r>
      <w:r>
        <w:rPr>
          <w:rFonts w:ascii="Arial" w:cs="Arial" w:eastAsia="Arial" w:hAnsi="Arial"/>
          <w:sz w:val="17"/>
          <w:szCs w:val="17"/>
          <w:color w:val="auto"/>
        </w:rPr>
        <w:t xml:space="preserve">. The Company shall be bound by and shall have no right to challenge a Favorable Determination. If an Adverse Determination is made, or if for any other reason the Company does not make timely indemnification payments or advances of Expenses, Indemnitee shall have the right to commence a Proceeding before a court of competent jurisdiction to challenge such Adverse Determination and/or to require the Company to make such payments or advances (and the Company shall have the right to defend its position in such Proceeding and to appeal any adverse judgment in such Proceeding). Indemnitee shall be entitled to be indemnified for all Expenses incurred in connection with such a Proceeding and to have such Expenses advanced by the Company in accordance with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If Indemnitee fails to challenge an Adverse Determination within fifteen (15) business days, or if Indemnitee challenges an Adverse Determination and such Adverse Determination has been upheld by a final judgment of a court of competent jurisdiction from which no appeal can be taken, then, to the extent and only to the extent required by such Adverse Determination or final judgment, the Company shall not be obligated to indemnify or advance Expenses to Indemnitee under this Agreement.</w:t>
      </w:r>
    </w:p>
    <w:p>
      <w:pPr>
        <w:spacing w:after="0" w:line="77" w:lineRule="exact"/>
        <w:rPr>
          <w:rFonts w:ascii="Arial" w:cs="Arial" w:eastAsia="Arial" w:hAnsi="Arial"/>
          <w:sz w:val="17"/>
          <w:szCs w:val="17"/>
          <w:color w:val="auto"/>
        </w:rPr>
      </w:pPr>
    </w:p>
    <w:p>
      <w:pPr>
        <w:ind w:right="120" w:firstLine="987"/>
        <w:spacing w:after="0" w:line="308" w:lineRule="auto"/>
        <w:tabs>
          <w:tab w:leader="none" w:pos="1246"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Presumptions; Burden and Standard of Proof</w:t>
      </w:r>
      <w:r>
        <w:rPr>
          <w:rFonts w:ascii="Arial" w:cs="Arial" w:eastAsia="Arial" w:hAnsi="Arial"/>
          <w:sz w:val="17"/>
          <w:szCs w:val="17"/>
          <w:color w:val="auto"/>
        </w:rPr>
        <w:t>. The parties intend and agree that, to the extent permitted by law, in connection with any Determination with respect to Indemnitee’s entitlement to indemnification hereunder by any person, including a court:</w:t>
      </w:r>
    </w:p>
    <w:p>
      <w:pPr>
        <w:spacing w:after="0" w:line="38" w:lineRule="exact"/>
        <w:rPr>
          <w:rFonts w:ascii="Arial" w:cs="Arial" w:eastAsia="Arial" w:hAnsi="Arial"/>
          <w:sz w:val="17"/>
          <w:szCs w:val="17"/>
          <w:color w:val="auto"/>
        </w:rPr>
      </w:pPr>
    </w:p>
    <w:p>
      <w:pPr>
        <w:ind w:right="280" w:firstLine="1428"/>
        <w:spacing w:after="0" w:line="286" w:lineRule="auto"/>
        <w:tabs>
          <w:tab w:leader="none" w:pos="1647" w:val="left"/>
        </w:tabs>
        <w:numPr>
          <w:ilvl w:val="1"/>
          <w:numId w:val="267"/>
        </w:numPr>
        <w:rPr>
          <w:rFonts w:ascii="Arial" w:cs="Arial" w:eastAsia="Arial" w:hAnsi="Arial"/>
          <w:sz w:val="17"/>
          <w:szCs w:val="17"/>
          <w:color w:val="auto"/>
        </w:rPr>
      </w:pPr>
      <w:r>
        <w:rPr>
          <w:rFonts w:ascii="Arial" w:cs="Arial" w:eastAsia="Arial" w:hAnsi="Arial"/>
          <w:sz w:val="17"/>
          <w:szCs w:val="17"/>
          <w:color w:val="auto"/>
        </w:rPr>
        <w:t>it will be presumed that Indemnitee is entitled to indemnification under this Agreement (notwithstanding any Adverse Determination), and the Company or any other person or entity challenging such right will have the burden of proof to overcome that presumption in connection with the making by any person, persons or entity of any determination contrary to that presumption;</w:t>
      </w:r>
    </w:p>
    <w:p>
      <w:pPr>
        <w:spacing w:after="0" w:line="57" w:lineRule="exact"/>
        <w:rPr>
          <w:rFonts w:ascii="Arial" w:cs="Arial" w:eastAsia="Arial" w:hAnsi="Arial"/>
          <w:sz w:val="17"/>
          <w:szCs w:val="17"/>
          <w:color w:val="auto"/>
        </w:rPr>
      </w:pPr>
    </w:p>
    <w:p>
      <w:pPr>
        <w:ind w:right="40" w:firstLine="1428"/>
        <w:spacing w:after="0" w:line="259" w:lineRule="auto"/>
        <w:tabs>
          <w:tab w:leader="none" w:pos="169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the termination of any action, suit or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of itself, create a presumption that Indemnitee did not act in good faith and in a manner which Indemnitee reasonably believed to be in or not opposed to the best interests of the Company, and, with respect to any criminal action or proceeding, had reasonable cause to believe that Indemnitee’s conduct was unlawful;</w:t>
      </w:r>
    </w:p>
    <w:p>
      <w:pPr>
        <w:spacing w:after="0" w:line="78" w:lineRule="exact"/>
        <w:rPr>
          <w:rFonts w:ascii="Arial" w:cs="Arial" w:eastAsia="Arial" w:hAnsi="Arial"/>
          <w:sz w:val="18"/>
          <w:szCs w:val="18"/>
          <w:color w:val="auto"/>
        </w:rPr>
      </w:pPr>
    </w:p>
    <w:p>
      <w:pPr>
        <w:ind w:right="20" w:firstLine="1428"/>
        <w:spacing w:after="0" w:line="275" w:lineRule="auto"/>
        <w:tabs>
          <w:tab w:leader="none" w:pos="1747" w:val="left"/>
        </w:tabs>
        <w:numPr>
          <w:ilvl w:val="1"/>
          <w:numId w:val="267"/>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will be deemed to have acted in good faith if Indemnitee’s action is based on the records or books of account of the Company, including financial statements, or on information supplied to Indemnitee by the officers, employees, or committees of the board of directors of the Company in the course of their duties, or on the advice of legal counsel or other advisors (including financial advisors and accountants) for the Company or on information or records given in reports made to the Company by an independent certified public accountant or by an appraiser or other expert or advisor selected by the Company; and</w:t>
      </w:r>
    </w:p>
    <w:p>
      <w:pPr>
        <w:spacing w:after="0" w:line="68" w:lineRule="exact"/>
        <w:rPr>
          <w:rFonts w:ascii="Arial" w:cs="Arial" w:eastAsia="Arial" w:hAnsi="Arial"/>
          <w:sz w:val="17"/>
          <w:szCs w:val="17"/>
          <w:color w:val="auto"/>
        </w:rPr>
      </w:pPr>
    </w:p>
    <w:p>
      <w:pPr>
        <w:ind w:firstLine="1428"/>
        <w:spacing w:after="0" w:line="277" w:lineRule="auto"/>
        <w:tabs>
          <w:tab w:leader="none" w:pos="173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knowledge and/or actions, or failure to act, of any director, officer, agent or employee of the Company or relevant enterprises will not be imputed to Indemnitee in a manner that limits or otherwise adversely affects Indemnitee’s rights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69" w:name="page370"/>
    <w:bookmarkEnd w:id="36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provisions of this </w:t>
      </w:r>
      <w:r>
        <w:rPr>
          <w:rFonts w:ascii="Arial" w:cs="Arial" w:eastAsia="Arial" w:hAnsi="Arial"/>
          <w:sz w:val="18"/>
          <w:szCs w:val="18"/>
          <w:u w:val="single" w:color="auto"/>
          <w:color w:val="auto"/>
        </w:rPr>
        <w:t>Section 9(g)</w:t>
      </w:r>
      <w:r>
        <w:rPr>
          <w:rFonts w:ascii="Arial" w:cs="Arial" w:eastAsia="Arial" w:hAnsi="Arial"/>
          <w:sz w:val="18"/>
          <w:szCs w:val="18"/>
          <w:color w:val="auto"/>
        </w:rPr>
        <w:t xml:space="preserve"> shall not be deemed to be exclusive or to limit in any way the other circumstances in which Indemnitee may be deemed to have met the applicable standard of conduct set forth in this Agreement.</w:t>
      </w:r>
    </w:p>
    <w:p>
      <w:pPr>
        <w:spacing w:after="0" w:line="62" w:lineRule="exact"/>
        <w:rPr>
          <w:sz w:val="20"/>
          <w:szCs w:val="20"/>
          <w:color w:val="auto"/>
        </w:rPr>
      </w:pPr>
    </w:p>
    <w:p>
      <w:pPr>
        <w:ind w:left="700" w:hanging="264"/>
        <w:spacing w:after="0"/>
        <w:tabs>
          <w:tab w:leader="none" w:pos="70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86" w:lineRule="auto"/>
        <w:tabs>
          <w:tab w:leader="none" w:pos="1236"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in the event that (i) a determination is made pursuant to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of this Agreement that Indemnitee is not entitled to indemnification under this Agreement, (ii) advancement of Expenses is not timely made pursuant to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of this Agreement within twenty (20)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within ten (10) business days after receipt by the Company of a written request therefor, (v)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is not made within five (5) business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one hundred eighty (180) days following the date on which Indemnitee first has the right to commence such proceeding pursuant to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clause shall not apply in respect of a proceeding brought by Indemnitee to enforce his rights under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 The Company shall not oppose Indemnitee’s right to seek any such adjudication or award in arbitration.</w:t>
      </w:r>
    </w:p>
    <w:p>
      <w:pPr>
        <w:spacing w:after="0" w:line="62" w:lineRule="exact"/>
        <w:rPr>
          <w:rFonts w:ascii="Arial" w:cs="Arial" w:eastAsia="Arial" w:hAnsi="Arial"/>
          <w:sz w:val="16"/>
          <w:szCs w:val="16"/>
          <w:color w:val="auto"/>
        </w:rPr>
      </w:pPr>
    </w:p>
    <w:p>
      <w:pPr>
        <w:jc w:val="both"/>
        <w:ind w:right="220" w:firstLine="987"/>
        <w:spacing w:after="0" w:line="259" w:lineRule="auto"/>
        <w:tabs>
          <w:tab w:leader="none" w:pos="124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9(d)</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be conducted in all respects as a de novo trial, or arbitration, on the merits, in which (i) Indemnitee shall not be prejudiced by reason of that adverse determination, and (ii) the Company shall bear the burden of establishing that Indemnitee is not entitled to indemnification.</w:t>
      </w:r>
    </w:p>
    <w:p>
      <w:pPr>
        <w:spacing w:after="0" w:line="78" w:lineRule="exact"/>
        <w:rPr>
          <w:rFonts w:ascii="Arial" w:cs="Arial" w:eastAsia="Arial" w:hAnsi="Arial"/>
          <w:sz w:val="18"/>
          <w:szCs w:val="18"/>
          <w:color w:val="auto"/>
        </w:rPr>
      </w:pPr>
    </w:p>
    <w:p>
      <w:pPr>
        <w:ind w:right="80" w:firstLine="987"/>
        <w:spacing w:after="0" w:line="279" w:lineRule="auto"/>
        <w:tabs>
          <w:tab w:leader="none" w:pos="1236" w:val="left"/>
        </w:tabs>
        <w:numPr>
          <w:ilvl w:val="1"/>
          <w:numId w:val="268"/>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9(d)</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10</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63" w:lineRule="exact"/>
        <w:rPr>
          <w:rFonts w:ascii="Arial" w:cs="Arial" w:eastAsia="Arial" w:hAnsi="Arial"/>
          <w:sz w:val="17"/>
          <w:szCs w:val="17"/>
          <w:color w:val="auto"/>
        </w:rPr>
      </w:pPr>
    </w:p>
    <w:p>
      <w:pPr>
        <w:ind w:right="280" w:firstLine="987"/>
        <w:spacing w:after="0" w:line="311" w:lineRule="auto"/>
        <w:tabs>
          <w:tab w:leader="none" w:pos="1246"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The Company shall, to the fullest extent not prohibited by law, be precluded from asserting in any judicial proceeding or arbitration commenced pursuant to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70" w:name="page371"/>
    <w:bookmarkEnd w:id="370"/>
    <w:p>
      <w:pPr>
        <w:ind w:right="60" w:firstLine="987"/>
        <w:spacing w:after="0" w:line="277" w:lineRule="auto"/>
        <w:tabs>
          <w:tab w:leader="none" w:pos="1236" w:val="left"/>
        </w:tabs>
        <w:numPr>
          <w:ilvl w:val="1"/>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to the contrary, no determination as to entitlement of Indemnitee to indemnification under this Agreement shall be required to be made prior to the final disposition of the Proceeding.</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Insurance; Subrogation; Other Rights of Recovery, etc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87" w:lineRule="auto"/>
        <w:tabs>
          <w:tab w:leader="none" w:pos="1236"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The Company shall use its reasonable best efforts to purchase and maintain a policy or policies of insurance with reputable insurance companies with A.M. Best ratings of “A” or better, providing Indemnitee with coverage for any liability asserted against, and incurred by, Indemnitee or on Indemnitee’s behalf by reason of Indemnitee’s Corporate Status, or arising out of Indemnitee’s status as such, whether or not the Company would have the power to indemnify Indemnitee against such liability. Such insurance policies shall have coverage terms and policy limits at least as favorable to Indemnitee as the insurance coverage provided to any other director or officer of the Company. If the Company has such insurance in effect at the time it receives from Indemnitee any notice of the commencement of an action, suit, proceeding or other claim, the Company shall give prompt notice of the commencement of such action, suit, proceeding or other claim to the insurers and take such other actions in accordance with the procedures set forth in the policy as required or appropriate to secure coverage of Indemnitee for such action, suit, proceeding or other claim. The Company shall thereafter take all necessary or desirable action to cause such insurers to pay, on behalf of Indemnitee, all amounts payable as a result of such action, suit, proceeding or other claim in accordance with the terms of such policy. The Company shall continue to provide such insurance coverage to Indemnitee for a period of at least ten (10) years after Indemnitee ceases to serve as a director or an officer or in any other Corporate Status.</w:t>
      </w:r>
    </w:p>
    <w:p>
      <w:pPr>
        <w:spacing w:after="0" w:line="63" w:lineRule="exact"/>
        <w:rPr>
          <w:rFonts w:ascii="Arial" w:cs="Arial" w:eastAsia="Arial" w:hAnsi="Arial"/>
          <w:sz w:val="16"/>
          <w:szCs w:val="16"/>
          <w:color w:val="auto"/>
        </w:rPr>
      </w:pPr>
    </w:p>
    <w:p>
      <w:pPr>
        <w:ind w:right="60" w:firstLine="987"/>
        <w:spacing w:after="0" w:line="269" w:lineRule="auto"/>
        <w:tabs>
          <w:tab w:leader="none" w:pos="1246"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Company shall not be liable to pay or advance to Indemnitee any amounts otherwise indemnifiable under this Agreement or under any other indemnification agreement if and to the extent that Indemnitee has otherwise actually received such payment under any insurance policy, contract, agreement or otherwise; provided, however, that (i) the Company hereby agrees that it is the indemnitor of first resort under this Agreement and under any other indemnification agreement (i.e., its obligations to Indemnitee under this Agreement or any other agreement or undertaking to provide advancement and/or indemnification to Indemnitee are primary and any obligation of any other entity to provide advancement or indemnification, or any obligation of any insurer of any other entity to provide insurance coverage, for the same Expenses, liabilities, judgments, penalties, fines and amounts paid in settlement (including all interest, assessments and other charges paid or payable in connection with or in respect of such Expenses, liabilities, judgments, penalties, fines and amounts paid in settlement) incurred by Indemnitee are secondary), and (ii) if any other entity pays or causes to be paid, for any reason, any amounts otherwise indemnifiable hereunder or under any other indemnification agreement (whether pursuant to contract, bylaws or charter) with Indemnitee in connection with Indemnitee’s service to the Company, then (x) such other entity shall be fully subrogated to all rights of Indemnitee with respect to such payment and (y) the Company shall fully indemnify, reimburse and hold harmless such other entity for all such payments actually made by such other entity.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71" w:name="page372"/>
    <w:bookmarkEnd w:id="371"/>
    <w:p>
      <w:pPr>
        <w:ind w:left="4" w:right="80" w:firstLine="987"/>
        <w:spacing w:after="0" w:line="273" w:lineRule="auto"/>
        <w:tabs>
          <w:tab w:leader="none" w:pos="1240" w:val="left"/>
        </w:tabs>
        <w:numPr>
          <w:ilvl w:val="2"/>
          <w:numId w:val="2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provided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the rights to indemnification and advancement of Expenses as provided by this Agreement shall not be deemed exclusive of any other rights to which Indemnitee may at any time, whenever conferred or arising, be entitled under applicable law, under the Certificate of Incorporation or Bylaws, or under any other agreement, or otherwise. Indemnitee’s rights under this Agreement are present contractual rights that fully vest upon Indemnitee’s first service as a director or an officer of the Company. The Parties hereby agree that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shall be deemed exclusive and shall be deemed to modify, amend and clarify any right to indemnification or advancement provided to Indemnitee under any other contract, agreement or document with the Company.</w:t>
      </w:r>
    </w:p>
    <w:p>
      <w:pPr>
        <w:spacing w:after="0" w:line="69" w:lineRule="exact"/>
        <w:rPr>
          <w:rFonts w:ascii="Arial" w:cs="Arial" w:eastAsia="Arial" w:hAnsi="Arial"/>
          <w:sz w:val="17"/>
          <w:szCs w:val="17"/>
          <w:color w:val="auto"/>
        </w:rPr>
      </w:pPr>
    </w:p>
    <w:p>
      <w:pPr>
        <w:ind w:left="4" w:firstLine="987"/>
        <w:spacing w:after="0" w:line="254" w:lineRule="auto"/>
        <w:tabs>
          <w:tab w:leader="none" w:pos="125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General Corporation Law of the State of Delaware (or other applicable law), whether by statute or judicial decision, permits greater indemnification or advancement of Expenses than would be afforded currently under the Certificate of Incorporation or Bylaws and this Agreement, it is the intent of the parties hereto that Indemnitee enjoy by this Agreement the greater benefits so afforded by such change. The assertion or employment of any right or remedy hereunder, or otherwise, shall not prevent the concurrent assertion or employment of any other right or remedy.</w:t>
      </w:r>
    </w:p>
    <w:p>
      <w:pPr>
        <w:spacing w:after="0" w:line="86" w:lineRule="exact"/>
        <w:rPr>
          <w:rFonts w:ascii="Arial" w:cs="Arial" w:eastAsia="Arial" w:hAnsi="Arial"/>
          <w:sz w:val="18"/>
          <w:szCs w:val="18"/>
          <w:color w:val="auto"/>
        </w:rPr>
      </w:pPr>
    </w:p>
    <w:p>
      <w:pPr>
        <w:ind w:left="704" w:hanging="264"/>
        <w:spacing w:after="0"/>
        <w:tabs>
          <w:tab w:leader="none" w:pos="704"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Employment Rights; Successors; Third Party Beneficiaries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342" w:lineRule="auto"/>
        <w:tabs>
          <w:tab w:leader="none" w:pos="1240" w:val="left"/>
        </w:tabs>
        <w:numPr>
          <w:ilvl w:val="2"/>
          <w:numId w:val="272"/>
        </w:numPr>
        <w:rPr>
          <w:rFonts w:ascii="Arial" w:cs="Arial" w:eastAsia="Arial" w:hAnsi="Arial"/>
          <w:sz w:val="16"/>
          <w:szCs w:val="16"/>
          <w:color w:val="auto"/>
        </w:rPr>
      </w:pPr>
      <w:r>
        <w:rPr>
          <w:rFonts w:ascii="Arial" w:cs="Arial" w:eastAsia="Arial" w:hAnsi="Arial"/>
          <w:sz w:val="16"/>
          <w:szCs w:val="16"/>
          <w:color w:val="auto"/>
        </w:rPr>
        <w:t>This Agreement shall not be deemed an employment contract between the Company and Indemnitee. This Agreement shall continue in force as provided above after Indemnitee has ceased to serve as a director and/or an officer of the Company or any other Corporate Status.</w:t>
      </w:r>
    </w:p>
    <w:p>
      <w:pPr>
        <w:spacing w:after="0" w:line="15" w:lineRule="exact"/>
        <w:rPr>
          <w:rFonts w:ascii="Arial" w:cs="Arial" w:eastAsia="Arial" w:hAnsi="Arial"/>
          <w:sz w:val="16"/>
          <w:szCs w:val="16"/>
          <w:color w:val="auto"/>
        </w:rPr>
      </w:pPr>
    </w:p>
    <w:p>
      <w:pPr>
        <w:ind w:left="4" w:right="60" w:firstLine="987"/>
        <w:spacing w:after="0" w:line="275" w:lineRule="auto"/>
        <w:tabs>
          <w:tab w:leader="none" w:pos="1250" w:val="left"/>
        </w:tabs>
        <w:numPr>
          <w:ilvl w:val="2"/>
          <w:numId w:val="272"/>
        </w:numPr>
        <w:rPr>
          <w:rFonts w:ascii="Arial" w:cs="Arial" w:eastAsia="Arial" w:hAnsi="Arial"/>
          <w:sz w:val="17"/>
          <w:szCs w:val="17"/>
          <w:color w:val="auto"/>
        </w:rPr>
      </w:pPr>
      <w:r>
        <w:rPr>
          <w:rFonts w:ascii="Arial" w:cs="Arial" w:eastAsia="Arial" w:hAnsi="Arial"/>
          <w:sz w:val="17"/>
          <w:szCs w:val="17"/>
          <w:color w:val="auto"/>
        </w:rPr>
        <w:t>This Agreement shall be binding upon the Company and its successors and assigns and shall inure to the benefit of Indemnitee and Indemnitee’s heirs, executors and administrators. If the Company or any of its successors or assigns shall (i) consolidate with or merge into any other corporation or entity and shall not be the continuing or surviving corporation or entity of such consolidation or merger or (ii) transfer all or substantially all of its properties and assets to any individual, corporation or other entity, then, and in each such case, proper provisions shall be made so that the successors and assigns of the Company shall assume all of the obligations set forth in this Agreement.</w:t>
      </w:r>
    </w:p>
    <w:p>
      <w:pPr>
        <w:spacing w:after="0" w:line="68" w:lineRule="exact"/>
        <w:rPr>
          <w:rFonts w:ascii="Arial" w:cs="Arial" w:eastAsia="Arial" w:hAnsi="Arial"/>
          <w:sz w:val="17"/>
          <w:szCs w:val="17"/>
          <w:color w:val="auto"/>
        </w:rPr>
      </w:pPr>
    </w:p>
    <w:p>
      <w:pPr>
        <w:ind w:left="704" w:hanging="264"/>
        <w:spacing w:after="0"/>
        <w:tabs>
          <w:tab w:leader="none" w:pos="704" w:val="left"/>
        </w:tabs>
        <w:numPr>
          <w:ilvl w:val="1"/>
          <w:numId w:val="27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w:t>
      </w:r>
    </w:p>
    <w:p>
      <w:pPr>
        <w:spacing w:after="0" w:line="46" w:lineRule="exact"/>
        <w:rPr>
          <w:rFonts w:ascii="Arial" w:cs="Arial" w:eastAsia="Arial" w:hAnsi="Arial"/>
          <w:sz w:val="16"/>
          <w:szCs w:val="16"/>
          <w:color w:val="auto"/>
        </w:rPr>
      </w:pPr>
    </w:p>
    <w:p>
      <w:pPr>
        <w:ind w:left="4" w:hanging="4"/>
        <w:spacing w:after="0" w:line="270" w:lineRule="auto"/>
        <w:tabs>
          <w:tab w:leader="none" w:pos="24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72" w:name="page373"/>
    <w:bookmarkEnd w:id="372"/>
    <w:p>
      <w:pPr>
        <w:ind w:right="120" w:firstLine="436"/>
        <w:spacing w:after="0" w:line="272" w:lineRule="auto"/>
        <w:tabs>
          <w:tab w:leader="none" w:pos="71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 to Right of Indemnification or Advancement of Expenses</w:t>
      </w:r>
      <w:r>
        <w:rPr>
          <w:rFonts w:ascii="Arial" w:cs="Arial" w:eastAsia="Arial" w:hAnsi="Arial"/>
          <w:sz w:val="17"/>
          <w:szCs w:val="17"/>
          <w:color w:val="auto"/>
        </w:rPr>
        <w:t xml:space="preserve">. Notwithstanding any other provision of this Agreement and except as provided in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of this Agreement or as may otherwise be agreed by the Company, Indemnitee shall not be entitled to indemnification or advancement of Expenses under this Agreement with respect to any Proceeding brought by Indemnitee (other than a Proceeding by Indemnitee (i) by way of defense or counterclaim or other similar portion of a Proceeding, (ii) to enforce Indemnitee’s rights under this Agreement or (iii) to enforce any other rights of Indemnitee to indemnification, advancement or contribution from the Company under any other contract, bylaws or charter or under statute or other law, including any rights under Section 145 of the Delaware General Corporation Law), unless the bringing of such Proceeding or making of such claim shall have been approved by the Board of Directors of the Company.</w:t>
      </w:r>
    </w:p>
    <w:p>
      <w:pPr>
        <w:spacing w:after="0" w:line="69" w:lineRule="exact"/>
        <w:rPr>
          <w:rFonts w:ascii="Arial" w:cs="Arial" w:eastAsia="Arial" w:hAnsi="Arial"/>
          <w:sz w:val="17"/>
          <w:szCs w:val="17"/>
          <w:color w:val="auto"/>
        </w:rPr>
      </w:pPr>
    </w:p>
    <w:p>
      <w:pPr>
        <w:ind w:left="700" w:hanging="264"/>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means (i) in the case of the Company, its Bylaws and (ii) in the case of any other entity, its bylaws or similar governing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102" w:lineRule="exact"/>
        <w:rPr>
          <w:rFonts w:ascii="Arial" w:cs="Arial" w:eastAsia="Arial" w:hAnsi="Arial"/>
          <w:sz w:val="17"/>
          <w:szCs w:val="17"/>
          <w:color w:val="auto"/>
        </w:rPr>
      </w:pPr>
    </w:p>
    <w:p>
      <w:pPr>
        <w:ind w:firstLine="987"/>
        <w:spacing w:after="0" w:line="277" w:lineRule="auto"/>
        <w:tabs>
          <w:tab w:leader="none" w:pos="123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(i) in the case of the Company, its Amended &amp; Restated Certificate of Incorporation and (ii) in the case of any other entity, its certificate of incorporation, articles of incorporation or similar constituting document.</w:t>
      </w:r>
    </w:p>
    <w:p>
      <w:pPr>
        <w:spacing w:after="0" w:line="62" w:lineRule="exact"/>
        <w:rPr>
          <w:rFonts w:ascii="Arial" w:cs="Arial" w:eastAsia="Arial" w:hAnsi="Arial"/>
          <w:sz w:val="18"/>
          <w:szCs w:val="18"/>
          <w:color w:val="auto"/>
        </w:rPr>
      </w:pPr>
    </w:p>
    <w:p>
      <w:pPr>
        <w:ind w:firstLine="987"/>
        <w:spacing w:after="0" w:line="311" w:lineRule="auto"/>
        <w:tabs>
          <w:tab w:leader="none" w:pos="124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by reason of such person’s past, present or future service as a director, officer, general partner, manager, managing member, employee, fiduciary, trustee, or agent of the Company (including, without limitation, one who serves at the request of the Company as a director, officer, general partner, manager, managing member, employee, fiduciary, trustee or agent of any other entity).</w:t>
      </w:r>
    </w:p>
    <w:p>
      <w:pPr>
        <w:spacing w:after="0" w:line="40" w:lineRule="exact"/>
        <w:rPr>
          <w:rFonts w:ascii="Arial" w:cs="Arial" w:eastAsia="Arial" w:hAnsi="Arial"/>
          <w:sz w:val="16"/>
          <w:szCs w:val="16"/>
          <w:color w:val="auto"/>
        </w:rPr>
      </w:pPr>
    </w:p>
    <w:p>
      <w:pPr>
        <w:ind w:right="20" w:firstLine="987"/>
        <w:spacing w:after="0" w:line="257" w:lineRule="auto"/>
        <w:tabs>
          <w:tab w:leader="none" w:pos="123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means a determination that either (x) there is a reasonable basis for the conclusion that indemnification of Indemnitee is proper in the circumstances because Indemnitee met a particular standard of conduct (a “</w:t>
      </w:r>
      <w:r>
        <w:rPr>
          <w:rFonts w:ascii="Arial" w:cs="Arial" w:eastAsia="Arial" w:hAnsi="Arial"/>
          <w:sz w:val="18"/>
          <w:szCs w:val="18"/>
          <w:u w:val="single" w:color="auto"/>
          <w:color w:val="auto"/>
        </w:rPr>
        <w:t>Favorable Determination</w:t>
      </w:r>
      <w:r>
        <w:rPr>
          <w:rFonts w:ascii="Arial" w:cs="Arial" w:eastAsia="Arial" w:hAnsi="Arial"/>
          <w:sz w:val="18"/>
          <w:szCs w:val="18"/>
          <w:color w:val="auto"/>
        </w:rPr>
        <w:t>”) or (y) there is no reasonable basis for the conclusion that indemnification of Indemnitee is proper in the circumstances because Indemnitee met a particular standard of conduct (an “</w:t>
      </w:r>
      <w:r>
        <w:rPr>
          <w:rFonts w:ascii="Arial" w:cs="Arial" w:eastAsia="Arial" w:hAnsi="Arial"/>
          <w:sz w:val="18"/>
          <w:szCs w:val="18"/>
          <w:u w:val="single" w:color="auto"/>
          <w:color w:val="auto"/>
        </w:rPr>
        <w:t>Adverse Determination</w:t>
      </w:r>
      <w:r>
        <w:rPr>
          <w:rFonts w:ascii="Arial" w:cs="Arial" w:eastAsia="Arial" w:hAnsi="Arial"/>
          <w:sz w:val="18"/>
          <w:szCs w:val="18"/>
          <w:color w:val="auto"/>
        </w:rPr>
        <w:t>”). An Adverse Determination shall include the decision that a Determination was required in connection with indemnification and the decision as to the applicable standard of conduct.</w:t>
      </w:r>
    </w:p>
    <w:p>
      <w:pPr>
        <w:spacing w:after="0" w:line="79" w:lineRule="exact"/>
        <w:rPr>
          <w:rFonts w:ascii="Arial" w:cs="Arial" w:eastAsia="Arial" w:hAnsi="Arial"/>
          <w:sz w:val="18"/>
          <w:szCs w:val="18"/>
          <w:color w:val="auto"/>
        </w:rPr>
      </w:pPr>
    </w:p>
    <w:p>
      <w:pPr>
        <w:ind w:right="620" w:firstLine="987"/>
        <w:spacing w:after="0" w:line="342" w:lineRule="auto"/>
        <w:tabs>
          <w:tab w:leader="none" w:pos="121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Disinterested Director</w:t>
      </w:r>
      <w:r>
        <w:rPr>
          <w:rFonts w:ascii="Arial" w:cs="Arial" w:eastAsia="Arial" w:hAnsi="Arial"/>
          <w:sz w:val="16"/>
          <w:szCs w:val="16"/>
          <w:color w:val="auto"/>
        </w:rPr>
        <w:t>” means a director of the Company who is not and was not a party to the Proceeding in respect of which indemnification is sought by Indemnitee and does not otherwise have an interest materially adverse to any interest of the Indemnitee.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373" w:name="page374"/>
    <w:bookmarkEnd w:id="373"/>
    <w:p>
      <w:pPr>
        <w:ind w:right="20" w:firstLine="987"/>
        <w:spacing w:after="0" w:line="269" w:lineRule="auto"/>
        <w:tabs>
          <w:tab w:leader="none" w:pos="1246" w:val="left"/>
        </w:tabs>
        <w:numPr>
          <w:ilvl w:val="0"/>
          <w:numId w:val="2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Expenses</w:t>
      </w:r>
      <w:r>
        <w:rPr>
          <w:rFonts w:ascii="Arial" w:cs="Arial" w:eastAsia="Arial" w:hAnsi="Arial"/>
          <w:sz w:val="17"/>
          <w:szCs w:val="17"/>
          <w:color w:val="auto"/>
        </w:rPr>
        <w:t>” shall mean all direct and indirect costs, fees and expenses of any type or nature whatsoever and shall specifically include, without limitation, all reasonable attorneys’ fees, retainers, court costs, transcript costs, fees and costs of experts, witness fees and costs, travel expenses, duplicating costs, printing and binding costs, telephone charges, postage, delivery service fees, ERISA excise taxes and penalties, and all other disbursements or expenses of the types customarily incurred in connection with prosecuting, defending, preparing to prosecute or defend, investigating, being or preparing to be a witness, in, or otherwise participating in, a Proceeding or an appeal resulting from a Proceeding, including, but not limited to, the premium for appeal bonds, attachment bonds or similar bonds and all interest, assessments and other charges paid or payable in connection with or in respect of any such Expenses, and shall also specifically include, without limitation, all reasonable attorneys’ fees and all other expenses actually and reasonably incurred by or on behalf of Indemnitee in connection with preparing and submitting any requests or statements for indemnification, advancement, contribution or any other right provided by this Agreement. Expenses, however, shall not include amounts of judgments or fines against Indemnitee.</w:t>
      </w:r>
    </w:p>
    <w:p>
      <w:pPr>
        <w:spacing w:after="0" w:line="77" w:lineRule="exact"/>
        <w:rPr>
          <w:rFonts w:ascii="Arial" w:cs="Arial" w:eastAsia="Arial" w:hAnsi="Arial"/>
          <w:sz w:val="17"/>
          <w:szCs w:val="17"/>
          <w:color w:val="auto"/>
        </w:rPr>
      </w:pPr>
    </w:p>
    <w:p>
      <w:pPr>
        <w:ind w:right="60" w:firstLine="987"/>
        <w:spacing w:after="0" w:line="270" w:lineRule="auto"/>
        <w:tabs>
          <w:tab w:leader="none" w:pos="1246"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Counsel</w:t>
      </w:r>
      <w:r>
        <w:rPr>
          <w:rFonts w:ascii="Arial" w:cs="Arial" w:eastAsia="Arial" w:hAnsi="Arial"/>
          <w:sz w:val="17"/>
          <w:szCs w:val="17"/>
          <w:color w:val="auto"/>
        </w:rPr>
        <w:t>” means, at any time, any law firm, or a member of a law firm, that (a) is experienced in matters of corporation law and (b) is not, at such time, or has not been in the five years prior to such time, retained to represent: (i) the Company or Indemnitee in any matter material to either such party (other than with respect to matters concerning Indemnitee under this Agreement, or of other indemnities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and to be jointly and severally liable therefor.</w:t>
      </w:r>
    </w:p>
    <w:p>
      <w:pPr>
        <w:spacing w:after="0" w:line="72" w:lineRule="exact"/>
        <w:rPr>
          <w:rFonts w:ascii="Arial" w:cs="Arial" w:eastAsia="Arial" w:hAnsi="Arial"/>
          <w:sz w:val="17"/>
          <w:szCs w:val="17"/>
          <w:color w:val="auto"/>
        </w:rPr>
      </w:pPr>
    </w:p>
    <w:p>
      <w:pPr>
        <w:ind w:right="320" w:firstLine="987"/>
        <w:spacing w:after="0" w:line="277" w:lineRule="auto"/>
        <w:tabs>
          <w:tab w:leader="none" w:pos="120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by and among the Company, the Sponsor and each of the Company’s executive officers, directors and director nominees, dated as of [•], 2021.</w:t>
      </w:r>
    </w:p>
    <w:p>
      <w:pPr>
        <w:spacing w:after="0" w:line="62" w:lineRule="exact"/>
        <w:rPr>
          <w:rFonts w:ascii="Arial" w:cs="Arial" w:eastAsia="Arial" w:hAnsi="Arial"/>
          <w:sz w:val="18"/>
          <w:szCs w:val="18"/>
          <w:color w:val="auto"/>
        </w:rPr>
      </w:pPr>
    </w:p>
    <w:p>
      <w:pPr>
        <w:ind w:firstLine="987"/>
        <w:spacing w:after="0" w:line="290" w:lineRule="auto"/>
        <w:tabs>
          <w:tab w:leader="none" w:pos="1206"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includes any actual, threatened, pending or completed action, suit, arbitration, alternate dispute resolution mechanism, investigation (formal or informal), inquiry, administrative hearing or any other actual, threatened, pending or completed proceeding, whether brought by or in the right of the Company or otherwise and whether civil, criminal, administrative or investigative in nature, in which Indemnitee was, is, may be or will be involved as a party, witness or otherwise, by reason of Indemnitee’s Corporate Status or by reason of any action taken by Indemnitee or of any inaction on Indemnitee’s part while acting as director, officer, general partner, manager, managing member, employees, fiduciary, trustee or agent of the Company, in each case whether or not he is acting or serving in any such capacity or has such status at the time any liability or expense is incurred for which indemnification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57" w:lineRule="exact"/>
        <w:rPr>
          <w:rFonts w:ascii="Arial" w:cs="Arial" w:eastAsia="Arial" w:hAnsi="Arial"/>
          <w:sz w:val="16"/>
          <w:szCs w:val="16"/>
          <w:color w:val="auto"/>
        </w:rPr>
      </w:pPr>
    </w:p>
    <w:p>
      <w:pPr>
        <w:ind w:right="480" w:firstLine="987"/>
        <w:spacing w:after="0" w:line="277" w:lineRule="auto"/>
        <w:tabs>
          <w:tab w:leader="none" w:pos="12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and Stockholder Rights Agreement</w:t>
      </w:r>
      <w:r>
        <w:rPr>
          <w:rFonts w:ascii="Arial" w:cs="Arial" w:eastAsia="Arial" w:hAnsi="Arial"/>
          <w:sz w:val="18"/>
          <w:szCs w:val="18"/>
          <w:color w:val="auto"/>
        </w:rPr>
        <w:t>” means that Registration and Stockholder Rights Agreement by and among the Company and the initial stockholders or other stockholders of the Company identified therein, dated as of [•],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74" w:name="page375"/>
    <w:bookmarkEnd w:id="374"/>
    <w:p>
      <w:pPr>
        <w:ind w:left="1620" w:hanging="212"/>
        <w:spacing w:after="0"/>
        <w:tabs>
          <w:tab w:leader="none" w:pos="16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Sponsor</w:t>
      </w:r>
      <w:r>
        <w:rPr>
          <w:rFonts w:ascii="Arial" w:cs="Arial" w:eastAsia="Arial" w:hAnsi="Arial"/>
          <w:sz w:val="18"/>
          <w:szCs w:val="18"/>
          <w:color w:val="auto"/>
        </w:rPr>
        <w:t>” means Dynamics Sponsor LLC.</w:t>
      </w:r>
    </w:p>
    <w:p>
      <w:pPr>
        <w:spacing w:after="0" w:line="117" w:lineRule="exact"/>
        <w:rPr>
          <w:rFonts w:ascii="Arial" w:cs="Arial" w:eastAsia="Arial" w:hAnsi="Arial"/>
          <w:sz w:val="18"/>
          <w:szCs w:val="18"/>
          <w:color w:val="auto"/>
        </w:rPr>
      </w:pPr>
    </w:p>
    <w:p>
      <w:pPr>
        <w:ind w:left="-20" w:right="520" w:firstLine="436"/>
        <w:spacing w:after="0" w:line="277" w:lineRule="auto"/>
        <w:tabs>
          <w:tab w:leader="none" w:pos="69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Whenever required by the context, as used in this Agreement the singular number shall include the plural, the plural shall include the singular, and all words herein in any gender shall be deemed to include (as appropriate) all genders.</w:t>
      </w:r>
    </w:p>
    <w:p>
      <w:pPr>
        <w:spacing w:after="0" w:line="62" w:lineRule="exact"/>
        <w:rPr>
          <w:rFonts w:ascii="Arial" w:cs="Arial" w:eastAsia="Arial" w:hAnsi="Arial"/>
          <w:sz w:val="18"/>
          <w:szCs w:val="18"/>
          <w:color w:val="auto"/>
        </w:rPr>
      </w:pPr>
    </w:p>
    <w:p>
      <w:pPr>
        <w:ind w:left="-20" w:right="40" w:firstLine="436"/>
        <w:spacing w:after="0" w:line="263" w:lineRule="auto"/>
        <w:tabs>
          <w:tab w:leader="none" w:pos="69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The Company expressly confirms and agrees that it has entered into this Agreement and assumed the obligations imposed on it hereby in order to induce Indemnitee to serve as a director and/or an officer of the Company, and the Company acknowledges that Indemnitee is relying upon this Agreement in serving as a director and/or an officer of the Company.</w:t>
      </w:r>
    </w:p>
    <w:p>
      <w:pPr>
        <w:spacing w:after="0" w:line="75" w:lineRule="exact"/>
        <w:rPr>
          <w:rFonts w:ascii="Arial" w:cs="Arial" w:eastAsia="Arial" w:hAnsi="Arial"/>
          <w:sz w:val="18"/>
          <w:szCs w:val="18"/>
          <w:color w:val="auto"/>
        </w:rPr>
      </w:pPr>
    </w:p>
    <w:p>
      <w:pPr>
        <w:ind w:left="-20" w:firstLine="436"/>
        <w:spacing w:after="0" w:line="257" w:lineRule="auto"/>
        <w:tabs>
          <w:tab w:leader="none" w:pos="69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a writing identified as such by all of the parties hereto. Except as otherwise expressly provided herein, the rights of a party hereunder (including the right to enforce the obligations hereunder of the other parties) may be waived only with the written consent of such party, and no waiver of any of the provisions of this Agreement shall be deemed or shall constitute a waiver of any other provisions hereof (whether or not similar) nor shall such waiver constitute a continuing waiver.</w:t>
      </w:r>
    </w:p>
    <w:p>
      <w:pPr>
        <w:spacing w:after="0" w:line="79" w:lineRule="exact"/>
        <w:rPr>
          <w:rFonts w:ascii="Arial" w:cs="Arial" w:eastAsia="Arial" w:hAnsi="Arial"/>
          <w:sz w:val="18"/>
          <w:szCs w:val="18"/>
          <w:color w:val="auto"/>
        </w:rPr>
      </w:pPr>
    </w:p>
    <w:p>
      <w:pPr>
        <w:ind w:left="-20" w:right="40" w:firstLine="436"/>
        <w:spacing w:after="0" w:line="286" w:lineRule="auto"/>
        <w:tabs>
          <w:tab w:leader="none" w:pos="69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Notice Mechanics</w:t>
      </w:r>
      <w:r>
        <w:rPr>
          <w:rFonts w:ascii="Arial" w:cs="Arial" w:eastAsia="Arial" w:hAnsi="Arial"/>
          <w:sz w:val="17"/>
          <w:szCs w:val="17"/>
          <w:color w:val="auto"/>
        </w:rPr>
        <w:t>. All notices, requests, demands and other communications hereunder shall be in writing and shall be deemed to have been duly given if (i) delivered by hand and receipted for by the party to whom said notice or other communication shall have been directed, or (ii) mailed by certified or registered mail with postage prepaid, on the third business day after the date on which it is so mailed:</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If to Indemnitee to:</w:t>
      </w:r>
    </w:p>
    <w:p>
      <w:pPr>
        <w:spacing w:after="0" w:line="36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-130175</wp:posOffset>
            </wp:positionV>
            <wp:extent cx="268287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375" w:name="page376"/>
    <w:bookmarkEnd w:id="3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the Company,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Dynamics Special Purpose Corp.</w:t>
      </w:r>
    </w:p>
    <w:p>
      <w:pPr>
        <w:spacing w:after="0" w:line="4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2875 El Camino Real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Redwood City, California, 94061</w:t>
      </w:r>
    </w:p>
    <w:p>
      <w:pPr>
        <w:spacing w:after="0" w:line="3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ma@dspc.bio</w:t>
      </w:r>
    </w:p>
    <w:p>
      <w:pPr>
        <w:sectPr>
          <w:pgSz w:w="11900" w:h="16838" w:orient="portrait"/>
          <w:cols w:equalWidth="0" w:num="1">
            <w:col w:w="10960"/>
          </w:cols>
          <w:pgMar w:left="440" w:top="274" w:right="499" w:bottom="1440" w:gutter="0" w:footer="0" w:header="0"/>
        </w:sectPr>
      </w:pPr>
    </w:p>
    <w:p>
      <w:pPr>
        <w:spacing w:after="0" w:line="238"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Oliver Smith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oliver.smith@davispolk.com</w:t>
      </w:r>
    </w:p>
    <w:p>
      <w:pPr>
        <w:spacing w:after="0" w:line="200" w:lineRule="exact"/>
        <w:rPr>
          <w:sz w:val="20"/>
          <w:szCs w:val="20"/>
          <w:color w:val="auto"/>
        </w:rPr>
      </w:pPr>
    </w:p>
    <w:p>
      <w:pPr>
        <w:sectPr>
          <w:pgSz w:w="11900" w:h="16838" w:orient="portrait"/>
          <w:cols w:equalWidth="0" w:num="2">
            <w:col w:w="3060" w:space="480"/>
            <w:col w:w="7420"/>
          </w:cols>
          <w:pgMar w:left="440" w:top="274" w:right="499" w:bottom="1440" w:gutter="0" w:footer="0" w:header="0"/>
          <w:type w:val="continuous"/>
        </w:sectPr>
      </w:pPr>
    </w:p>
    <w:p>
      <w:pPr>
        <w:spacing w:after="0" w:line="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or to such other address as may have been furnished (in the manner prescribed above) as follows: (a) in the case of a change in address for notices to Indemnitee, furnished by Indemnitee to the Company and (b) in the case of a change in address for notices to the Company, furnished by the Company to Indemnitee.</w:t>
      </w:r>
    </w:p>
    <w:p>
      <w:pPr>
        <w:spacing w:after="0" w:line="76" w:lineRule="exact"/>
        <w:rPr>
          <w:sz w:val="20"/>
          <w:szCs w:val="20"/>
          <w:color w:val="auto"/>
        </w:rPr>
      </w:pPr>
    </w:p>
    <w:p>
      <w:pPr>
        <w:ind w:right="40" w:firstLine="436"/>
        <w:spacing w:after="0" w:line="272" w:lineRule="auto"/>
        <w:tabs>
          <w:tab w:leader="none" w:pos="710"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reasonably incurred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other directors, officers, employees and agents) and Indemnitee in connection with such event(s) and/or transaction(s).</w:t>
      </w:r>
    </w:p>
    <w:p>
      <w:pPr>
        <w:spacing w:after="0" w:line="69" w:lineRule="exact"/>
        <w:rPr>
          <w:rFonts w:ascii="Arial" w:cs="Arial" w:eastAsia="Arial" w:hAnsi="Arial"/>
          <w:sz w:val="17"/>
          <w:szCs w:val="17"/>
          <w:color w:val="auto"/>
        </w:rPr>
      </w:pPr>
    </w:p>
    <w:p>
      <w:pPr>
        <w:ind w:firstLine="436"/>
        <w:spacing w:after="0" w:line="290" w:lineRule="auto"/>
        <w:tabs>
          <w:tab w:leader="none" w:pos="71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Appointment of Agent for Service of Process</w:t>
      </w:r>
      <w:r>
        <w:rPr>
          <w:rFonts w:ascii="Arial" w:cs="Arial" w:eastAsia="Arial" w:hAnsi="Arial"/>
          <w:sz w:val="16"/>
          <w:szCs w:val="16"/>
          <w:color w:val="auto"/>
        </w:rPr>
        <w:t>. This Agreement and the legal relations among the parties shall, to the fullest extent permitted by law,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Court of Chancery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otherwise inconvenient forum.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type w:val="continuous"/>
        </w:sectPr>
      </w:pPr>
    </w:p>
    <w:bookmarkStart w:id="376" w:name="page377"/>
    <w:bookmarkEnd w:id="376"/>
    <w:p>
      <w:pPr>
        <w:ind w:left="-140" w:right="100" w:firstLine="436"/>
        <w:spacing w:after="0" w:line="277" w:lineRule="auto"/>
        <w:tabs>
          <w:tab w:leader="none" w:pos="57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62" w:lineRule="exact"/>
        <w:rPr>
          <w:rFonts w:ascii="Arial" w:cs="Arial" w:eastAsia="Arial" w:hAnsi="Arial"/>
          <w:sz w:val="18"/>
          <w:szCs w:val="18"/>
          <w:color w:val="auto"/>
        </w:rPr>
      </w:pPr>
    </w:p>
    <w:p>
      <w:pPr>
        <w:ind w:left="-140" w:firstLine="436"/>
        <w:spacing w:after="0" w:line="277" w:lineRule="auto"/>
        <w:tabs>
          <w:tab w:leader="none" w:pos="57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w:t>
      </w:r>
    </w:p>
    <w:p>
      <w:pPr>
        <w:spacing w:after="0" w:line="62" w:lineRule="exact"/>
        <w:rPr>
          <w:rFonts w:ascii="Arial" w:cs="Arial" w:eastAsia="Arial" w:hAnsi="Arial"/>
          <w:sz w:val="18"/>
          <w:szCs w:val="18"/>
          <w:color w:val="auto"/>
        </w:rPr>
      </w:pPr>
    </w:p>
    <w:p>
      <w:pPr>
        <w:ind w:left="-140" w:right="140" w:firstLine="436"/>
        <w:spacing w:after="0" w:line="279" w:lineRule="auto"/>
        <w:tabs>
          <w:tab w:leader="none" w:pos="570"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Waiver of Claims to Trust Account</w:t>
      </w:r>
      <w:r>
        <w:rPr>
          <w:rFonts w:ascii="Arial" w:cs="Arial" w:eastAsia="Arial" w:hAnsi="Arial"/>
          <w:sz w:val="17"/>
          <w:szCs w:val="17"/>
          <w:color w:val="auto"/>
        </w:rPr>
        <w:t>. Indemnity hereby agrees that it does not have any right, title, interest or claim of any kind (each, a “Claim”)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20"/>
          </w:cols>
          <w:pgMar w:left="580" w:top="274" w:right="599" w:bottom="1440" w:gutter="0" w:footer="0" w:header="0"/>
        </w:sectPr>
      </w:pPr>
    </w:p>
    <w:bookmarkStart w:id="377" w:name="page378"/>
    <w:bookmarkEnd w:id="37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Dynamics Special Purpose Corp.</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17145</wp:posOffset>
            </wp:positionV>
            <wp:extent cx="35572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 to Indemnification Agreement]</w:t>
      </w:r>
    </w:p>
    <w:p>
      <w:pPr>
        <w:spacing w:after="0" w:line="15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19"/>
          </w:cols>
          <w:pgMar w:left="440" w:top="274" w:right="1440" w:bottom="1440" w:gutter="0" w:footer="0" w:header="0"/>
        </w:sectPr>
      </w:pPr>
    </w:p>
    <w:bookmarkStart w:id="378" w:name="page379"/>
    <w:bookmarkEnd w:id="378"/>
    <w:p>
      <w:pPr>
        <w:ind w:left="10084"/>
        <w:spacing w:after="0"/>
        <w:rPr>
          <w:sz w:val="20"/>
          <w:szCs w:val="20"/>
          <w:color w:val="auto"/>
        </w:rPr>
      </w:pPr>
      <w:r>
        <w:rPr>
          <w:rFonts w:ascii="Arial" w:cs="Arial" w:eastAsia="Arial" w:hAnsi="Arial"/>
          <w:sz w:val="16"/>
          <w:szCs w:val="16"/>
          <w:b w:val="1"/>
          <w:bCs w:val="1"/>
          <w:color w:val="auto"/>
        </w:rPr>
        <w:t>Exhibit 10.7</w:t>
      </w:r>
    </w:p>
    <w:p>
      <w:pPr>
        <w:spacing w:after="0" w:line="252"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PROMISSORY NOTE</w:t>
      </w:r>
    </w:p>
    <w:p>
      <w:pPr>
        <w:spacing w:after="0" w:line="256" w:lineRule="exact"/>
        <w:rPr>
          <w:sz w:val="20"/>
          <w:szCs w:val="20"/>
          <w:color w:val="auto"/>
        </w:rPr>
      </w:pPr>
    </w:p>
    <w:p>
      <w:pPr>
        <w:ind w:left="4"/>
        <w:spacing w:after="0"/>
        <w:tabs>
          <w:tab w:leader="none" w:pos="9084" w:val="left"/>
        </w:tabs>
        <w:rPr>
          <w:sz w:val="20"/>
          <w:szCs w:val="20"/>
          <w:color w:val="auto"/>
        </w:rPr>
      </w:pPr>
      <w:r>
        <w:rPr>
          <w:rFonts w:ascii="Arial" w:cs="Arial" w:eastAsia="Arial" w:hAnsi="Arial"/>
          <w:sz w:val="18"/>
          <w:szCs w:val="18"/>
          <w:color w:val="auto"/>
        </w:rPr>
        <w:t>Principal Amount: up to $300,000</w:t>
      </w:r>
      <w:r>
        <w:rPr>
          <w:sz w:val="20"/>
          <w:szCs w:val="20"/>
          <w:color w:val="auto"/>
        </w:rPr>
        <w:tab/>
      </w:r>
      <w:r>
        <w:rPr>
          <w:rFonts w:ascii="Arial" w:cs="Arial" w:eastAsia="Arial" w:hAnsi="Arial"/>
          <w:sz w:val="16"/>
          <w:szCs w:val="16"/>
          <w:color w:val="auto"/>
        </w:rPr>
        <w:t>Dated as of March 8, 2021</w:t>
      </w:r>
    </w:p>
    <w:p>
      <w:pPr>
        <w:spacing w:after="0" w:line="221" w:lineRule="exact"/>
        <w:rPr>
          <w:sz w:val="20"/>
          <w:szCs w:val="20"/>
          <w:color w:val="auto"/>
        </w:rPr>
      </w:pPr>
    </w:p>
    <w:p>
      <w:pPr>
        <w:ind w:left="4" w:right="100"/>
        <w:spacing w:after="0" w:line="294" w:lineRule="auto"/>
        <w:rPr>
          <w:sz w:val="20"/>
          <w:szCs w:val="20"/>
          <w:color w:val="auto"/>
        </w:rPr>
      </w:pPr>
      <w:r>
        <w:rPr>
          <w:rFonts w:ascii="Arial" w:cs="Arial" w:eastAsia="Arial" w:hAnsi="Arial"/>
          <w:sz w:val="16"/>
          <w:szCs w:val="16"/>
          <w:color w:val="auto"/>
        </w:rPr>
        <w:t>Dynamics Special Purpose Corp., a Delaware corporation and blank check company (the “</w:t>
      </w:r>
      <w:r>
        <w:rPr>
          <w:rFonts w:ascii="Arial" w:cs="Arial" w:eastAsia="Arial" w:hAnsi="Arial"/>
          <w:sz w:val="16"/>
          <w:szCs w:val="16"/>
          <w:b w:val="1"/>
          <w:bCs w:val="1"/>
          <w:color w:val="auto"/>
        </w:rPr>
        <w:t>Maker</w:t>
      </w:r>
      <w:r>
        <w:rPr>
          <w:rFonts w:ascii="Arial" w:cs="Arial" w:eastAsia="Arial" w:hAnsi="Arial"/>
          <w:sz w:val="16"/>
          <w:szCs w:val="16"/>
          <w:color w:val="auto"/>
        </w:rPr>
        <w:t>”), promises to pay to the order of Dynamics Sponsor LLC, a Delaware LLC, or its registered assigns or successors in interest (the “</w:t>
      </w:r>
      <w:r>
        <w:rPr>
          <w:rFonts w:ascii="Arial" w:cs="Arial" w:eastAsia="Arial" w:hAnsi="Arial"/>
          <w:sz w:val="16"/>
          <w:szCs w:val="16"/>
          <w:b w:val="1"/>
          <w:bCs w:val="1"/>
          <w:color w:val="auto"/>
        </w:rPr>
        <w:t>Payee</w:t>
      </w:r>
      <w:r>
        <w:rPr>
          <w:rFonts w:ascii="Arial" w:cs="Arial" w:eastAsia="Arial" w:hAnsi="Arial"/>
          <w:sz w:val="16"/>
          <w:szCs w:val="16"/>
          <w:color w:val="auto"/>
        </w:rPr>
        <w:t>”), or order, the principal sum of three hundred thousand U.S. dollars ($300,000) or such lesser amount as shall have been advanced by Payee in the manner set forth herein to Maker and shall remain unpaid under this Note on the Maturity Date (as defined below) in lawful money of the United States of America, on the terms and conditions described below. All payments on this Note shall be made by check or wire transfer of immediately available funds or as otherwise determined by the Maker to such account as the applicable Payee may from time to time designate by written notice in accordance with the provisions of this Note.</w:t>
      </w:r>
    </w:p>
    <w:p>
      <w:pPr>
        <w:spacing w:after="0" w:line="160" w:lineRule="exact"/>
        <w:rPr>
          <w:sz w:val="20"/>
          <w:szCs w:val="20"/>
          <w:color w:val="auto"/>
        </w:rPr>
      </w:pPr>
    </w:p>
    <w:p>
      <w:pPr>
        <w:ind w:left="4" w:right="40" w:hanging="4"/>
        <w:spacing w:after="0" w:line="261" w:lineRule="auto"/>
        <w:tabs>
          <w:tab w:leader="none" w:pos="1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on the earlier of: (i) December 31, 2021 and (ii) the date on which Maker consummates</w:t>
      </w:r>
      <w:r>
        <w:rPr>
          <w:rFonts w:ascii="Arial" w:cs="Arial" w:eastAsia="Arial" w:hAnsi="Arial"/>
          <w:sz w:val="18"/>
          <w:szCs w:val="18"/>
          <w:b w:val="1"/>
          <w:bCs w:val="1"/>
          <w:color w:val="auto"/>
        </w:rPr>
        <w:t xml:space="preserve"> </w:t>
      </w:r>
      <w:r>
        <w:rPr>
          <w:rFonts w:ascii="Arial" w:cs="Arial" w:eastAsia="Arial" w:hAnsi="Arial"/>
          <w:sz w:val="18"/>
          <w:szCs w:val="18"/>
          <w:color w:val="auto"/>
        </w:rPr>
        <w:t>an initial public offering of its securities (such earlier date, the “</w:t>
      </w:r>
      <w:r>
        <w:rPr>
          <w:rFonts w:ascii="Arial" w:cs="Arial" w:eastAsia="Arial" w:hAnsi="Arial"/>
          <w:sz w:val="18"/>
          <w:szCs w:val="18"/>
          <w:b w:val="1"/>
          <w:bCs w:val="1"/>
          <w:color w:val="auto"/>
        </w:rPr>
        <w:t>Maturity Date</w:t>
      </w:r>
      <w:r>
        <w:rPr>
          <w:rFonts w:ascii="Arial" w:cs="Arial" w:eastAsia="Arial" w:hAnsi="Arial"/>
          <w:sz w:val="18"/>
          <w:szCs w:val="18"/>
          <w:color w:val="auto"/>
        </w:rPr>
        <w:t>”).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color w:val="auto"/>
        </w:rPr>
      </w:pPr>
    </w:p>
    <w:p>
      <w:pPr>
        <w:ind w:left="4" w:right="20" w:hanging="4"/>
        <w:spacing w:after="0" w:line="292" w:lineRule="auto"/>
        <w:tabs>
          <w:tab w:leader="none" w:pos="184" w:val="left"/>
        </w:tabs>
        <w:numPr>
          <w:ilvl w:val="0"/>
          <w:numId w:val="280"/>
        </w:numPr>
        <w:rPr>
          <w:rFonts w:ascii="Arial" w:cs="Arial" w:eastAsia="Arial" w:hAnsi="Arial"/>
          <w:sz w:val="16"/>
          <w:szCs w:val="16"/>
          <w:color w:val="auto"/>
        </w:rPr>
      </w:pPr>
      <w:r>
        <w:rPr>
          <w:rFonts w:ascii="Arial" w:cs="Arial" w:eastAsia="Arial" w:hAnsi="Arial"/>
          <w:sz w:val="16"/>
          <w:szCs w:val="16"/>
          <w:b w:val="1"/>
          <w:bCs w:val="1"/>
          <w:color w:val="auto"/>
        </w:rPr>
        <w:t>Drawdown Requests</w:t>
      </w:r>
      <w:r>
        <w:rPr>
          <w:rFonts w:ascii="Arial" w:cs="Arial" w:eastAsia="Arial" w:hAnsi="Arial"/>
          <w:sz w:val="16"/>
          <w:szCs w:val="16"/>
          <w:color w:val="auto"/>
        </w:rPr>
        <w:t>. Maker and Payee agree that Maker may request, from time to time, up to three hundred thousand dollars ($300,000) in draw</w:t>
      </w:r>
      <w:r>
        <w:rPr>
          <w:rFonts w:ascii="Arial" w:cs="Arial" w:eastAsia="Arial" w:hAnsi="Arial"/>
          <w:sz w:val="16"/>
          <w:szCs w:val="16"/>
          <w:b w:val="1"/>
          <w:bCs w:val="1"/>
          <w:color w:val="auto"/>
        </w:rPr>
        <w:t xml:space="preserve"> </w:t>
      </w:r>
      <w:r>
        <w:rPr>
          <w:rFonts w:ascii="Arial" w:cs="Arial" w:eastAsia="Arial" w:hAnsi="Arial"/>
          <w:sz w:val="16"/>
          <w:szCs w:val="16"/>
          <w:color w:val="auto"/>
        </w:rPr>
        <w:t>downs under this Note to be used for costs and expenses related to Maker’s formation and the proposed initial public offering of its securities (the “</w:t>
      </w:r>
      <w:r>
        <w:rPr>
          <w:rFonts w:ascii="Arial" w:cs="Arial" w:eastAsia="Arial" w:hAnsi="Arial"/>
          <w:sz w:val="16"/>
          <w:szCs w:val="16"/>
          <w:b w:val="1"/>
          <w:bCs w:val="1"/>
          <w:color w:val="auto"/>
        </w:rPr>
        <w:t>IPO</w:t>
      </w:r>
      <w:r>
        <w:rPr>
          <w:rFonts w:ascii="Arial" w:cs="Arial" w:eastAsia="Arial" w:hAnsi="Arial"/>
          <w:sz w:val="16"/>
          <w:szCs w:val="16"/>
          <w:color w:val="auto"/>
        </w:rPr>
        <w:t>”). Principal of this Note may be drawn down from time to time prior to the Maturity Date upon request from Maker to Payee (each, a “</w:t>
      </w:r>
      <w:r>
        <w:rPr>
          <w:rFonts w:ascii="Arial" w:cs="Arial" w:eastAsia="Arial" w:hAnsi="Arial"/>
          <w:sz w:val="16"/>
          <w:szCs w:val="16"/>
          <w:b w:val="1"/>
          <w:bCs w:val="1"/>
          <w:color w:val="auto"/>
        </w:rPr>
        <w:t>Drawdown</w:t>
      </w:r>
      <w:r>
        <w:rPr>
          <w:rFonts w:ascii="Arial" w:cs="Arial" w:eastAsia="Arial" w:hAnsi="Arial"/>
          <w:sz w:val="16"/>
          <w:szCs w:val="16"/>
          <w:color w:val="auto"/>
        </w:rPr>
        <w:t xml:space="preserve"> </w:t>
      </w:r>
      <w:r>
        <w:rPr>
          <w:rFonts w:ascii="Arial" w:cs="Arial" w:eastAsia="Arial" w:hAnsi="Arial"/>
          <w:sz w:val="16"/>
          <w:szCs w:val="16"/>
          <w:b w:val="1"/>
          <w:bCs w:val="1"/>
          <w:color w:val="auto"/>
        </w:rPr>
        <w:t>Request</w:t>
      </w:r>
      <w:r>
        <w:rPr>
          <w:rFonts w:ascii="Arial" w:cs="Arial" w:eastAsia="Arial" w:hAnsi="Arial"/>
          <w:sz w:val="16"/>
          <w:szCs w:val="16"/>
          <w:color w:val="auto"/>
        </w:rPr>
        <w:t>”). Each Drawdown Request must state the amount to be drawn down, and must not be an amount less than Ten Thousand Dollars ($10,000).</w:t>
      </w:r>
      <w:r>
        <w:rPr>
          <w:rFonts w:ascii="Arial" w:cs="Arial" w:eastAsia="Arial" w:hAnsi="Arial"/>
          <w:sz w:val="16"/>
          <w:szCs w:val="16"/>
          <w:b w:val="1"/>
          <w:bCs w:val="1"/>
          <w:color w:val="auto"/>
        </w:rPr>
        <w:t xml:space="preserve"> </w:t>
      </w:r>
      <w:r>
        <w:rPr>
          <w:rFonts w:ascii="Arial" w:cs="Arial" w:eastAsia="Arial" w:hAnsi="Arial"/>
          <w:sz w:val="16"/>
          <w:szCs w:val="16"/>
          <w:color w:val="auto"/>
        </w:rPr>
        <w:t>Payee shall fund each Drawdown Request no later than three (3) business days after receipt of a Drawdown Request; provided, however, that the maximum amount of drawdowns outstanding under this Note at any time may not exceed three hundred thousand dollars ($300,000). No fees, payments or other amounts shall be due to Payee in connection with, or as a result of, any Drawdown Request by Maker.</w:t>
      </w:r>
    </w:p>
    <w:p>
      <w:pPr>
        <w:spacing w:after="0" w:line="161" w:lineRule="exact"/>
        <w:rPr>
          <w:rFonts w:ascii="Arial" w:cs="Arial" w:eastAsia="Arial" w:hAnsi="Arial"/>
          <w:sz w:val="16"/>
          <w:szCs w:val="16"/>
          <w:color w:val="auto"/>
        </w:rPr>
      </w:pPr>
    </w:p>
    <w:p>
      <w:pPr>
        <w:ind w:left="184" w:hanging="184"/>
        <w:spacing w:after="0"/>
        <w:tabs>
          <w:tab w:leader="none" w:pos="1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auto"/>
        </w:rPr>
      </w:pPr>
    </w:p>
    <w:p>
      <w:pPr>
        <w:ind w:left="4" w:right="160" w:hanging="4"/>
        <w:spacing w:after="0" w:line="266" w:lineRule="auto"/>
        <w:tabs>
          <w:tab w:leader="none" w:pos="1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color w:val="auto"/>
        </w:rPr>
      </w:pPr>
    </w:p>
    <w:p>
      <w:pPr>
        <w:ind w:left="184" w:hanging="184"/>
        <w:spacing w:after="0"/>
        <w:tabs>
          <w:tab w:leader="none" w:pos="1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left="4" w:right="40" w:hanging="4"/>
        <w:spacing w:after="0" w:line="277" w:lineRule="auto"/>
        <w:tabs>
          <w:tab w:leader="none" w:pos="248"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left="4" w:right="40" w:hanging="4"/>
        <w:spacing w:after="0" w:line="257" w:lineRule="auto"/>
        <w:tabs>
          <w:tab w:leader="none" w:pos="259"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ind w:left="4" w:right="460" w:hanging="4"/>
        <w:spacing w:after="0" w:line="279" w:lineRule="auto"/>
        <w:tabs>
          <w:tab w:leader="none" w:pos="248"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Involuntary Bankruptcy, Etc</w:t>
      </w:r>
      <w:r>
        <w:rPr>
          <w:rFonts w:ascii="Arial" w:cs="Arial" w:eastAsia="Arial" w:hAnsi="Arial"/>
          <w:sz w:val="17"/>
          <w:szCs w:val="17"/>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ectPr>
          <w:pgSz w:w="11900" w:h="16838" w:orient="portrait"/>
          <w:cols w:equalWidth="0" w:num="1">
            <w:col w:w="11024"/>
          </w:cols>
          <w:pgMar w:left="436" w:top="121" w:right="439" w:bottom="1440" w:gutter="0" w:footer="0" w:header="0"/>
        </w:sectPr>
      </w:pPr>
    </w:p>
    <w:bookmarkStart w:id="379" w:name="page380"/>
    <w:bookmarkEnd w:id="379"/>
    <w:p>
      <w:pPr>
        <w:ind w:left="184" w:hanging="184"/>
        <w:spacing w:after="0"/>
        <w:tabs>
          <w:tab w:leader="none" w:pos="1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w:t>
      </w:r>
    </w:p>
    <w:p>
      <w:pPr>
        <w:spacing w:after="0" w:line="229" w:lineRule="exact"/>
        <w:rPr>
          <w:sz w:val="20"/>
          <w:szCs w:val="20"/>
          <w:color w:val="auto"/>
        </w:rPr>
      </w:pPr>
    </w:p>
    <w:p>
      <w:pPr>
        <w:ind w:left="4" w:right="20" w:hanging="4"/>
        <w:spacing w:after="0" w:line="259" w:lineRule="auto"/>
        <w:tabs>
          <w:tab w:leader="none" w:pos="24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left="4" w:right="40" w:hanging="4"/>
        <w:spacing w:after="0" w:line="342" w:lineRule="auto"/>
        <w:tabs>
          <w:tab w:leader="none" w:pos="25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20" w:lineRule="exact"/>
        <w:rPr>
          <w:sz w:val="20"/>
          <w:szCs w:val="20"/>
          <w:color w:val="auto"/>
        </w:rPr>
      </w:pPr>
    </w:p>
    <w:p>
      <w:pPr>
        <w:ind w:left="4" w:right="120" w:hanging="4"/>
        <w:spacing w:after="0" w:line="294" w:lineRule="auto"/>
        <w:tabs>
          <w:tab w:leader="none" w:pos="184" w:val="left"/>
        </w:tabs>
        <w:numPr>
          <w:ilvl w:val="0"/>
          <w:numId w:val="284"/>
        </w:numPr>
        <w:rPr>
          <w:rFonts w:ascii="Arial" w:cs="Arial" w:eastAsia="Arial" w:hAnsi="Arial"/>
          <w:sz w:val="16"/>
          <w:szCs w:val="16"/>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w:t>
      </w:r>
      <w:r>
        <w:rPr>
          <w:rFonts w:ascii="Arial" w:cs="Arial" w:eastAsia="Arial" w:hAnsi="Arial"/>
          <w:sz w:val="16"/>
          <w:szCs w:val="16"/>
          <w:b w:val="1"/>
          <w:bCs w:val="1"/>
          <w:color w:val="auto"/>
        </w:rPr>
        <w:t xml:space="preserve"> </w:t>
      </w:r>
      <w:r>
        <w:rPr>
          <w:rFonts w:ascii="Arial" w:cs="Arial" w:eastAsia="Arial" w:hAnsi="Arial"/>
          <w:sz w:val="16"/>
          <w:szCs w:val="16"/>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59" w:lineRule="exact"/>
        <w:rPr>
          <w:rFonts w:ascii="Arial" w:cs="Arial" w:eastAsia="Arial" w:hAnsi="Arial"/>
          <w:sz w:val="16"/>
          <w:szCs w:val="16"/>
          <w:color w:val="auto"/>
        </w:rPr>
      </w:pPr>
    </w:p>
    <w:p>
      <w:pPr>
        <w:ind w:left="4" w:hanging="4"/>
        <w:spacing w:after="0" w:line="298" w:lineRule="auto"/>
        <w:tabs>
          <w:tab w:leader="none" w:pos="184" w:val="left"/>
        </w:tabs>
        <w:numPr>
          <w:ilvl w:val="0"/>
          <w:numId w:val="284"/>
        </w:numPr>
        <w:rPr>
          <w:rFonts w:ascii="Arial" w:cs="Arial" w:eastAsia="Arial" w:hAnsi="Arial"/>
          <w:sz w:val="16"/>
          <w:szCs w:val="16"/>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color w:val="auto"/>
        </w:rPr>
      </w:pPr>
    </w:p>
    <w:p>
      <w:pPr>
        <w:ind w:left="4" w:right="60" w:hanging="4"/>
        <w:spacing w:after="0" w:line="273" w:lineRule="auto"/>
        <w:tabs>
          <w:tab w:leader="none" w:pos="184" w:val="left"/>
        </w:tabs>
        <w:numPr>
          <w:ilvl w:val="0"/>
          <w:numId w:val="284"/>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Agreement shall be: (i) in writing and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1" w:lineRule="exact"/>
        <w:rPr>
          <w:rFonts w:ascii="Arial" w:cs="Arial" w:eastAsia="Arial" w:hAnsi="Arial"/>
          <w:sz w:val="17"/>
          <w:szCs w:val="17"/>
          <w:color w:val="auto"/>
        </w:rPr>
      </w:pPr>
    </w:p>
    <w:p>
      <w:pPr>
        <w:ind w:left="4" w:right="60" w:hanging="4"/>
        <w:spacing w:after="0" w:line="282" w:lineRule="auto"/>
        <w:tabs>
          <w:tab w:leader="none" w:pos="27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auto"/>
        </w:rPr>
      </w:pPr>
    </w:p>
    <w:p>
      <w:pPr>
        <w:ind w:left="4" w:right="540" w:hanging="4"/>
        <w:spacing w:after="0" w:line="289" w:lineRule="auto"/>
        <w:tabs>
          <w:tab w:leader="none" w:pos="267" w:val="left"/>
        </w:tabs>
        <w:numPr>
          <w:ilvl w:val="0"/>
          <w:numId w:val="284"/>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380" w:name="page381"/>
    <w:bookmarkEnd w:id="380"/>
    <w:p>
      <w:pPr>
        <w:ind w:left="4" w:hanging="4"/>
        <w:spacing w:after="0" w:line="274" w:lineRule="auto"/>
        <w:tabs>
          <w:tab w:leader="none" w:pos="274" w:val="left"/>
        </w:tabs>
        <w:numPr>
          <w:ilvl w:val="0"/>
          <w:numId w:val="28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Claim</w:t>
      </w:r>
      <w:r>
        <w:rPr>
          <w:rFonts w:ascii="Arial" w:cs="Arial" w:eastAsia="Arial" w:hAnsi="Arial"/>
          <w:sz w:val="17"/>
          <w:szCs w:val="17"/>
          <w:color w:val="auto"/>
        </w:rPr>
        <w:t>”) in or to any distribution of or from the trust account to be established in which the proceeds of the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conducted by the Maker (including the deferred underwriting discounts and commissions) and the proceeds of the sale of the warrants issued in a private placement to occur prior to the effectiveness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73" w:lineRule="exact"/>
        <w:rPr>
          <w:rFonts w:ascii="Arial" w:cs="Arial" w:eastAsia="Arial" w:hAnsi="Arial"/>
          <w:sz w:val="17"/>
          <w:szCs w:val="17"/>
          <w:color w:val="auto"/>
        </w:rPr>
      </w:pPr>
    </w:p>
    <w:p>
      <w:pPr>
        <w:ind w:left="4" w:right="20" w:hanging="4"/>
        <w:spacing w:after="0" w:line="282" w:lineRule="auto"/>
        <w:tabs>
          <w:tab w:leader="none" w:pos="27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auto"/>
        </w:rPr>
      </w:pPr>
    </w:p>
    <w:p>
      <w:pPr>
        <w:ind w:left="4" w:right="80" w:hanging="4"/>
        <w:spacing w:after="0" w:line="347" w:lineRule="auto"/>
        <w:tabs>
          <w:tab w:leader="none" w:pos="274" w:val="left"/>
        </w:tabs>
        <w:numPr>
          <w:ilvl w:val="0"/>
          <w:numId w:val="285"/>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81" w:name="page382"/>
    <w:bookmarkEnd w:id="38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Maker, intending to be legally bound hereby, has caused this Note to be duly executed by the undersigned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DYNAMICS SPECIAL PURPOSE CORP.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DYNAMICS SPECIAL PURPOSE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2875 El Camino Real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Redwood City, CA 94061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Dynamics Sponsor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2875 El Camino Real Redwood City, CA 94061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between Dynamics Special Purpose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Dynamics Sponsor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dated as of the date hereof, will confirm our agreement that, commencing on the date the securities of the Company are first listed on The Nasdaq Capital Market (the “</w:t>
      </w:r>
      <w:r>
        <w:rPr>
          <w:rFonts w:ascii="Arial" w:cs="Arial" w:eastAsia="Arial" w:hAnsi="Arial"/>
          <w:sz w:val="18"/>
          <w:szCs w:val="18"/>
          <w:b w:val="1"/>
          <w:bCs w:val="1"/>
          <w:i w:val="1"/>
          <w:iCs w:val="1"/>
          <w:color w:val="auto"/>
        </w:rPr>
        <w:t>Listing Date</w:t>
      </w:r>
      <w:r>
        <w:rPr>
          <w:rFonts w:ascii="Arial" w:cs="Arial" w:eastAsia="Arial" w:hAnsi="Arial"/>
          <w:sz w:val="18"/>
          <w:szCs w:val="18"/>
          <w:color w:val="auto"/>
        </w:rPr>
        <w:t>”), pursuant to a Registration Statement on Form S-1 and prospectus filed with the U.S. Securities and Exchange Commission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continuing until the earlier of the consummation by the Company of an initial business combination or the Company’s liquidation (in each case as described in the Registration Statement) (such earlier date hereinafter referred to as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84" w:lineRule="exact"/>
        <w:rPr>
          <w:sz w:val="20"/>
          <w:szCs w:val="20"/>
          <w:color w:val="auto"/>
        </w:rPr>
      </w:pPr>
    </w:p>
    <w:p>
      <w:pPr>
        <w:jc w:val="both"/>
        <w:ind w:right="200" w:firstLine="436"/>
        <w:spacing w:after="0" w:line="259" w:lineRule="auto"/>
        <w:tabs>
          <w:tab w:leader="none" w:pos="6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Sponsor shall make available, or cause to be made available, to the Company, at 2875 El Camino Real, Redwood City, CA 94061 (or any successor location), office space, utilities and secretarial and administrative services as may be reasonably required and requested by the Company. In exchange therefor, and for other expenses and obligations of the Sponsor, the Company shall pay the Sponsor up to $10,000 per month on the Listing Date and continuing monthly thereafter until the Termination Date; and</w:t>
      </w:r>
    </w:p>
    <w:p>
      <w:pPr>
        <w:spacing w:after="0" w:line="78" w:lineRule="exact"/>
        <w:rPr>
          <w:rFonts w:ascii="Arial" w:cs="Arial" w:eastAsia="Arial" w:hAnsi="Arial"/>
          <w:sz w:val="18"/>
          <w:szCs w:val="18"/>
          <w:color w:val="auto"/>
        </w:rPr>
      </w:pPr>
    </w:p>
    <w:p>
      <w:pPr>
        <w:ind w:right="160" w:firstLine="436"/>
        <w:spacing w:after="0" w:line="254" w:lineRule="auto"/>
        <w:tabs>
          <w:tab w:leader="none" w:pos="6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Sponsor hereby irrevocably waives any and all right, title, interest, causes of action and claims of any kind as a result of, or arising out of, this Agreement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and any and all right to seek payment of any amounts due to it out of, the trust account established for the benefit of the public shareholders of the Company and into which substantially all of the proceeds of the Company’s initial public offering will be deposited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9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This Agreement may not be amended, modified or waived as to any particular provision, except by a written instrument executed by the parties hereto.</w:t>
      </w:r>
    </w:p>
    <w:p>
      <w:pPr>
        <w:spacing w:after="0" w:line="170"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No party hereto may assign either this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84"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for agreements made and to be wholly performed within such state, without regards to the conflicts of laws principles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383" w:name="page384"/>
    <w:bookmarkEnd w:id="383"/>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DYNAMICS SPECIAL PURPOSE CORP.</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SPONSOR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Mostafa Ronaghi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and Secretary</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Administrative Services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consent to the inclusion in this Registration Statement of Dynamics Special Purpose Corp. (the “Company”) on Amendment No. 1 to Form S-1 (File No. 333-255930), of our report dated April 2, 2021, which includes an explanatory paragraph as to the Company’s ability to continue as a going concern, with respect to our audit of the financial statements of the Dynamics Special Purpose Corp. as of March 8, 2021 and for the period from March 1, 2021 (inception) through March 8, 2021,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B49DAF"/>
    <w:multiLevelType w:val="hybridMultilevel"/>
    <w:lvl w:ilvl="0">
      <w:lvlJc w:val="left"/>
      <w:lvlText w:val="(%1)"/>
      <w:numFmt w:val="decimal"/>
      <w:start w:val="1"/>
    </w:lvl>
  </w:abstractNum>
  <w:abstractNum w:abstractNumId="1">
    <w:nsid w:val="759F82CD"/>
    <w:multiLevelType w:val="hybridMultilevel"/>
    <w:lvl w:ilvl="0">
      <w:lvlJc w:val="left"/>
      <w:lvlText w:val="(%1)"/>
      <w:numFmt w:val="decimal"/>
      <w:start w:val="1"/>
    </w:lvl>
  </w:abstractNum>
  <w:abstractNum w:abstractNumId="2">
    <w:nsid w:val="61E74EA3"/>
    <w:multiLevelType w:val="hybridMultilevel"/>
    <w:lvl w:ilvl="0">
      <w:lvlJc w:val="left"/>
      <w:lvlText w:val="•"/>
      <w:numFmt w:val="bullet"/>
      <w:start w:val="1"/>
    </w:lvl>
  </w:abstractNum>
  <w:abstractNum w:abstractNumId="3">
    <w:nsid w:val="597B4D84"/>
    <w:multiLevelType w:val="hybridMultilevel"/>
    <w:lvl w:ilvl="0">
      <w:lvlJc w:val="left"/>
      <w:lvlText w:val="•"/>
      <w:numFmt w:val="bullet"/>
      <w:start w:val="1"/>
    </w:lvl>
  </w:abstractNum>
  <w:abstractNum w:abstractNumId="4">
    <w:nsid w:val="F819E7F"/>
    <w:multiLevelType w:val="hybridMultilevel"/>
    <w:lvl w:ilvl="0">
      <w:lvlJc w:val="left"/>
      <w:lvlText w:val="•"/>
      <w:numFmt w:val="bullet"/>
      <w:start w:val="1"/>
    </w:lvl>
  </w:abstractNum>
  <w:abstractNum w:abstractNumId="5">
    <w:nsid w:val="57C7D42D"/>
    <w:multiLevelType w:val="hybridMultilevel"/>
    <w:lvl w:ilvl="0">
      <w:lvlJc w:val="left"/>
      <w:lvlText w:val="•"/>
      <w:numFmt w:val="bullet"/>
      <w:start w:val="1"/>
    </w:lvl>
  </w:abstractNum>
  <w:abstractNum w:abstractNumId="6">
    <w:nsid w:val="312167AD"/>
    <w:multiLevelType w:val="hybridMultilevel"/>
    <w:lvl w:ilvl="0">
      <w:lvlJc w:val="left"/>
      <w:lvlText w:val="(%1)"/>
      <w:numFmt w:val="decimal"/>
      <w:start w:val="1"/>
    </w:lvl>
  </w:abstractNum>
  <w:abstractNum w:abstractNumId="7">
    <w:nsid w:val="631B64D4"/>
    <w:multiLevelType w:val="hybridMultilevel"/>
    <w:lvl w:ilvl="0">
      <w:lvlJc w:val="left"/>
      <w:lvlText w:val="•"/>
      <w:numFmt w:val="bullet"/>
      <w:start w:val="1"/>
    </w:lvl>
  </w:abstractNum>
  <w:abstractNum w:abstractNumId="8">
    <w:nsid w:val="78B5E776"/>
    <w:multiLevelType w:val="hybridMultilevel"/>
    <w:lvl w:ilvl="0">
      <w:lvlJc w:val="left"/>
      <w:lvlText w:val="•"/>
      <w:numFmt w:val="bullet"/>
      <w:start w:val="1"/>
    </w:lvl>
  </w:abstractNum>
  <w:abstractNum w:abstractNumId="9">
    <w:nsid w:val="75486E47"/>
    <w:multiLevelType w:val="hybridMultilevel"/>
    <w:lvl w:ilvl="0">
      <w:lvlJc w:val="left"/>
      <w:lvlText w:val="•"/>
      <w:numFmt w:val="bullet"/>
      <w:start w:val="1"/>
    </w:lvl>
  </w:abstractNum>
  <w:abstractNum w:abstractNumId="10">
    <w:nsid w:val="6E534CDE"/>
    <w:multiLevelType w:val="hybridMultilevel"/>
    <w:lvl w:ilvl="0">
      <w:lvlJc w:val="left"/>
      <w:lvlText w:val="•"/>
      <w:numFmt w:val="bullet"/>
      <w:start w:val="1"/>
    </w:lvl>
  </w:abstractNum>
  <w:abstractNum w:abstractNumId="11">
    <w:nsid w:val="1A0DDE32"/>
    <w:multiLevelType w:val="hybridMultilevel"/>
    <w:lvl w:ilvl="0">
      <w:lvlJc w:val="left"/>
      <w:lvlText w:val="•"/>
      <w:numFmt w:val="bullet"/>
      <w:start w:val="1"/>
    </w:lvl>
  </w:abstractNum>
  <w:abstractNum w:abstractNumId="12">
    <w:nsid w:val="65968C1C"/>
    <w:multiLevelType w:val="hybridMultilevel"/>
    <w:lvl w:ilvl="0">
      <w:lvlJc w:val="left"/>
      <w:lvlText w:val="•"/>
      <w:numFmt w:val="bullet"/>
      <w:start w:val="1"/>
    </w:lvl>
  </w:abstractNum>
  <w:abstractNum w:abstractNumId="13">
    <w:nsid w:val="46263DEC"/>
    <w:multiLevelType w:val="hybridMultilevel"/>
    <w:lvl w:ilvl="0">
      <w:lvlJc w:val="left"/>
      <w:lvlText w:val="(%1)"/>
      <w:numFmt w:val="lowerRoman"/>
      <w:start w:val="3"/>
    </w:lvl>
  </w:abstractNum>
  <w:abstractNum w:abstractNumId="14">
    <w:nsid w:val="260D8C4A"/>
    <w:multiLevelType w:val="hybridMultilevel"/>
    <w:lvl w:ilvl="0">
      <w:lvlJc w:val="left"/>
      <w:lvlText w:val="•"/>
      <w:numFmt w:val="bullet"/>
      <w:start w:val="1"/>
    </w:lvl>
  </w:abstractNum>
  <w:abstractNum w:abstractNumId="15">
    <w:nsid w:val="73D4D3C4"/>
    <w:multiLevelType w:val="hybridMultilevel"/>
    <w:lvl w:ilvl="0">
      <w:lvlJc w:val="left"/>
      <w:lvlText w:val="(%1)"/>
      <w:numFmt w:val="upperLetter"/>
      <w:start w:val="2"/>
    </w:lvl>
  </w:abstractNum>
  <w:abstractNum w:abstractNumId="16">
    <w:nsid w:val="746F2E30"/>
    <w:multiLevelType w:val="hybridMultilevel"/>
    <w:lvl w:ilvl="0">
      <w:lvlJc w:val="left"/>
      <w:lvlText w:val="(%1)"/>
      <w:numFmt w:val="upperLetter"/>
      <w:start w:val="2"/>
    </w:lvl>
  </w:abstractNum>
  <w:abstractNum w:abstractNumId="17">
    <w:nsid w:val="6FDE8AF6"/>
    <w:multiLevelType w:val="hybridMultilevel"/>
    <w:lvl w:ilvl="0">
      <w:lvlJc w:val="left"/>
      <w:lvlText w:val="•"/>
      <w:numFmt w:val="bullet"/>
      <w:start w:val="1"/>
    </w:lvl>
  </w:abstractNum>
  <w:abstractNum w:abstractNumId="18">
    <w:nsid w:val="3FC32E20"/>
    <w:multiLevelType w:val="hybridMultilevel"/>
    <w:lvl w:ilvl="0">
      <w:lvlJc w:val="left"/>
      <w:lvlText w:val="•"/>
      <w:numFmt w:val="bullet"/>
      <w:start w:val="1"/>
    </w:lvl>
  </w:abstractNum>
  <w:abstractNum w:abstractNumId="19">
    <w:nsid w:val="49C0E823"/>
    <w:multiLevelType w:val="hybridMultilevel"/>
    <w:lvl w:ilvl="0">
      <w:lvlJc w:val="left"/>
      <w:lvlText w:val="•"/>
      <w:numFmt w:val="bullet"/>
      <w:start w:val="1"/>
    </w:lvl>
  </w:abstractNum>
  <w:abstractNum w:abstractNumId="20">
    <w:nsid w:val="14D53685"/>
    <w:multiLevelType w:val="hybridMultilevel"/>
    <w:lvl w:ilvl="0">
      <w:lvlJc w:val="left"/>
      <w:lvlText w:val="•"/>
      <w:numFmt w:val="bullet"/>
      <w:start w:val="1"/>
    </w:lvl>
  </w:abstractNum>
  <w:abstractNum w:abstractNumId="21">
    <w:nsid w:val="230F856C"/>
    <w:multiLevelType w:val="hybridMultilevel"/>
    <w:lvl w:ilvl="0">
      <w:lvlJc w:val="left"/>
      <w:lvlText w:val="•"/>
      <w:numFmt w:val="bullet"/>
      <w:start w:val="1"/>
    </w:lvl>
  </w:abstractNum>
  <w:abstractNum w:abstractNumId="22">
    <w:nsid w:val="6EAA85FB"/>
    <w:multiLevelType w:val="hybridMultilevel"/>
    <w:lvl w:ilvl="0">
      <w:lvlJc w:val="left"/>
      <w:lvlText w:val="(%1)"/>
      <w:numFmt w:val="decimal"/>
      <w:start w:val="1"/>
    </w:lvl>
  </w:abstractNum>
  <w:abstractNum w:abstractNumId="23">
    <w:nsid w:val="3F06ECB2"/>
    <w:multiLevelType w:val="hybridMultilevel"/>
    <w:lvl w:ilvl="0">
      <w:lvlJc w:val="left"/>
      <w:lvlText w:val="•"/>
      <w:numFmt w:val="bullet"/>
      <w:start w:val="1"/>
    </w:lvl>
  </w:abstractNum>
  <w:abstractNum w:abstractNumId="24">
    <w:nsid w:val="3B594807"/>
    <w:multiLevelType w:val="hybridMultilevel"/>
    <w:lvl w:ilvl="0">
      <w:lvlJc w:val="left"/>
      <w:lvlText w:val="(%1)"/>
      <w:numFmt w:val="upperLetter"/>
      <w:start w:val="4"/>
    </w:lvl>
  </w:abstractNum>
  <w:abstractNum w:abstractNumId="25">
    <w:nsid w:val="6CAA2304"/>
    <w:multiLevelType w:val="hybridMultilevel"/>
    <w:lvl w:ilvl="0">
      <w:lvlJc w:val="left"/>
      <w:lvlText w:val="•"/>
      <w:numFmt w:val="bullet"/>
      <w:start w:val="1"/>
    </w:lvl>
  </w:abstractNum>
  <w:abstractNum w:abstractNumId="26">
    <w:nsid w:val="3F7C2FF4"/>
    <w:multiLevelType w:val="hybridMultilevel"/>
    <w:lvl w:ilvl="0">
      <w:lvlJc w:val="left"/>
      <w:lvlText w:val="•"/>
      <w:numFmt w:val="bullet"/>
      <w:start w:val="1"/>
    </w:lvl>
  </w:abstractNum>
  <w:abstractNum w:abstractNumId="27">
    <w:nsid w:val="25413BEC"/>
    <w:multiLevelType w:val="hybridMultilevel"/>
    <w:lvl w:ilvl="0">
      <w:lvlJc w:val="left"/>
      <w:lvlText w:val="•"/>
      <w:numFmt w:val="bullet"/>
      <w:start w:val="1"/>
    </w:lvl>
  </w:abstractNum>
  <w:abstractNum w:abstractNumId="28">
    <w:nsid w:val="17180B0B"/>
    <w:multiLevelType w:val="hybridMultilevel"/>
    <w:lvl w:ilvl="0">
      <w:lvlJc w:val="left"/>
      <w:lvlText w:val="•"/>
      <w:numFmt w:val="bullet"/>
      <w:start w:val="1"/>
    </w:lvl>
  </w:abstractNum>
  <w:abstractNum w:abstractNumId="29">
    <w:nsid w:val="579328B9"/>
    <w:multiLevelType w:val="hybridMultilevel"/>
    <w:lvl w:ilvl="0">
      <w:lvlJc w:val="left"/>
      <w:lvlText w:val="(%1)"/>
      <w:numFmt w:val="decimal"/>
      <w:start w:val="1"/>
    </w:lvl>
  </w:abstractNum>
  <w:abstractNum w:abstractNumId="30">
    <w:nsid w:val="5D205E20"/>
    <w:multiLevelType w:val="hybridMultilevel"/>
    <w:lvl w:ilvl="0">
      <w:lvlJc w:val="left"/>
      <w:lvlText w:val="(%1)"/>
      <w:numFmt w:val="decimal"/>
      <w:start w:val="3"/>
    </w:lvl>
  </w:abstractNum>
  <w:abstractNum w:abstractNumId="31">
    <w:nsid w:val="11CCA8BA"/>
    <w:multiLevelType w:val="hybridMultilevel"/>
    <w:lvl w:ilvl="0">
      <w:lvlJc w:val="left"/>
      <w:lvlText w:val="(%1)"/>
      <w:numFmt w:val="lowerLetter"/>
      <w:start w:val="3"/>
    </w:lvl>
  </w:abstractNum>
  <w:abstractNum w:abstractNumId="32">
    <w:nsid w:val="4D32AB86"/>
    <w:multiLevelType w:val="hybridMultilevel"/>
    <w:lvl w:ilvl="0">
      <w:lvlJc w:val="left"/>
      <w:lvlText w:val="(%1)"/>
      <w:numFmt w:val="lowerRoman"/>
      <w:start w:val="3"/>
    </w:lvl>
  </w:abstractNum>
  <w:abstractNum w:abstractNumId="33">
    <w:nsid w:val="3F07ACC3"/>
    <w:multiLevelType w:val="hybridMultilevel"/>
    <w:lvl w:ilvl="0">
      <w:lvlJc w:val="left"/>
      <w:lvlText w:val="(%1)"/>
      <w:numFmt w:val="decimal"/>
      <w:start w:val="1"/>
    </w:lvl>
  </w:abstractNum>
  <w:abstractNum w:abstractNumId="34">
    <w:nsid w:val="6B47F63E"/>
    <w:multiLevelType w:val="hybridMultilevel"/>
    <w:lvl w:ilvl="0">
      <w:lvlJc w:val="left"/>
      <w:lvlText w:val="(%1)"/>
      <w:numFmt w:val="decimal"/>
      <w:start w:val="1"/>
    </w:lvl>
  </w:abstractNum>
  <w:abstractNum w:abstractNumId="35">
    <w:nsid w:val="5CB44A05"/>
    <w:multiLevelType w:val="hybridMultilevel"/>
    <w:lvl w:ilvl="0">
      <w:lvlJc w:val="left"/>
      <w:lvlText w:val="(%1)"/>
      <w:numFmt w:val="decimal"/>
      <w:start w:val="1"/>
    </w:lvl>
  </w:abstractNum>
  <w:abstractNum w:abstractNumId="36">
    <w:nsid w:val="16CF80F1"/>
    <w:multiLevelType w:val="hybridMultilevel"/>
    <w:lvl w:ilvl="0">
      <w:lvlJc w:val="left"/>
      <w:lvlText w:val="•"/>
      <w:numFmt w:val="bullet"/>
      <w:start w:val="1"/>
    </w:lvl>
  </w:abstractNum>
  <w:abstractNum w:abstractNumId="37">
    <w:nsid w:val="1C695DEC"/>
    <w:multiLevelType w:val="hybridMultilevel"/>
    <w:lvl w:ilvl="0">
      <w:lvlJc w:val="left"/>
      <w:lvlText w:val="•"/>
      <w:numFmt w:val="bullet"/>
      <w:start w:val="1"/>
    </w:lvl>
  </w:abstractNum>
  <w:abstractNum w:abstractNumId="38">
    <w:nsid w:val="3FCFAED9"/>
    <w:multiLevelType w:val="hybridMultilevel"/>
    <w:lvl w:ilvl="0">
      <w:lvlJc w:val="left"/>
      <w:lvlText w:val="•"/>
      <w:numFmt w:val="bullet"/>
      <w:start w:val="1"/>
    </w:lvl>
  </w:abstractNum>
  <w:abstractNum w:abstractNumId="39">
    <w:nsid w:val="F856867"/>
    <w:multiLevelType w:val="hybridMultilevel"/>
    <w:lvl w:ilvl="0">
      <w:lvlJc w:val="left"/>
      <w:lvlText w:val="•"/>
      <w:numFmt w:val="bullet"/>
      <w:start w:val="1"/>
    </w:lvl>
  </w:abstractNum>
  <w:abstractNum w:abstractNumId="40">
    <w:nsid w:val="11B1CC33"/>
    <w:multiLevelType w:val="hybridMultilevel"/>
    <w:lvl w:ilvl="0">
      <w:lvlJc w:val="left"/>
      <w:lvlText w:val="(%1)"/>
      <w:numFmt w:val="lowerRoman"/>
      <w:start w:val="4"/>
    </w:lvl>
  </w:abstractNum>
  <w:abstractNum w:abstractNumId="41">
    <w:nsid w:val="2E22FBB7"/>
    <w:multiLevelType w:val="hybridMultilevel"/>
    <w:lvl w:ilvl="0">
      <w:lvlJc w:val="left"/>
      <w:lvlText w:val="•"/>
      <w:numFmt w:val="bullet"/>
      <w:start w:val="1"/>
    </w:lvl>
  </w:abstractNum>
  <w:abstractNum w:abstractNumId="42">
    <w:nsid w:val="29934699"/>
    <w:multiLevelType w:val="hybridMultilevel"/>
    <w:lvl w:ilvl="0">
      <w:lvlJc w:val="left"/>
      <w:lvlText w:val="•"/>
      <w:numFmt w:val="bullet"/>
      <w:start w:val="1"/>
    </w:lvl>
  </w:abstractNum>
  <w:abstractNum w:abstractNumId="43">
    <w:nsid w:val="77485850"/>
    <w:multiLevelType w:val="hybridMultilevel"/>
    <w:lvl w:ilvl="0">
      <w:lvlJc w:val="left"/>
      <w:lvlText w:val="•"/>
      <w:numFmt w:val="bullet"/>
      <w:start w:val="1"/>
    </w:lvl>
  </w:abstractNum>
  <w:abstractNum w:abstractNumId="44">
    <w:nsid w:val="744939A3"/>
    <w:multiLevelType w:val="hybridMultilevel"/>
    <w:lvl w:ilvl="0">
      <w:lvlJc w:val="left"/>
      <w:lvlText w:val="•"/>
      <w:numFmt w:val="bullet"/>
      <w:start w:val="1"/>
    </w:lvl>
  </w:abstractNum>
  <w:abstractNum w:abstractNumId="45">
    <w:nsid w:val="4FA0D2E3"/>
    <w:multiLevelType w:val="hybridMultilevel"/>
    <w:lvl w:ilvl="0">
      <w:lvlJc w:val="left"/>
      <w:lvlText w:val="•"/>
      <w:numFmt w:val="bullet"/>
      <w:start w:val="1"/>
    </w:lvl>
  </w:abstractNum>
  <w:abstractNum w:abstractNumId="46">
    <w:nsid w:val="6B1D2C14"/>
    <w:multiLevelType w:val="hybridMultilevel"/>
    <w:lvl w:ilvl="0">
      <w:lvlJc w:val="left"/>
      <w:lvlText w:val="(%1)"/>
      <w:numFmt w:val="upperLetter"/>
      <w:start w:val="2"/>
    </w:lvl>
  </w:abstractNum>
  <w:abstractNum w:abstractNumId="47">
    <w:nsid w:val="68B867D3"/>
    <w:multiLevelType w:val="hybridMultilevel"/>
    <w:lvl w:ilvl="0">
      <w:lvlJc w:val="left"/>
      <w:lvlText w:val="•"/>
      <w:numFmt w:val="bullet"/>
      <w:start w:val="1"/>
    </w:lvl>
  </w:abstractNum>
  <w:abstractNum w:abstractNumId="48">
    <w:nsid w:val="3F7F5DD9"/>
    <w:multiLevelType w:val="hybridMultilevel"/>
    <w:lvl w:ilvl="0">
      <w:lvlJc w:val="left"/>
      <w:lvlText w:val="•"/>
      <w:numFmt w:val="bullet"/>
      <w:start w:val="1"/>
    </w:lvl>
  </w:abstractNum>
  <w:abstractNum w:abstractNumId="49">
    <w:nsid w:val="2AE05A34"/>
    <w:multiLevelType w:val="hybridMultilevel"/>
    <w:lvl w:ilvl="0">
      <w:lvlJc w:val="left"/>
      <w:lvlText w:val="(%1)"/>
      <w:numFmt w:val="lowerRoman"/>
      <w:start w:val="1"/>
    </w:lvl>
  </w:abstractNum>
  <w:abstractNum w:abstractNumId="50">
    <w:nsid w:val="32794FF7"/>
    <w:multiLevelType w:val="hybridMultilevel"/>
    <w:lvl w:ilvl="0">
      <w:lvlJc w:val="left"/>
      <w:lvlText w:val="(%1)"/>
      <w:numFmt w:val="lowerRoman"/>
      <w:start w:val="1"/>
    </w:lvl>
  </w:abstractNum>
  <w:abstractNum w:abstractNumId="51">
    <w:nsid w:val="5454945E"/>
    <w:multiLevelType w:val="hybridMultilevel"/>
    <w:lvl w:ilvl="0">
      <w:lvlJc w:val="left"/>
      <w:lvlText w:val="%1."/>
      <w:numFmt w:val="decimal"/>
      <w:start w:val="419"/>
    </w:lvl>
  </w:abstractNum>
  <w:abstractNum w:abstractNumId="52">
    <w:nsid w:val="4DEFDFA0"/>
    <w:multiLevelType w:val="hybridMultilevel"/>
    <w:lvl w:ilvl="0">
      <w:lvlJc w:val="left"/>
      <w:lvlText w:val="•"/>
      <w:numFmt w:val="bullet"/>
      <w:start w:val="1"/>
    </w:lvl>
  </w:abstractNum>
  <w:abstractNum w:abstractNumId="53">
    <w:nsid w:val="2123D5F2"/>
    <w:multiLevelType w:val="hybridMultilevel"/>
    <w:lvl w:ilvl="0">
      <w:lvlJc w:val="left"/>
      <w:lvlText w:val="•"/>
      <w:numFmt w:val="bullet"/>
      <w:start w:val="1"/>
    </w:lvl>
  </w:abstractNum>
  <w:abstractNum w:abstractNumId="54">
    <w:nsid w:val="135B8110"/>
    <w:multiLevelType w:val="hybridMultilevel"/>
    <w:lvl w:ilvl="0">
      <w:lvlJc w:val="left"/>
      <w:lvlText w:val="•"/>
      <w:numFmt w:val="bullet"/>
      <w:start w:val="1"/>
    </w:lvl>
  </w:abstractNum>
  <w:abstractNum w:abstractNumId="55">
    <w:nsid w:val="94927A8"/>
    <w:multiLevelType w:val="hybridMultilevel"/>
    <w:lvl w:ilvl="0">
      <w:lvlJc w:val="left"/>
      <w:lvlText w:val="•"/>
      <w:numFmt w:val="bullet"/>
      <w:start w:val="1"/>
    </w:lvl>
  </w:abstractNum>
  <w:abstractNum w:abstractNumId="56">
    <w:nsid w:val="DCDF8F6"/>
    <w:multiLevelType w:val="hybridMultilevel"/>
    <w:lvl w:ilvl="0">
      <w:lvlJc w:val="left"/>
      <w:lvlText w:val="•"/>
      <w:numFmt w:val="bullet"/>
      <w:start w:val="1"/>
    </w:lvl>
  </w:abstractNum>
  <w:abstractNum w:abstractNumId="57">
    <w:nsid w:val="52D7B105"/>
    <w:multiLevelType w:val="hybridMultilevel"/>
    <w:lvl w:ilvl="0">
      <w:lvlJc w:val="left"/>
      <w:lvlText w:val="•"/>
      <w:numFmt w:val="bullet"/>
      <w:start w:val="1"/>
    </w:lvl>
  </w:abstractNum>
  <w:abstractNum w:abstractNumId="58">
    <w:nsid w:val="2E8A6394"/>
    <w:multiLevelType w:val="hybridMultilevel"/>
    <w:lvl w:ilvl="0">
      <w:lvlJc w:val="left"/>
      <w:lvlText w:val="*"/>
      <w:numFmt w:val="bullet"/>
      <w:start w:val="1"/>
    </w:lvl>
  </w:abstractNum>
  <w:abstractNum w:abstractNumId="59">
    <w:nsid w:val="24E60401"/>
    <w:multiLevelType w:val="hybridMultilevel"/>
    <w:lvl w:ilvl="0">
      <w:lvlJc w:val="left"/>
      <w:lvlText w:val="(%1)"/>
      <w:numFmt w:val="decimal"/>
      <w:start w:val="1"/>
    </w:lvl>
  </w:abstractNum>
  <w:abstractNum w:abstractNumId="60">
    <w:nsid w:val="2A6AD9BE"/>
    <w:multiLevelType w:val="hybridMultilevel"/>
    <w:lvl w:ilvl="0">
      <w:lvlJc w:val="left"/>
      <w:lvlText w:val="(%1)"/>
      <w:numFmt w:val="decimal"/>
      <w:start w:val="4"/>
    </w:lvl>
  </w:abstractNum>
  <w:abstractNum w:abstractNumId="61">
    <w:nsid w:val="BAAC1B4"/>
    <w:multiLevelType w:val="hybridMultilevel"/>
    <w:lvl w:ilvl="0">
      <w:lvlJc w:val="left"/>
      <w:lvlText w:val="(%1)"/>
      <w:numFmt w:val="upperLetter"/>
      <w:start w:val="1"/>
    </w:lvl>
  </w:abstractNum>
  <w:abstractNum w:abstractNumId="62">
    <w:nsid w:val="36B2ACBC"/>
    <w:multiLevelType w:val="hybridMultilevel"/>
    <w:lvl w:ilvl="0">
      <w:lvlJc w:val="left"/>
      <w:lvlText w:val="•"/>
      <w:numFmt w:val="bullet"/>
      <w:start w:val="1"/>
    </w:lvl>
  </w:abstractNum>
  <w:abstractNum w:abstractNumId="63">
    <w:nsid w:val="779D8544"/>
    <w:multiLevelType w:val="hybridMultilevel"/>
    <w:lvl w:ilvl="0">
      <w:lvlJc w:val="left"/>
      <w:lvlText w:val="•"/>
      <w:numFmt w:val="bullet"/>
      <w:start w:val="1"/>
    </w:lvl>
  </w:abstractNum>
  <w:abstractNum w:abstractNumId="64">
    <w:nsid w:val="4AB26E78"/>
    <w:multiLevelType w:val="hybridMultilevel"/>
    <w:lvl w:ilvl="0">
      <w:lvlJc w:val="left"/>
      <w:lvlText w:val="•"/>
      <w:numFmt w:val="bullet"/>
      <w:start w:val="1"/>
    </w:lvl>
  </w:abstractNum>
  <w:abstractNum w:abstractNumId="65">
    <w:nsid w:val="21FAA2FA"/>
    <w:multiLevelType w:val="hybridMultilevel"/>
    <w:lvl w:ilvl="0">
      <w:lvlJc w:val="left"/>
      <w:lvlText w:val="•"/>
      <w:numFmt w:val="bullet"/>
      <w:start w:val="1"/>
    </w:lvl>
  </w:abstractNum>
  <w:abstractNum w:abstractNumId="66">
    <w:nsid w:val="5451CF49"/>
    <w:multiLevelType w:val="hybridMultilevel"/>
    <w:lvl w:ilvl="0">
      <w:lvlJc w:val="left"/>
      <w:lvlText w:val="•"/>
      <w:numFmt w:val="bullet"/>
      <w:start w:val="1"/>
    </w:lvl>
  </w:abstractNum>
  <w:abstractNum w:abstractNumId="67">
    <w:nsid w:val="6181EF69"/>
    <w:multiLevelType w:val="hybridMultilevel"/>
    <w:lvl w:ilvl="0">
      <w:lvlJc w:val="left"/>
      <w:lvlText w:val="•"/>
      <w:numFmt w:val="bullet"/>
      <w:start w:val="1"/>
    </w:lvl>
  </w:abstractNum>
  <w:abstractNum w:abstractNumId="68">
    <w:nsid w:val="3E6400E6"/>
    <w:multiLevelType w:val="hybridMultilevel"/>
    <w:lvl w:ilvl="0">
      <w:lvlJc w:val="left"/>
      <w:lvlText w:val="•"/>
      <w:numFmt w:val="bullet"/>
      <w:start w:val="1"/>
    </w:lvl>
  </w:abstractNum>
  <w:abstractNum w:abstractNumId="69">
    <w:nsid w:val="14217E23"/>
    <w:multiLevelType w:val="hybridMultilevel"/>
    <w:lvl w:ilvl="0">
      <w:lvlJc w:val="left"/>
      <w:lvlText w:val="•"/>
      <w:numFmt w:val="bullet"/>
      <w:start w:val="1"/>
    </w:lvl>
  </w:abstractNum>
  <w:abstractNum w:abstractNumId="70">
    <w:nsid w:val="710757D0"/>
    <w:multiLevelType w:val="hybridMultilevel"/>
    <w:lvl w:ilvl="0">
      <w:lvlJc w:val="left"/>
      <w:lvlText w:val="•"/>
      <w:numFmt w:val="bullet"/>
      <w:start w:val="1"/>
    </w:lvl>
  </w:abstractNum>
  <w:abstractNum w:abstractNumId="71">
    <w:nsid w:val="5015CD1A"/>
    <w:multiLevelType w:val="hybridMultilevel"/>
    <w:lvl w:ilvl="0">
      <w:lvlJc w:val="left"/>
      <w:lvlText w:val="•"/>
      <w:numFmt w:val="bullet"/>
      <w:start w:val="1"/>
    </w:lvl>
  </w:abstractNum>
  <w:abstractNum w:abstractNumId="72">
    <w:nsid w:val="424479DA"/>
    <w:multiLevelType w:val="hybridMultilevel"/>
    <w:lvl w:ilvl="0">
      <w:lvlJc w:val="left"/>
      <w:lvlText w:val="•"/>
      <w:numFmt w:val="bullet"/>
      <w:start w:val="1"/>
    </w:lvl>
  </w:abstractNum>
  <w:abstractNum w:abstractNumId="73">
    <w:nsid w:val="1A9A9E69"/>
    <w:multiLevelType w:val="hybridMultilevel"/>
    <w:lvl w:ilvl="0">
      <w:lvlJc w:val="left"/>
      <w:lvlText w:val="(%1)"/>
      <w:numFmt w:val="decimal"/>
      <w:start w:val="1"/>
    </w:lvl>
  </w:abstractNum>
  <w:abstractNum w:abstractNumId="74">
    <w:nsid w:val="475E256A"/>
    <w:multiLevelType w:val="hybridMultilevel"/>
    <w:lvl w:ilvl="0">
      <w:lvlJc w:val="left"/>
      <w:lvlText w:val="(%1)"/>
      <w:numFmt w:val="lowerRoman"/>
      <w:start w:val="2"/>
    </w:lvl>
  </w:abstractNum>
  <w:abstractNum w:abstractNumId="75">
    <w:nsid w:val="368DB37E"/>
    <w:multiLevelType w:val="hybridMultilevel"/>
    <w:lvl w:ilvl="0">
      <w:lvlJc w:val="left"/>
      <w:lvlText w:val="•"/>
      <w:numFmt w:val="bullet"/>
      <w:start w:val="1"/>
    </w:lvl>
  </w:abstractNum>
  <w:abstractNum w:abstractNumId="76">
    <w:nsid w:val="6A3B714C"/>
    <w:multiLevelType w:val="hybridMultilevel"/>
    <w:lvl w:ilvl="0">
      <w:lvlJc w:val="left"/>
      <w:lvlText w:val="(%1)"/>
      <w:numFmt w:val="lowerLetter"/>
      <w:start w:val="1"/>
    </w:lvl>
  </w:abstractNum>
  <w:abstractNum w:abstractNumId="77">
    <w:nsid w:val="327B517E"/>
    <w:multiLevelType w:val="hybridMultilevel"/>
    <w:lvl w:ilvl="0">
      <w:lvlJc w:val="left"/>
      <w:lvlText w:val="(%1)"/>
      <w:numFmt w:val="lowerLetter"/>
      <w:start w:val="1"/>
    </w:lvl>
  </w:abstractNum>
  <w:abstractNum w:abstractNumId="78">
    <w:nsid w:val="1F461B51"/>
    <w:multiLevelType w:val="hybridMultilevel"/>
    <w:lvl w:ilvl="0">
      <w:lvlJc w:val="left"/>
      <w:lvlText w:val="(%1)"/>
      <w:numFmt w:val="lowerLetter"/>
      <w:start w:val="1"/>
    </w:lvl>
  </w:abstractNum>
  <w:abstractNum w:abstractNumId="79">
    <w:nsid w:val="29BACF25"/>
    <w:multiLevelType w:val="hybridMultilevel"/>
    <w:lvl w:ilvl="0">
      <w:lvlJc w:val="left"/>
      <w:lvlText w:val="•"/>
      <w:numFmt w:val="bullet"/>
      <w:start w:val="1"/>
    </w:lvl>
  </w:abstractNum>
  <w:abstractNum w:abstractNumId="80">
    <w:nsid w:val="5D5BABB3"/>
    <w:multiLevelType w:val="hybridMultilevel"/>
    <w:lvl w:ilvl="0">
      <w:lvlJc w:val="left"/>
      <w:lvlText w:val="%1)"/>
      <w:numFmt w:val="decimal"/>
      <w:start w:val="289"/>
    </w:lvl>
  </w:abstractNum>
  <w:abstractNum w:abstractNumId="81">
    <w:nsid w:val="51BF6B48"/>
    <w:multiLevelType w:val="hybridMultilevel"/>
    <w:lvl w:ilvl="0">
      <w:lvlJc w:val="left"/>
      <w:lvlText w:val="(%1)"/>
      <w:numFmt w:val="lowerLetter"/>
      <w:start w:val="1"/>
    </w:lvl>
    <w:lvl w:ilvl="1">
      <w:lvlJc w:val="left"/>
      <w:lvlText w:val="(%2)"/>
      <w:numFmt w:val="lowerRoman"/>
      <w:start w:val="1"/>
    </w:lvl>
  </w:abstractNum>
  <w:abstractNum w:abstractNumId="82">
    <w:nsid w:val="7E0F6384"/>
    <w:multiLevelType w:val="hybridMultilevel"/>
    <w:lvl w:ilvl="0">
      <w:lvlJc w:val="left"/>
      <w:lvlText w:val="(%1)"/>
      <w:numFmt w:val="decimal"/>
      <w:start w:val="1"/>
    </w:lvl>
  </w:abstractNum>
  <w:abstractNum w:abstractNumId="83">
    <w:nsid w:val="2B4B8B53"/>
    <w:multiLevelType w:val="hybridMultilevel"/>
    <w:lvl w:ilvl="0">
      <w:lvlJc w:val="left"/>
      <w:lvlText w:val="(%1)"/>
      <w:numFmt w:val="decimal"/>
      <w:start w:val="1"/>
    </w:lvl>
  </w:abstractNum>
  <w:abstractNum w:abstractNumId="84">
    <w:nsid w:val="72E3413A"/>
    <w:multiLevelType w:val="hybridMultilevel"/>
    <w:lvl w:ilvl="0">
      <w:lvlJc w:val="left"/>
      <w:lvlText w:val="(%1)"/>
      <w:numFmt w:val="decimal"/>
      <w:start w:val="1"/>
    </w:lvl>
  </w:abstractNum>
  <w:abstractNum w:abstractNumId="85">
    <w:nsid w:val="116AE494"/>
    <w:multiLevelType w:val="hybridMultilevel"/>
    <w:lvl w:ilvl="0">
      <w:lvlJc w:val="left"/>
      <w:lvlText w:val="(%1)"/>
      <w:numFmt w:val="lowerLetter"/>
      <w:start w:val="1"/>
    </w:lvl>
  </w:abstractNum>
  <w:abstractNum w:abstractNumId="86">
    <w:nsid w:val="3494B2FB"/>
    <w:multiLevelType w:val="hybridMultilevel"/>
    <w:lvl w:ilvl="0">
      <w:lvlJc w:val="left"/>
      <w:lvlText w:val="(%1)"/>
      <w:numFmt w:val="lowerLetter"/>
      <w:start w:val="3"/>
    </w:lvl>
  </w:abstractNum>
  <w:abstractNum w:abstractNumId="87">
    <w:nsid w:val="B13A31"/>
    <w:multiLevelType w:val="hybridMultilevel"/>
    <w:lvl w:ilvl="0">
      <w:lvlJc w:val="left"/>
      <w:lvlText w:val="(%1)"/>
      <w:numFmt w:val="lowerLetter"/>
      <w:start w:val="8"/>
    </w:lvl>
  </w:abstractNum>
  <w:abstractNum w:abstractNumId="88">
    <w:nsid w:val="64429599"/>
    <w:multiLevelType w:val="hybridMultilevel"/>
    <w:lvl w:ilvl="0">
      <w:lvlJc w:val="left"/>
      <w:lvlText w:val="(%1)"/>
      <w:numFmt w:val="lowerLetter"/>
      <w:start w:val="1"/>
    </w:lvl>
  </w:abstractNum>
  <w:abstractNum w:abstractNumId="89">
    <w:nsid w:val="631F1690"/>
    <w:multiLevelType w:val="hybridMultilevel"/>
    <w:lvl w:ilvl="0">
      <w:lvlJc w:val="left"/>
      <w:lvlText w:val="%1"/>
      <w:numFmt w:val="lowerLetter"/>
      <w:start w:val="1"/>
    </w:lvl>
    <w:lvl w:ilvl="1">
      <w:lvlJc w:val="left"/>
      <w:lvlText w:val="%2"/>
      <w:numFmt w:val="decimal"/>
      <w:start w:val="24"/>
    </w:lvl>
  </w:abstractNum>
  <w:abstractNum w:abstractNumId="90">
    <w:nsid w:val="25973E32"/>
    <w:multiLevelType w:val="hybridMultilevel"/>
    <w:lvl w:ilvl="0">
      <w:lvlJc w:val="left"/>
      <w:lvlText w:val="(%1)"/>
      <w:numFmt w:val="lowerLetter"/>
      <w:start w:val="2"/>
    </w:lvl>
    <w:lvl w:ilvl="1">
      <w:lvlJc w:val="left"/>
      <w:lvlText w:val="%2"/>
      <w:numFmt w:val="decimal"/>
      <w:start w:val="1"/>
    </w:lvl>
  </w:abstractNum>
  <w:abstractNum w:abstractNumId="91">
    <w:nsid w:val="EAD6F57"/>
    <w:multiLevelType w:val="hybridMultilevel"/>
    <w:lvl w:ilvl="0">
      <w:lvlJc w:val="left"/>
      <w:lvlText w:val="(%1)"/>
      <w:numFmt w:val="lowerLetter"/>
      <w:start w:val="1"/>
    </w:lvl>
  </w:abstractNum>
  <w:abstractNum w:abstractNumId="92">
    <w:nsid w:val="6EC9D84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3">
    <w:nsid w:val="5C49EAEE"/>
    <w:multiLevelType w:val="hybridMultilevel"/>
    <w:lvl w:ilvl="0">
      <w:lvlJc w:val="left"/>
      <w:lvlText w:val="*"/>
      <w:numFmt w:val="bullet"/>
      <w:start w:val="1"/>
    </w:lvl>
  </w:abstractNum>
  <w:abstractNum w:abstractNumId="94">
    <w:nsid w:val="64AF49B"/>
    <w:multiLevelType w:val="hybridMultilevel"/>
    <w:lvl w:ilvl="0">
      <w:lvlJc w:val="left"/>
      <w:lvlText w:val="%1."/>
      <w:numFmt w:val="decimal"/>
      <w:start w:val="1"/>
    </w:lvl>
  </w:abstractNum>
  <w:abstractNum w:abstractNumId="95">
    <w:nsid w:val="397C46BC"/>
    <w:multiLevelType w:val="hybridMultilevel"/>
    <w:lvl w:ilvl="0">
      <w:lvlJc w:val="left"/>
      <w:lvlText w:val="%1."/>
      <w:numFmt w:val="decimal"/>
      <w:start w:val="2"/>
    </w:lvl>
  </w:abstractNum>
  <w:abstractNum w:abstractNumId="96">
    <w:nsid w:val="7E448DE9"/>
    <w:multiLevelType w:val="hybridMultilevel"/>
    <w:lvl w:ilvl="0">
      <w:lvlJc w:val="left"/>
      <w:lvlText w:val="(%1)"/>
      <w:numFmt w:val="lowerLetter"/>
      <w:start w:val="1"/>
    </w:lvl>
  </w:abstractNum>
  <w:abstractNum w:abstractNumId="97">
    <w:nsid w:val="5A9CC3E5"/>
    <w:multiLevelType w:val="hybridMultilevel"/>
    <w:lvl w:ilvl="0">
      <w:lvlJc w:val="left"/>
      <w:lvlText w:val="(%1)"/>
      <w:numFmt w:val="lowerLetter"/>
      <w:start w:val="3"/>
    </w:lvl>
  </w:abstractNum>
  <w:abstractNum w:abstractNumId="98">
    <w:nsid w:val="1AFE3625"/>
    <w:multiLevelType w:val="hybridMultilevel"/>
    <w:lvl w:ilvl="0">
      <w:lvlJc w:val="left"/>
      <w:lvlText w:val="(%1)"/>
      <w:numFmt w:val="lowerLetter"/>
      <w:start w:val="6"/>
    </w:lvl>
  </w:abstractNum>
  <w:abstractNum w:abstractNumId="99">
    <w:nsid w:val="3CA88ECF"/>
    <w:multiLevelType w:val="hybridMultilevel"/>
    <w:lvl w:ilvl="0">
      <w:lvlJc w:val="left"/>
      <w:lvlText w:val="(%1)"/>
      <w:numFmt w:val="lowerLetter"/>
      <w:start w:val="1"/>
    </w:lvl>
  </w:abstractNum>
  <w:abstractNum w:abstractNumId="100">
    <w:nsid w:val="6EBE4208"/>
    <w:multiLevelType w:val="hybridMultilevel"/>
    <w:lvl w:ilvl="0">
      <w:lvlJc w:val="left"/>
      <w:lvlText w:val="%1"/>
      <w:numFmt w:val="lowerLetter"/>
      <w:start w:val="1"/>
    </w:lvl>
    <w:lvl w:ilvl="1">
      <w:lvlJc w:val="left"/>
      <w:lvlText w:val="(%2)"/>
      <w:numFmt w:val="lowerLetter"/>
      <w:start w:val="3"/>
    </w:lvl>
  </w:abstractNum>
  <w:abstractNum w:abstractNumId="101">
    <w:nsid w:val="C058DF5"/>
    <w:multiLevelType w:val="hybridMultilevel"/>
    <w:lvl w:ilvl="0">
      <w:lvlJc w:val="left"/>
      <w:lvlText w:val="(%1)"/>
      <w:numFmt w:val="lowerLetter"/>
      <w:start w:val="1"/>
    </w:lvl>
    <w:lvl w:ilvl="1">
      <w:lvlJc w:val="left"/>
      <w:lvlText w:val="(%2)"/>
      <w:numFmt w:val="lowerLetter"/>
      <w:start w:val="4"/>
    </w:lvl>
  </w:abstractNum>
  <w:abstractNum w:abstractNumId="102">
    <w:nsid w:val="CBE5BE9"/>
    <w:multiLevelType w:val="hybridMultilevel"/>
    <w:lvl w:ilvl="0">
      <w:lvlJc w:val="left"/>
      <w:lvlText w:val="(%1)"/>
      <w:numFmt w:val="lowerLetter"/>
      <w:start w:val="7"/>
    </w:lvl>
  </w:abstractNum>
  <w:abstractNum w:abstractNumId="103">
    <w:nsid w:val="3102BBE2"/>
    <w:multiLevelType w:val="hybridMultilevel"/>
    <w:lvl w:ilvl="0">
      <w:lvlJc w:val="left"/>
      <w:lvlText w:val="(%1)"/>
      <w:numFmt w:val="lowerLetter"/>
      <w:start w:val="8"/>
    </w:lvl>
  </w:abstractNum>
  <w:abstractNum w:abstractNumId="104">
    <w:nsid w:val="26A02C5E"/>
    <w:multiLevelType w:val="hybridMultilevel"/>
    <w:lvl w:ilvl="0">
      <w:lvlJc w:val="left"/>
      <w:lvlText w:val="(%1)"/>
      <w:numFmt w:val="lowerLetter"/>
      <w:start w:val="10"/>
    </w:lvl>
  </w:abstractNum>
  <w:abstractNum w:abstractNumId="105">
    <w:nsid w:val="541C8153"/>
    <w:multiLevelType w:val="hybridMultilevel"/>
    <w:lvl w:ilvl="0">
      <w:lvlJc w:val="left"/>
      <w:lvlText w:val="(%1)"/>
      <w:numFmt w:val="lowerLetter"/>
      <w:start w:val="15"/>
    </w:lvl>
  </w:abstractNum>
  <w:abstractNum w:abstractNumId="106">
    <w:nsid w:val="67906F60"/>
    <w:multiLevelType w:val="hybridMultilevel"/>
    <w:lvl w:ilvl="0">
      <w:lvlJc w:val="left"/>
      <w:lvlText w:val="(%1)"/>
      <w:numFmt w:val="lowerLetter"/>
      <w:start w:val="20"/>
    </w:lvl>
  </w:abstractNum>
  <w:abstractNum w:abstractNumId="107">
    <w:nsid w:val="10DB9DAA"/>
    <w:multiLevelType w:val="hybridMultilevel"/>
    <w:lvl w:ilvl="0">
      <w:lvlJc w:val="left"/>
      <w:lvlText w:val="%1"/>
      <w:numFmt w:val="lowerLetter"/>
      <w:start w:val="1"/>
    </w:lvl>
    <w:lvl w:ilvl="1">
      <w:lvlJc w:val="left"/>
      <w:lvlText w:val="(%2)"/>
      <w:numFmt w:val="lowerLetter"/>
      <w:start w:val="25"/>
    </w:lvl>
  </w:abstractNum>
  <w:abstractNum w:abstractNumId="108">
    <w:nsid w:val="697D2D2"/>
    <w:multiLevelType w:val="hybridMultilevel"/>
    <w:lvl w:ilvl="0">
      <w:lvlJc w:val="left"/>
      <w:lvlText w:val="(%1)"/>
      <w:numFmt w:val="lowerLetter"/>
      <w:start w:val="9"/>
    </w:lvl>
    <w:lvl w:ilvl="1">
      <w:lvlJc w:val="left"/>
      <w:lvlText w:val="(%2)"/>
      <w:numFmt w:val="lowerLetter"/>
      <w:start w:val="27"/>
    </w:lvl>
  </w:abstractNum>
  <w:abstractNum w:abstractNumId="109">
    <w:nsid w:val="6D68AB2"/>
    <w:multiLevelType w:val="hybridMultilevel"/>
    <w:lvl w:ilvl="0">
      <w:lvlJc w:val="left"/>
      <w:lvlText w:val="(%1)"/>
      <w:numFmt w:val="lowerLetter"/>
      <w:start w:val="30"/>
    </w:lvl>
  </w:abstractNum>
  <w:abstractNum w:abstractNumId="110">
    <w:nsid w:val="3A966CD0"/>
    <w:multiLevelType w:val="hybridMultilevel"/>
    <w:lvl w:ilvl="0">
      <w:lvlJc w:val="left"/>
      <w:lvlText w:val="(%1)"/>
      <w:numFmt w:val="lowerLetter"/>
      <w:start w:val="35"/>
    </w:lvl>
  </w:abstractNum>
  <w:abstractNum w:abstractNumId="111">
    <w:nsid w:val="63F37E85"/>
    <w:multiLevelType w:val="hybridMultilevel"/>
    <w:lvl w:ilvl="0">
      <w:lvlJc w:val="left"/>
      <w:lvlText w:val="(%1)"/>
      <w:numFmt w:val="lowerLetter"/>
      <w:start w:val="38"/>
    </w:lvl>
  </w:abstractNum>
  <w:abstractNum w:abstractNumId="112">
    <w:nsid w:val="5895F5FA"/>
    <w:multiLevelType w:val="hybridMultilevel"/>
    <w:lvl w:ilvl="0">
      <w:lvlJc w:val="left"/>
      <w:lvlText w:val="(%1)"/>
      <w:numFmt w:val="lowerLetter"/>
      <w:start w:val="44"/>
    </w:lvl>
  </w:abstractNum>
  <w:abstractNum w:abstractNumId="113">
    <w:nsid w:val="38A5D054"/>
    <w:multiLevelType w:val="hybridMultilevel"/>
    <w:lvl w:ilvl="0">
      <w:lvlJc w:val="left"/>
      <w:lvlText w:val="(%1)"/>
      <w:numFmt w:val="lowerLetter"/>
      <w:start w:val="51"/>
    </w:lvl>
  </w:abstractNum>
  <w:abstractNum w:abstractNumId="114">
    <w:nsid w:val="F3F09D8"/>
    <w:multiLevelType w:val="hybridMultilevel"/>
    <w:lvl w:ilvl="0">
      <w:lvlJc w:val="left"/>
      <w:lvlText w:val="(%1)"/>
      <w:numFmt w:val="lowerLetter"/>
      <w:start w:val="53"/>
    </w:lvl>
  </w:abstractNum>
  <w:abstractNum w:abstractNumId="115">
    <w:nsid w:val="4B793735"/>
    <w:multiLevelType w:val="hybridMultilevel"/>
    <w:lvl w:ilvl="0">
      <w:lvlJc w:val="left"/>
      <w:lvlText w:val="(%1)"/>
      <w:numFmt w:val="lowerLetter"/>
      <w:start w:val="59"/>
    </w:lvl>
  </w:abstractNum>
  <w:abstractNum w:abstractNumId="116">
    <w:nsid w:val="4A10B4E8"/>
    <w:multiLevelType w:val="hybridMultilevel"/>
    <w:lvl w:ilvl="0">
      <w:lvlJc w:val="left"/>
      <w:lvlText w:val="%1"/>
      <w:numFmt w:val="upperLetter"/>
      <w:start w:val="1"/>
    </w:lvl>
    <w:lvl w:ilvl="1">
      <w:lvlJc w:val="left"/>
      <w:lvlText w:val="(%2)"/>
      <w:numFmt w:val="lowerLetter"/>
      <w:start w:val="1"/>
    </w:lvl>
  </w:abstractNum>
  <w:abstractNum w:abstractNumId="117">
    <w:nsid w:val="43D3BCD4"/>
    <w:multiLevelType w:val="hybridMultilevel"/>
    <w:lvl w:ilvl="0">
      <w:lvlJc w:val="left"/>
      <w:lvlText w:val="(%1)"/>
      <w:numFmt w:val="upperLetter"/>
      <w:start w:val="1"/>
    </w:lvl>
    <w:lvl w:ilvl="1">
      <w:lvlJc w:val="left"/>
      <w:lvlText w:val="(%2)"/>
      <w:numFmt w:val="lowerLetter"/>
      <w:start w:val="3"/>
    </w:lvl>
  </w:abstractNum>
  <w:abstractNum w:abstractNumId="118">
    <w:nsid w:val="4C2A7166"/>
    <w:multiLevelType w:val="hybridMultilevel"/>
    <w:lvl w:ilvl="0">
      <w:lvlJc w:val="left"/>
      <w:lvlText w:val="(%1)"/>
      <w:numFmt w:val="lowerLetter"/>
      <w:start w:val="5"/>
    </w:lvl>
  </w:abstractNum>
  <w:abstractNum w:abstractNumId="119">
    <w:nsid w:val="2E534A82"/>
    <w:multiLevelType w:val="hybridMultilevel"/>
    <w:lvl w:ilvl="0">
      <w:lvlJc w:val="left"/>
      <w:lvlText w:val="(%1)"/>
      <w:numFmt w:val="lowerLetter"/>
      <w:start w:val="6"/>
    </w:lvl>
  </w:abstractNum>
  <w:abstractNum w:abstractNumId="120">
    <w:nsid w:val="26F2D364"/>
    <w:multiLevelType w:val="hybridMultilevel"/>
    <w:lvl w:ilvl="0">
      <w:lvlJc w:val="left"/>
      <w:lvlText w:val="(%1)"/>
      <w:numFmt w:val="lowerRoman"/>
      <w:start w:val="1"/>
    </w:lvl>
  </w:abstractNum>
  <w:abstractNum w:abstractNumId="121">
    <w:nsid w:val="71C1AF98"/>
    <w:multiLevelType w:val="hybridMultilevel"/>
    <w:lvl w:ilvl="0">
      <w:lvlJc w:val="left"/>
      <w:lvlText w:val="(%1)"/>
      <w:numFmt w:val="lowerLetter"/>
      <w:start w:val="10"/>
    </w:lvl>
  </w:abstractNum>
  <w:abstractNum w:abstractNumId="122">
    <w:nsid w:val="3D00B9D9"/>
    <w:multiLevelType w:val="hybridMultilevel"/>
    <w:lvl w:ilvl="0">
      <w:lvlJc w:val="left"/>
      <w:lvlText w:val="(%1)"/>
      <w:numFmt w:val="lowerLetter"/>
      <w:start w:val="17"/>
    </w:lvl>
  </w:abstractNum>
  <w:abstractNum w:abstractNumId="123">
    <w:nsid w:val="15BCABA8"/>
    <w:multiLevelType w:val="hybridMultilevel"/>
    <w:lvl w:ilvl="0">
      <w:lvlJc w:val="left"/>
      <w:lvlText w:val="(%1)"/>
      <w:numFmt w:val="lowerLetter"/>
      <w:start w:val="21"/>
    </w:lvl>
  </w:abstractNum>
  <w:abstractNum w:abstractNumId="124">
    <w:nsid w:val="4E0B9A87"/>
    <w:multiLevelType w:val="hybridMultilevel"/>
    <w:lvl w:ilvl="0">
      <w:lvlJc w:val="left"/>
      <w:lvlText w:val="(%1)"/>
      <w:numFmt w:val="lowerLetter"/>
      <w:start w:val="27"/>
    </w:lvl>
  </w:abstractNum>
  <w:abstractNum w:abstractNumId="125">
    <w:nsid w:val="434BAE75"/>
    <w:multiLevelType w:val="hybridMultilevel"/>
    <w:lvl w:ilvl="0">
      <w:lvlJc w:val="left"/>
      <w:lvlText w:val="(%1)"/>
      <w:numFmt w:val="lowerLetter"/>
      <w:start w:val="34"/>
    </w:lvl>
  </w:abstractNum>
  <w:abstractNum w:abstractNumId="126">
    <w:nsid w:val="4F38F265"/>
    <w:multiLevelType w:val="hybridMultilevel"/>
    <w:lvl w:ilvl="0">
      <w:lvlJc w:val="left"/>
      <w:lvlText w:val="(%1)"/>
      <w:numFmt w:val="lowerLetter"/>
      <w:start w:val="37"/>
    </w:lvl>
  </w:abstractNum>
  <w:abstractNum w:abstractNumId="127">
    <w:nsid w:val="4C502870"/>
    <w:multiLevelType w:val="hybridMultilevel"/>
    <w:lvl w:ilvl="0">
      <w:lvlJc w:val="left"/>
      <w:lvlText w:val="%1."/>
      <w:numFmt w:val="decimal"/>
      <w:start w:val="5"/>
    </w:lvl>
  </w:abstractNum>
  <w:abstractNum w:abstractNumId="128">
    <w:nsid w:val="1DE8725A"/>
    <w:multiLevelType w:val="hybridMultilevel"/>
    <w:lvl w:ilvl="0">
      <w:lvlJc w:val="left"/>
      <w:lvlText w:val="%1."/>
      <w:numFmt w:val="decimal"/>
      <w:start w:val="6"/>
    </w:lvl>
  </w:abstractNum>
  <w:abstractNum w:abstractNumId="129">
    <w:nsid w:val="6A37288A"/>
    <w:multiLevelType w:val="hybridMultilevel"/>
    <w:lvl w:ilvl="0">
      <w:lvlJc w:val="left"/>
      <w:lvlText w:val="%1"/>
      <w:numFmt w:val="lowerLetter"/>
      <w:start w:val="1"/>
    </w:lvl>
    <w:lvl w:ilvl="1">
      <w:lvlJc w:val="left"/>
      <w:lvlText w:val="(%2)"/>
      <w:numFmt w:val="lowerLetter"/>
      <w:start w:val="1"/>
    </w:lvl>
  </w:abstractNum>
  <w:abstractNum w:abstractNumId="130">
    <w:nsid w:val="8F8B73F"/>
    <w:multiLevelType w:val="hybridMultilevel"/>
    <w:lvl w:ilvl="0">
      <w:lvlJc w:val="left"/>
      <w:lvlText w:val="(%1)"/>
      <w:numFmt w:val="lowerLetter"/>
      <w:start w:val="35"/>
    </w:lvl>
    <w:lvl w:ilvl="1">
      <w:lvlJc w:val="left"/>
      <w:lvlText w:val="(%2)"/>
      <w:numFmt w:val="lowerLetter"/>
      <w:start w:val="5"/>
    </w:lvl>
  </w:abstractNum>
  <w:abstractNum w:abstractNumId="131">
    <w:nsid w:val="CA6B462"/>
    <w:multiLevelType w:val="hybridMultilevel"/>
    <w:lvl w:ilvl="0">
      <w:lvlJc w:val="left"/>
      <w:lvlText w:val="(%1)"/>
      <w:numFmt w:val="lowerLetter"/>
      <w:start w:val="6"/>
    </w:lvl>
  </w:abstractNum>
  <w:abstractNum w:abstractNumId="132">
    <w:nsid w:val="763CB680"/>
    <w:multiLevelType w:val="hybridMultilevel"/>
    <w:lvl w:ilvl="0">
      <w:lvlJc w:val="left"/>
      <w:lvlText w:val="(%1)"/>
      <w:numFmt w:val="lowerLetter"/>
      <w:start w:val="13"/>
    </w:lvl>
  </w:abstractNum>
  <w:abstractNum w:abstractNumId="133">
    <w:nsid w:val="15B71329"/>
    <w:multiLevelType w:val="hybridMultilevel"/>
    <w:lvl w:ilvl="0">
      <w:lvlJc w:val="left"/>
      <w:lvlText w:val="%1."/>
      <w:numFmt w:val="decimal"/>
      <w:start w:val="7"/>
    </w:lvl>
  </w:abstractNum>
  <w:abstractNum w:abstractNumId="134">
    <w:nsid w:val="3DA97044"/>
    <w:multiLevelType w:val="hybridMultilevel"/>
    <w:lvl w:ilvl="0">
      <w:lvlJc w:val="left"/>
      <w:lvlText w:val="%1"/>
      <w:numFmt w:val="lowerLetter"/>
      <w:start w:val="1"/>
    </w:lvl>
    <w:lvl w:ilvl="1">
      <w:lvlJc w:val="left"/>
      <w:lvlText w:val="(%2)"/>
      <w:numFmt w:val="lowerLetter"/>
      <w:start w:val="1"/>
    </w:lvl>
  </w:abstractNum>
  <w:abstractNum w:abstractNumId="135">
    <w:nsid w:val="1CDCE2DE"/>
    <w:multiLevelType w:val="hybridMultilevel"/>
    <w:lvl w:ilvl="0">
      <w:lvlJc w:val="left"/>
      <w:lvlText w:val="(%1)"/>
      <w:numFmt w:val="lowerLetter"/>
      <w:start w:val="35"/>
    </w:lvl>
    <w:lvl w:ilvl="1">
      <w:lvlJc w:val="left"/>
      <w:lvlText w:val="(%2)"/>
      <w:numFmt w:val="lowerLetter"/>
      <w:start w:val="2"/>
    </w:lvl>
  </w:abstractNum>
  <w:abstractNum w:abstractNumId="136">
    <w:nsid w:val="69D3947C"/>
    <w:multiLevelType w:val="hybridMultilevel"/>
    <w:lvl w:ilvl="0">
      <w:lvlJc w:val="left"/>
      <w:lvlText w:val="(%1)"/>
      <w:numFmt w:val="lowerLetter"/>
      <w:start w:val="3"/>
    </w:lvl>
  </w:abstractNum>
  <w:abstractNum w:abstractNumId="137">
    <w:nsid w:val="2539DFA5"/>
    <w:multiLevelType w:val="hybridMultilevel"/>
    <w:lvl w:ilvl="0">
      <w:lvlJc w:val="left"/>
      <w:lvlText w:val="%1"/>
      <w:numFmt w:val="lowerLetter"/>
      <w:start w:val="1"/>
    </w:lvl>
    <w:lvl w:ilvl="1">
      <w:lvlJc w:val="left"/>
      <w:lvlText w:val="(%2)"/>
      <w:numFmt w:val="lowerLetter"/>
      <w:start w:val="4"/>
    </w:lvl>
  </w:abstractNum>
  <w:abstractNum w:abstractNumId="138">
    <w:nsid w:val="2DB88089"/>
    <w:multiLevelType w:val="hybridMultilevel"/>
    <w:lvl w:ilvl="0">
      <w:lvlJc w:val="left"/>
      <w:lvlText w:val="(%1)"/>
      <w:numFmt w:val="lowerLetter"/>
      <w:start w:val="4"/>
    </w:lvl>
    <w:lvl w:ilvl="1">
      <w:lvlJc w:val="left"/>
      <w:lvlText w:val="%2"/>
      <w:numFmt w:val="lowerLetter"/>
      <w:start w:val="1"/>
    </w:lvl>
  </w:abstractNum>
  <w:abstractNum w:abstractNumId="139">
    <w:nsid w:val="706B674E"/>
    <w:multiLevelType w:val="hybridMultilevel"/>
    <w:lvl w:ilvl="0">
      <w:lvlJc w:val="left"/>
      <w:lvlText w:val="(%1)"/>
      <w:numFmt w:val="lowerLetter"/>
      <w:start w:val="6"/>
    </w:lvl>
  </w:abstractNum>
  <w:abstractNum w:abstractNumId="140">
    <w:nsid w:val="2C106A57"/>
    <w:multiLevelType w:val="hybridMultilevel"/>
    <w:lvl w:ilvl="0">
      <w:lvlJc w:val="left"/>
      <w:lvlText w:val="%1"/>
      <w:numFmt w:val="lowerRoman"/>
      <w:start w:val="1"/>
    </w:lvl>
    <w:lvl w:ilvl="1">
      <w:lvlJc w:val="left"/>
      <w:lvlText w:val="%2."/>
      <w:numFmt w:val="decimal"/>
      <w:start w:val="8"/>
    </w:lvl>
  </w:abstractNum>
  <w:abstractNum w:abstractNumId="141">
    <w:nsid w:val="684EED59"/>
    <w:multiLevelType w:val="hybridMultilevel"/>
    <w:lvl w:ilvl="0">
      <w:lvlJc w:val="left"/>
      <w:lvlText w:val="(%1)"/>
      <w:numFmt w:val="lowerRoman"/>
      <w:start w:val="1"/>
    </w:lvl>
    <w:lvl w:ilvl="1">
      <w:lvlJc w:val="left"/>
      <w:lvlText w:val="%2."/>
      <w:numFmt w:val="decimal"/>
      <w:start w:val="10"/>
    </w:lvl>
  </w:abstractNum>
  <w:abstractNum w:abstractNumId="142">
    <w:nsid w:val="545EE5D3"/>
    <w:multiLevelType w:val="hybridMultilevel"/>
    <w:lvl w:ilvl="0">
      <w:lvlJc w:val="left"/>
      <w:lvlText w:val="(%1)"/>
      <w:numFmt w:val="lowerLetter"/>
      <w:start w:val="1"/>
    </w:lvl>
  </w:abstractNum>
  <w:abstractNum w:abstractNumId="143">
    <w:nsid w:val="4A66051"/>
    <w:multiLevelType w:val="hybridMultilevel"/>
    <w:lvl w:ilvl="0">
      <w:lvlJc w:val="left"/>
      <w:lvlText w:val="(%1)"/>
      <w:numFmt w:val="lowerLetter"/>
      <w:start w:val="2"/>
    </w:lvl>
  </w:abstractNum>
  <w:abstractNum w:abstractNumId="144">
    <w:nsid w:val="20F4BDAD"/>
    <w:multiLevelType w:val="hybridMultilevel"/>
    <w:lvl w:ilvl="0">
      <w:lvlJc w:val="left"/>
      <w:lvlText w:val="%1."/>
      <w:numFmt w:val="decimal"/>
      <w:start w:val="11"/>
    </w:lvl>
  </w:abstractNum>
  <w:abstractNum w:abstractNumId="145">
    <w:nsid w:val="639DEFAC"/>
    <w:multiLevelType w:val="hybridMultilevel"/>
    <w:lvl w:ilvl="0">
      <w:lvlJc w:val="left"/>
      <w:lvlText w:val="(%1)"/>
      <w:numFmt w:val="lowerLetter"/>
      <w:start w:val="1"/>
    </w:lvl>
  </w:abstractNum>
  <w:abstractNum w:abstractNumId="146">
    <w:nsid w:val="501F9786"/>
    <w:multiLevelType w:val="hybridMultilevel"/>
    <w:lvl w:ilvl="0">
      <w:lvlJc w:val="left"/>
      <w:lvlText w:val="(%1)"/>
      <w:numFmt w:val="lowerLetter"/>
      <w:start w:val="2"/>
    </w:lvl>
  </w:abstractNum>
  <w:abstractNum w:abstractNumId="147">
    <w:nsid w:val="6B057295"/>
    <w:multiLevelType w:val="hybridMultilevel"/>
    <w:lvl w:ilvl="0">
      <w:lvlJc w:val="left"/>
      <w:lvlText w:val="%1."/>
      <w:numFmt w:val="decimal"/>
      <w:start w:val="12"/>
    </w:lvl>
  </w:abstractNum>
  <w:abstractNum w:abstractNumId="148">
    <w:nsid w:val="2771AC80"/>
    <w:multiLevelType w:val="hybridMultilevel"/>
    <w:lvl w:ilvl="0">
      <w:lvlJc w:val="left"/>
      <w:lvlText w:val="(%1)"/>
      <w:numFmt w:val="lowerLetter"/>
      <w:start w:val="1"/>
    </w:lvl>
  </w:abstractNum>
  <w:abstractNum w:abstractNumId="149">
    <w:nsid w:val="1C4A08EC"/>
    <w:multiLevelType w:val="hybridMultilevel"/>
    <w:lvl w:ilvl="0">
      <w:lvlJc w:val="left"/>
      <w:lvlText w:val="(%1)"/>
      <w:numFmt w:val="lowerRoman"/>
      <w:start w:val="1"/>
    </w:lvl>
  </w:abstractNum>
  <w:abstractNum w:abstractNumId="150">
    <w:nsid w:val="1958BD17"/>
    <w:multiLevelType w:val="hybridMultilevel"/>
    <w:lvl w:ilvl="0">
      <w:lvlJc w:val="left"/>
      <w:lvlText w:val="(%1)"/>
      <w:numFmt w:val="lowerRoman"/>
      <w:start w:val="1"/>
    </w:lvl>
  </w:abstractNum>
  <w:abstractNum w:abstractNumId="151">
    <w:nsid w:val="4E647FE4"/>
    <w:multiLevelType w:val="hybridMultilevel"/>
    <w:lvl w:ilvl="0">
      <w:lvlJc w:val="left"/>
      <w:lvlText w:val="(%1)"/>
      <w:numFmt w:val="lowerLetter"/>
      <w:start w:val="6"/>
    </w:lvl>
  </w:abstractNum>
  <w:abstractNum w:abstractNumId="152">
    <w:nsid w:val="E0BB885"/>
    <w:multiLevelType w:val="hybridMultilevel"/>
    <w:lvl w:ilvl="0">
      <w:lvlJc w:val="left"/>
      <w:lvlText w:val="(%1)"/>
      <w:numFmt w:val="lowerLetter"/>
      <w:start w:val="7"/>
    </w:lvl>
  </w:abstractNum>
  <w:abstractNum w:abstractNumId="153">
    <w:nsid w:val="565976F1"/>
    <w:multiLevelType w:val="hybridMultilevel"/>
    <w:lvl w:ilvl="0">
      <w:lvlJc w:val="left"/>
      <w:lvlText w:val="(%1)"/>
      <w:numFmt w:val="lowerLetter"/>
      <w:start w:val="2"/>
    </w:lvl>
  </w:abstractNum>
  <w:abstractNum w:abstractNumId="154">
    <w:nsid w:val="64212B8C"/>
    <w:multiLevelType w:val="hybridMultilevel"/>
    <w:lvl w:ilvl="0">
      <w:lvlJc w:val="left"/>
      <w:lvlText w:val="(%1)"/>
      <w:numFmt w:val="decimal"/>
      <w:start w:val="3"/>
    </w:lvl>
  </w:abstractNum>
  <w:abstractNum w:abstractNumId="155">
    <w:nsid w:val="5C17530C"/>
    <w:multiLevelType w:val="hybridMultilevel"/>
    <w:lvl w:ilvl="0">
      <w:lvlJc w:val="left"/>
      <w:lvlText w:val="%1."/>
      <w:numFmt w:val="decimal"/>
      <w:start w:val="1"/>
    </w:lvl>
  </w:abstractNum>
  <w:abstractNum w:abstractNumId="156">
    <w:nsid w:val="19A52566"/>
    <w:multiLevelType w:val="hybridMultilevel"/>
    <w:lvl w:ilvl="0">
      <w:lvlJc w:val="left"/>
      <w:lvlText w:val="(%1)"/>
      <w:numFmt w:val="lowerRoman"/>
      <w:start w:val="1"/>
    </w:lvl>
  </w:abstractNum>
  <w:abstractNum w:abstractNumId="157">
    <w:nsid w:val="335A1DF1"/>
    <w:multiLevelType w:val="hybridMultilevel"/>
    <w:lvl w:ilvl="0">
      <w:lvlJc w:val="left"/>
      <w:lvlText w:val="(%1)"/>
      <w:numFmt w:val="lowerLetter"/>
      <w:start w:val="1"/>
    </w:lvl>
    <w:lvl w:ilvl="1">
      <w:lvlJc w:val="left"/>
      <w:lvlText w:val="(%2)"/>
      <w:numFmt w:val="lowerRoman"/>
      <w:start w:val="1"/>
    </w:lvl>
  </w:abstractNum>
  <w:abstractNum w:abstractNumId="158">
    <w:nsid w:val="28677B7C"/>
    <w:multiLevelType w:val="hybridMultilevel"/>
    <w:lvl w:ilvl="0">
      <w:lvlJc w:val="left"/>
      <w:lvlText w:val="%1"/>
      <w:numFmt w:val="lowerLetter"/>
      <w:start w:val="1"/>
    </w:lvl>
    <w:lvl w:ilvl="1">
      <w:lvlJc w:val="left"/>
      <w:lvlText w:val="(%2)"/>
      <w:numFmt w:val="lowerLetter"/>
      <w:start w:val="61"/>
    </w:lvl>
  </w:abstractNum>
  <w:abstractNum w:abstractNumId="159">
    <w:nsid w:val="378D97C0"/>
    <w:multiLevelType w:val="hybridMultilevel"/>
    <w:lvl w:ilvl="0">
      <w:lvlJc w:val="left"/>
      <w:lvlText w:val="(%1)"/>
      <w:numFmt w:val="lowerLetter"/>
      <w:start w:val="2"/>
    </w:lvl>
    <w:lvl w:ilvl="1">
      <w:lvlJc w:val="left"/>
      <w:lvlText w:val="(%2)"/>
      <w:numFmt w:val="lowerLetter"/>
      <w:start w:val="9"/>
    </w:lvl>
  </w:abstractNum>
  <w:abstractNum w:abstractNumId="160">
    <w:nsid w:val="1D91467C"/>
    <w:multiLevelType w:val="hybridMultilevel"/>
    <w:lvl w:ilvl="0">
      <w:lvlJc w:val="left"/>
      <w:lvlText w:val="(%1)"/>
      <w:numFmt w:val="lowerRoman"/>
      <w:start w:val="2"/>
    </w:lvl>
    <w:lvl w:ilvl="1">
      <w:lvlJc w:val="left"/>
      <w:lvlText w:val="(%2)"/>
      <w:numFmt w:val="upperLetter"/>
      <w:start w:val="1"/>
    </w:lvl>
  </w:abstractNum>
  <w:abstractNum w:abstractNumId="161">
    <w:nsid w:val="316032BB"/>
    <w:multiLevelType w:val="hybridMultilevel"/>
    <w:lvl w:ilvl="0">
      <w:lvlJc w:val="left"/>
      <w:lvlText w:val="(%1)"/>
      <w:numFmt w:val="upperLetter"/>
      <w:start w:val="2"/>
    </w:lvl>
  </w:abstractNum>
  <w:abstractNum w:abstractNumId="162">
    <w:nsid w:val="44344C22"/>
    <w:multiLevelType w:val="hybridMultilevel"/>
    <w:lvl w:ilvl="0">
      <w:lvlJc w:val="left"/>
      <w:lvlText w:val="(%1)"/>
      <w:numFmt w:val="lowerRoman"/>
      <w:start w:val="3"/>
    </w:lvl>
  </w:abstractNum>
  <w:abstractNum w:abstractNumId="163">
    <w:nsid w:val="13CDFCFC"/>
    <w:multiLevelType w:val="hybridMultilevel"/>
    <w:lvl w:ilvl="0">
      <w:lvlJc w:val="left"/>
      <w:lvlText w:val="(%1)"/>
      <w:numFmt w:val="lowerLetter"/>
      <w:start w:val="3"/>
    </w:lvl>
  </w:abstractNum>
  <w:abstractNum w:abstractNumId="164">
    <w:nsid w:val="471745E4"/>
    <w:multiLevelType w:val="hybridMultilevel"/>
    <w:lvl w:ilvl="0">
      <w:lvlJc w:val="left"/>
      <w:lvlText w:val="(%1)"/>
      <w:numFmt w:val="lowerLetter"/>
      <w:start w:val="2"/>
    </w:lvl>
  </w:abstractNum>
  <w:abstractNum w:abstractNumId="165">
    <w:nsid w:val="1DDBC66"/>
    <w:multiLevelType w:val="hybridMultilevel"/>
    <w:lvl w:ilvl="0">
      <w:lvlJc w:val="left"/>
      <w:lvlText w:val="(%1)"/>
      <w:numFmt w:val="lowerLetter"/>
      <w:start w:val="2"/>
    </w:lvl>
  </w:abstractNum>
  <w:abstractNum w:abstractNumId="166">
    <w:nsid w:val="30AADFDA"/>
    <w:multiLevelType w:val="hybridMultilevel"/>
    <w:lvl w:ilvl="0">
      <w:lvlJc w:val="left"/>
      <w:lvlText w:val="(%1)"/>
      <w:numFmt w:val="lowerLetter"/>
      <w:start w:val="2"/>
    </w:lvl>
  </w:abstractNum>
  <w:abstractNum w:abstractNumId="167">
    <w:nsid w:val="30EADA61"/>
    <w:multiLevelType w:val="hybridMultilevel"/>
    <w:lvl w:ilvl="0">
      <w:lvlJc w:val="left"/>
      <w:lvlText w:val="(%1)"/>
      <w:numFmt w:val="lowerLetter"/>
      <w:start w:val="2"/>
    </w:lvl>
  </w:abstractNum>
  <w:abstractNum w:abstractNumId="168">
    <w:nsid w:val="27179C0B"/>
    <w:multiLevelType w:val="hybridMultilevel"/>
    <w:lvl w:ilvl="0">
      <w:lvlJc w:val="left"/>
      <w:lvlText w:val="(%1)"/>
      <w:numFmt w:val="lowerLetter"/>
      <w:start w:val="4"/>
    </w:lvl>
  </w:abstractNum>
  <w:abstractNum w:abstractNumId="169">
    <w:nsid w:val="5E636063"/>
    <w:multiLevelType w:val="hybridMultilevel"/>
    <w:lvl w:ilvl="0">
      <w:lvlJc w:val="left"/>
      <w:lvlText w:val="(%1)"/>
      <w:numFmt w:val="lowerLetter"/>
      <w:start w:val="2"/>
    </w:lvl>
  </w:abstractNum>
  <w:abstractNum w:abstractNumId="170">
    <w:nsid w:val="215641AF"/>
    <w:multiLevelType w:val="hybridMultilevel"/>
    <w:lvl w:ilvl="0">
      <w:lvlJc w:val="left"/>
      <w:lvlText w:val="(%1)"/>
      <w:numFmt w:val="lowerLetter"/>
      <w:start w:val="1"/>
    </w:lvl>
  </w:abstractNum>
  <w:abstractNum w:abstractNumId="171">
    <w:nsid w:val="53280662"/>
    <w:multiLevelType w:val="hybridMultilevel"/>
    <w:lvl w:ilvl="0">
      <w:lvlJc w:val="left"/>
      <w:lvlText w:val="(%1)"/>
      <w:numFmt w:val="lowerLetter"/>
      <w:start w:val="1"/>
    </w:lvl>
    <w:lvl w:ilvl="1">
      <w:lvlJc w:val="left"/>
      <w:lvlText w:val="(%2)"/>
      <w:numFmt w:val="lowerRoman"/>
      <w:start w:val="1"/>
    </w:lvl>
  </w:abstractNum>
  <w:abstractNum w:abstractNumId="172">
    <w:nsid w:val="46B24DBC"/>
    <w:multiLevelType w:val="hybridMultilevel"/>
    <w:lvl w:ilvl="0">
      <w:lvlJc w:val="left"/>
      <w:lvlText w:val="%1"/>
      <w:numFmt w:val="lowerLetter"/>
      <w:start w:val="1"/>
    </w:lvl>
    <w:lvl w:ilvl="1">
      <w:lvlJc w:val="left"/>
      <w:lvlText w:val="(%2)"/>
      <w:numFmt w:val="lowerRoman"/>
      <w:start w:val="4"/>
    </w:lvl>
  </w:abstractNum>
  <w:abstractNum w:abstractNumId="173">
    <w:nsid w:val="75B52783"/>
    <w:multiLevelType w:val="hybridMultilevel"/>
    <w:lvl w:ilvl="0">
      <w:lvlJc w:val="left"/>
      <w:lvlText w:val="(%1)"/>
      <w:numFmt w:val="lowerLetter"/>
      <w:start w:val="4"/>
    </w:lvl>
    <w:lvl w:ilvl="1">
      <w:lvlJc w:val="left"/>
      <w:lvlText w:val="%2"/>
      <w:numFmt w:val="lowerRoman"/>
      <w:start w:val="1"/>
    </w:lvl>
  </w:abstractNum>
  <w:abstractNum w:abstractNumId="174">
    <w:nsid w:val="57CE66B4"/>
    <w:multiLevelType w:val="hybridMultilevel"/>
    <w:lvl w:ilvl="0">
      <w:lvlJc w:val="left"/>
      <w:lvlText w:val="(%1)"/>
      <w:numFmt w:val="lowerLetter"/>
      <w:start w:val="7"/>
    </w:lvl>
    <w:lvl w:ilvl="1">
      <w:lvlJc w:val="left"/>
      <w:lvlText w:val="(%2)"/>
      <w:numFmt w:val="lowerRoman"/>
      <w:start w:val="1"/>
    </w:lvl>
  </w:abstractNum>
  <w:abstractNum w:abstractNumId="175">
    <w:nsid w:val="67A70B69"/>
    <w:multiLevelType w:val="hybridMultilevel"/>
    <w:lvl w:ilvl="0">
      <w:lvlJc w:val="left"/>
      <w:lvlText w:val="(%1)"/>
      <w:numFmt w:val="lowerLetter"/>
      <w:start w:val="1"/>
    </w:lvl>
  </w:abstractNum>
  <w:abstractNum w:abstractNumId="176">
    <w:nsid w:val="5953172F"/>
    <w:multiLevelType w:val="hybridMultilevel"/>
    <w:lvl w:ilvl="0">
      <w:lvlJc w:val="left"/>
      <w:lvlText w:val="(%1)"/>
      <w:numFmt w:val="lowerLetter"/>
      <w:start w:val="2"/>
    </w:lvl>
    <w:lvl w:ilvl="1">
      <w:lvlJc w:val="left"/>
      <w:lvlText w:val="(%2)"/>
      <w:numFmt w:val="lowerLetter"/>
      <w:start w:val="9"/>
    </w:lvl>
  </w:abstractNum>
  <w:abstractNum w:abstractNumId="177">
    <w:nsid w:val="27EDFE3A"/>
    <w:multiLevelType w:val="hybridMultilevel"/>
    <w:lvl w:ilvl="0">
      <w:lvlJc w:val="left"/>
      <w:lvlText w:val="%1"/>
      <w:numFmt w:val="lowerLetter"/>
      <w:start w:val="1"/>
    </w:lvl>
    <w:lvl w:ilvl="1">
      <w:lvlJc w:val="left"/>
      <w:lvlText w:val="(%2)"/>
      <w:numFmt w:val="lowerLetter"/>
      <w:start w:val="35"/>
    </w:lvl>
  </w:abstractNum>
  <w:abstractNum w:abstractNumId="178">
    <w:nsid w:val="52AC7DFF"/>
    <w:multiLevelType w:val="hybridMultilevel"/>
    <w:lvl w:ilvl="0">
      <w:lvlJc w:val="left"/>
      <w:lvlText w:val="(%1)"/>
      <w:numFmt w:val="lowerLetter"/>
      <w:start w:val="4"/>
    </w:lvl>
    <w:lvl w:ilvl="1">
      <w:lvlJc w:val="left"/>
      <w:lvlText w:val="%2"/>
      <w:numFmt w:val="lowerLetter"/>
      <w:start w:val="1"/>
    </w:lvl>
  </w:abstractNum>
  <w:abstractNum w:abstractNumId="179">
    <w:nsid w:val="C4C3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80">
    <w:nsid w:val="4438072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181">
    <w:nsid w:val="6C053B16"/>
    <w:multiLevelType w:val="hybridMultilevel"/>
    <w:lvl w:ilvl="0">
      <w:lvlJc w:val="left"/>
      <w:lvlText w:val="(%1)"/>
      <w:numFmt w:val="lowerRoman"/>
      <w:start w:val="2"/>
    </w:lvl>
  </w:abstractNum>
  <w:abstractNum w:abstractNumId="182">
    <w:nsid w:val="4F294393"/>
    <w:multiLevelType w:val="hybridMultilevel"/>
    <w:lvl w:ilvl="0">
      <w:lvlJc w:val="left"/>
      <w:lvlText w:val="%1"/>
      <w:numFmt w:val="lowerLetter"/>
      <w:start w:val="1"/>
    </w:lvl>
    <w:lvl w:ilvl="1">
      <w:lvlJc w:val="left"/>
      <w:lvlText w:val="(%2)"/>
      <w:numFmt w:val="lowerRoman"/>
      <w:start w:val="4"/>
    </w:lvl>
  </w:abstractNum>
  <w:abstractNum w:abstractNumId="183">
    <w:nsid w:val="5243BFAC"/>
    <w:multiLevelType w:val="hybridMultilevel"/>
    <w:lvl w:ilvl="0">
      <w:lvlJc w:val="left"/>
      <w:lvlText w:val="(%1)"/>
      <w:numFmt w:val="lowerLetter"/>
      <w:start w:val="2"/>
    </w:lvl>
    <w:lvl w:ilvl="1">
      <w:lvlJc w:val="left"/>
      <w:lvlText w:val="%2"/>
      <w:numFmt w:val="lowerRoman"/>
      <w:start w:val="1"/>
    </w:lvl>
  </w:abstractNum>
  <w:abstractNum w:abstractNumId="184">
    <w:nsid w:val="425EB207"/>
    <w:multiLevelType w:val="hybridMultilevel"/>
    <w:lvl w:ilvl="0">
      <w:lvlJc w:val="left"/>
      <w:lvlText w:val="(%1)"/>
      <w:numFmt w:val="lowerLetter"/>
      <w:start w:val="2"/>
    </w:lvl>
  </w:abstractNum>
  <w:abstractNum w:abstractNumId="185">
    <w:nsid w:val="334A6F1F"/>
    <w:multiLevelType w:val="hybridMultilevel"/>
    <w:lvl w:ilvl="0">
      <w:lvlJc w:val="left"/>
      <w:lvlText w:val="%1"/>
      <w:numFmt w:val="upperLetter"/>
      <w:start w:val="1"/>
    </w:lvl>
    <w:lvl w:ilvl="1">
      <w:lvlJc w:val="left"/>
      <w:lvlText w:val="(%2)"/>
      <w:numFmt w:val="lowerLetter"/>
      <w:start w:val="4"/>
    </w:lvl>
  </w:abstractNum>
  <w:abstractNum w:abstractNumId="186">
    <w:nsid w:val="2E5B12B8"/>
    <w:multiLevelType w:val="hybridMultilevel"/>
    <w:lvl w:ilvl="0">
      <w:lvlJc w:val="left"/>
      <w:lvlText w:val="(%1)"/>
      <w:numFmt w:val="upperLetter"/>
      <w:start w:val="4"/>
    </w:lvl>
    <w:lvl w:ilvl="1">
      <w:lvlJc w:val="left"/>
      <w:lvlText w:val="(%2)"/>
      <w:numFmt w:val="lowerLetter"/>
      <w:start w:val="5"/>
    </w:lvl>
  </w:abstractNum>
  <w:abstractNum w:abstractNumId="187">
    <w:nsid w:val="5C03D76D"/>
    <w:multiLevelType w:val="hybridMultilevel"/>
    <w:lvl w:ilvl="0">
      <w:lvlJc w:val="left"/>
      <w:lvlText w:val="(%1)"/>
      <w:numFmt w:val="lowerLetter"/>
      <w:start w:val="1"/>
    </w:lvl>
  </w:abstractNum>
  <w:abstractNum w:abstractNumId="188">
    <w:nsid w:val="66A48D11"/>
    <w:multiLevelType w:val="hybridMultilevel"/>
    <w:lvl w:ilvl="0">
      <w:lvlJc w:val="left"/>
      <w:lvlText w:val="(%1)"/>
      <w:numFmt w:val="lowerLetter"/>
      <w:start w:val="2"/>
    </w:lvl>
    <w:lvl w:ilvl="1">
      <w:lvlJc w:val="left"/>
      <w:lvlText w:val="(%2)"/>
      <w:numFmt w:val="lowerRoman"/>
      <w:start w:val="1"/>
    </w:lvl>
  </w:abstractNum>
  <w:abstractNum w:abstractNumId="189">
    <w:nsid w:val="56C28E34"/>
    <w:multiLevelType w:val="hybridMultilevel"/>
    <w:lvl w:ilvl="0">
      <w:lvlJc w:val="left"/>
      <w:lvlText w:val="(%1)"/>
      <w:numFmt w:val="lowerLetter"/>
      <w:start w:val="6"/>
    </w:lvl>
  </w:abstractNum>
  <w:abstractNum w:abstractNumId="190">
    <w:nsid w:val="13916F2D"/>
    <w:multiLevelType w:val="hybridMultilevel"/>
    <w:lvl w:ilvl="0">
      <w:lvlJc w:val="left"/>
      <w:lvlText w:val="(%1)"/>
      <w:numFmt w:val="lowerLetter"/>
      <w:start w:val="1"/>
    </w:lvl>
  </w:abstractNum>
  <w:abstractNum w:abstractNumId="191">
    <w:nsid w:val="435D38D"/>
    <w:multiLevelType w:val="hybridMultilevel"/>
    <w:lvl w:ilvl="0">
      <w:lvlJc w:val="left"/>
      <w:lvlText w:val="(%1)"/>
      <w:numFmt w:val="lowerLetter"/>
      <w:start w:val="2"/>
    </w:lvl>
  </w:abstractNum>
  <w:abstractNum w:abstractNumId="192">
    <w:nsid w:val="822C0EF"/>
    <w:multiLevelType w:val="hybridMultilevel"/>
    <w:lvl w:ilvl="0">
      <w:lvlJc w:val="left"/>
      <w:lvlText w:val="(%1)"/>
      <w:numFmt w:val="lowerLetter"/>
      <w:start w:val="2"/>
    </w:lvl>
  </w:abstractNum>
  <w:abstractNum w:abstractNumId="193">
    <w:nsid w:val="57C5BB4F"/>
    <w:multiLevelType w:val="hybridMultilevel"/>
    <w:lvl w:ilvl="0">
      <w:lvlJc w:val="left"/>
      <w:lvlText w:val="%1"/>
      <w:numFmt w:val="upperLetter"/>
      <w:start w:val="1"/>
    </w:lvl>
    <w:lvl w:ilvl="1">
      <w:lvlJc w:val="left"/>
      <w:lvlText w:val="(%2)"/>
      <w:numFmt w:val="lowerRoman"/>
      <w:start w:val="1"/>
    </w:lvl>
  </w:abstractNum>
  <w:abstractNum w:abstractNumId="194">
    <w:nsid w:val="1803D089"/>
    <w:multiLevelType w:val="hybridMultilevel"/>
    <w:lvl w:ilvl="0">
      <w:lvlJc w:val="left"/>
      <w:lvlText w:val="(%1)"/>
      <w:numFmt w:val="upperLetter"/>
      <w:start w:val="2"/>
    </w:lvl>
    <w:lvl w:ilvl="1">
      <w:lvlJc w:val="left"/>
      <w:lvlText w:val="(%2)"/>
      <w:numFmt w:val="lowerRoman"/>
      <w:start w:val="3"/>
    </w:lvl>
  </w:abstractNum>
  <w:abstractNum w:abstractNumId="195">
    <w:nsid w:val="4F3A06D4"/>
    <w:multiLevelType w:val="hybridMultilevel"/>
    <w:lvl w:ilvl="0">
      <w:lvlJc w:val="left"/>
      <w:lvlText w:val="(%1)"/>
      <w:numFmt w:val="lowerLetter"/>
      <w:start w:val="2"/>
    </w:lvl>
  </w:abstractNum>
  <w:abstractNum w:abstractNumId="196">
    <w:nsid w:val="59A377B6"/>
    <w:multiLevelType w:val="hybridMultilevel"/>
    <w:lvl w:ilvl="0">
      <w:lvlJc w:val="left"/>
      <w:lvlText w:val="(%1)"/>
      <w:numFmt w:val="lowerLetter"/>
      <w:start w:val="2"/>
    </w:lvl>
  </w:abstractNum>
  <w:abstractNum w:abstractNumId="197">
    <w:nsid w:val="48AEB063"/>
    <w:multiLevelType w:val="hybridMultilevel"/>
    <w:lvl w:ilvl="0">
      <w:lvlJc w:val="left"/>
      <w:lvlText w:val="(%1)"/>
      <w:numFmt w:val="lowerLetter"/>
      <w:start w:val="2"/>
    </w:lvl>
  </w:abstractNum>
  <w:abstractNum w:abstractNumId="198">
    <w:nsid w:val="24E135"/>
    <w:multiLevelType w:val="hybridMultilevel"/>
    <w:lvl w:ilvl="0">
      <w:lvlJc w:val="left"/>
      <w:lvlText w:val="(%1)"/>
      <w:numFmt w:val="lowerLetter"/>
      <w:start w:val="2"/>
    </w:lvl>
  </w:abstractNum>
  <w:abstractNum w:abstractNumId="199">
    <w:nsid w:val="BB13C1"/>
    <w:multiLevelType w:val="hybridMultilevel"/>
    <w:lvl w:ilvl="0">
      <w:lvlJc w:val="left"/>
      <w:lvlText w:val="(%1)"/>
      <w:numFmt w:val="lowerLetter"/>
      <w:start w:val="1"/>
    </w:lvl>
  </w:abstractNum>
  <w:abstractNum w:abstractNumId="200">
    <w:nsid w:val="271210C7"/>
    <w:multiLevelType w:val="hybridMultilevel"/>
    <w:lvl w:ilvl="0">
      <w:lvlJc w:val="left"/>
      <w:lvlText w:val="%1"/>
      <w:numFmt w:val="decimal"/>
      <w:start w:val="1"/>
    </w:lvl>
    <w:lvl w:ilvl="1">
      <w:lvlJc w:val="left"/>
      <w:lvlText w:val="(%2)"/>
      <w:numFmt w:val="lowerLetter"/>
      <w:start w:val="2"/>
    </w:lvl>
  </w:abstractNum>
  <w:abstractNum w:abstractNumId="201">
    <w:nsid w:val="217B22E4"/>
    <w:multiLevelType w:val="hybridMultilevel"/>
    <w:lvl w:ilvl="0">
      <w:lvlJc w:val="left"/>
      <w:lvlText w:val="(%1)"/>
      <w:numFmt w:val="decimal"/>
      <w:start w:val="2"/>
    </w:lvl>
    <w:lvl w:ilvl="1">
      <w:lvlJc w:val="left"/>
      <w:lvlText w:val="(%2)"/>
      <w:numFmt w:val="lowerLetter"/>
      <w:start w:val="3"/>
    </w:lvl>
  </w:abstractNum>
  <w:abstractNum w:abstractNumId="202">
    <w:nsid w:val="53E31A24"/>
    <w:multiLevelType w:val="hybridMultilevel"/>
    <w:lvl w:ilvl="0">
      <w:lvlJc w:val="left"/>
      <w:lvlText w:val="(%1)"/>
      <w:numFmt w:val="lowerLetter"/>
      <w:start w:val="4"/>
    </w:lvl>
  </w:abstractNum>
  <w:abstractNum w:abstractNumId="203">
    <w:nsid w:val="6DC45E83"/>
    <w:multiLevelType w:val="hybridMultilevel"/>
    <w:lvl w:ilvl="0">
      <w:lvlJc w:val="left"/>
      <w:lvlText w:val="(%1)"/>
      <w:numFmt w:val="lowerLetter"/>
      <w:start w:val="1"/>
    </w:lvl>
    <w:lvl w:ilvl="1">
      <w:lvlJc w:val="left"/>
      <w:lvlText w:val="(%2)"/>
      <w:numFmt w:val="lowerRoman"/>
      <w:start w:val="1"/>
    </w:lvl>
  </w:abstractNum>
  <w:abstractNum w:abstractNumId="204">
    <w:nsid w:val="17304A67"/>
    <w:multiLevelType w:val="hybridMultilevel"/>
    <w:lvl w:ilvl="0">
      <w:lvlJc w:val="left"/>
      <w:lvlText w:val="%1."/>
      <w:numFmt w:val="decimal"/>
      <w:start w:val="1"/>
    </w:lvl>
  </w:abstractNum>
  <w:abstractNum w:abstractNumId="205">
    <w:nsid w:val="2BB180D8"/>
    <w:multiLevelType w:val="hybridMultilevel"/>
    <w:lvl w:ilvl="0">
      <w:lvlJc w:val="left"/>
      <w:lvlText w:val="(%1)"/>
      <w:numFmt w:val="lowerLetter"/>
      <w:start w:val="1"/>
    </w:lvl>
  </w:abstractNum>
  <w:abstractNum w:abstractNumId="206">
    <w:nsid w:val="556B69ED"/>
    <w:multiLevelType w:val="hybridMultilevel"/>
    <w:lvl w:ilvl="0">
      <w:lvlJc w:val="left"/>
      <w:lvlText w:val="(%1)"/>
      <w:numFmt w:val="lowerLetter"/>
      <w:start w:val="2"/>
    </w:lvl>
  </w:abstractNum>
  <w:abstractNum w:abstractNumId="207">
    <w:nsid w:val="70836196"/>
    <w:multiLevelType w:val="hybridMultilevel"/>
    <w:lvl w:ilvl="0">
      <w:lvlJc w:val="left"/>
      <w:lvlText w:val="%1."/>
      <w:numFmt w:val="decimal"/>
      <w:start w:val="3"/>
    </w:lvl>
  </w:abstractNum>
  <w:abstractNum w:abstractNumId="208">
    <w:nsid w:val="539F7F12"/>
    <w:multiLevelType w:val="hybridMultilevel"/>
    <w:lvl w:ilvl="0">
      <w:lvlJc w:val="left"/>
      <w:lvlText w:val="(%1)"/>
      <w:numFmt w:val="lowerLetter"/>
      <w:start w:val="1"/>
    </w:lvl>
  </w:abstractNum>
  <w:abstractNum w:abstractNumId="209">
    <w:nsid w:val="2817E7EC"/>
    <w:multiLevelType w:val="hybridMultilevel"/>
    <w:lvl w:ilvl="0">
      <w:lvlJc w:val="left"/>
      <w:lvlText w:val="(%1)"/>
      <w:numFmt w:val="lowerLetter"/>
      <w:start w:val="35"/>
    </w:lvl>
  </w:abstractNum>
  <w:abstractNum w:abstractNumId="210">
    <w:nsid w:val="71482545"/>
    <w:multiLevelType w:val="hybridMultilevel"/>
    <w:lvl w:ilvl="0">
      <w:lvlJc w:val="left"/>
      <w:lvlText w:val="(%1)"/>
      <w:numFmt w:val="lowerLetter"/>
      <w:start w:val="2"/>
    </w:lvl>
  </w:abstractNum>
  <w:abstractNum w:abstractNumId="211">
    <w:nsid w:val="17D78639"/>
    <w:multiLevelType w:val="hybridMultilevel"/>
    <w:lvl w:ilvl="0">
      <w:lvlJc w:val="left"/>
      <w:lvlText w:val="(%1)"/>
      <w:numFmt w:val="lowerLetter"/>
      <w:start w:val="3"/>
    </w:lvl>
  </w:abstractNum>
  <w:abstractNum w:abstractNumId="212">
    <w:nsid w:val="141D2302"/>
    <w:multiLevelType w:val="hybridMultilevel"/>
    <w:lvl w:ilvl="0">
      <w:lvlJc w:val="left"/>
      <w:lvlText w:val="%1."/>
      <w:numFmt w:val="decimal"/>
      <w:start w:val="5"/>
    </w:lvl>
  </w:abstractNum>
  <w:abstractNum w:abstractNumId="213">
    <w:nsid w:val="407168D8"/>
    <w:multiLevelType w:val="hybridMultilevel"/>
    <w:lvl w:ilvl="0">
      <w:lvlJc w:val="left"/>
      <w:lvlText w:val="(%1)"/>
      <w:numFmt w:val="lowerLetter"/>
      <w:start w:val="1"/>
    </w:lvl>
  </w:abstractNum>
  <w:abstractNum w:abstractNumId="214">
    <w:nsid w:val="6A1B45E5"/>
    <w:multiLevelType w:val="hybridMultilevel"/>
    <w:lvl w:ilvl="0">
      <w:lvlJc w:val="left"/>
      <w:lvlText w:val="(%1)"/>
      <w:numFmt w:val="lowerLetter"/>
      <w:start w:val="7"/>
    </w:lvl>
  </w:abstractNum>
  <w:abstractNum w:abstractNumId="215">
    <w:nsid w:val="567BD50A"/>
    <w:multiLevelType w:val="hybridMultilevel"/>
    <w:lvl w:ilvl="0">
      <w:lvlJc w:val="left"/>
      <w:lvlText w:val="(%1)"/>
      <w:numFmt w:val="lowerLetter"/>
      <w:start w:val="4"/>
    </w:lvl>
  </w:abstractNum>
  <w:abstractNum w:abstractNumId="216">
    <w:nsid w:val="73BBD7F8"/>
    <w:multiLevelType w:val="hybridMultilevel"/>
    <w:lvl w:ilvl="0">
      <w:lvlJc w:val="left"/>
      <w:lvlText w:val="%1."/>
      <w:numFmt w:val="decimal"/>
      <w:start w:val="6"/>
    </w:lvl>
  </w:abstractNum>
  <w:abstractNum w:abstractNumId="217">
    <w:nsid w:val="1876589D"/>
    <w:multiLevelType w:val="hybridMultilevel"/>
    <w:lvl w:ilvl="0">
      <w:lvlJc w:val="left"/>
      <w:lvlText w:val="%1."/>
      <w:numFmt w:val="decimal"/>
      <w:start w:val="7"/>
    </w:lvl>
  </w:abstractNum>
  <w:abstractNum w:abstractNumId="218">
    <w:nsid w:val="327FAC77"/>
    <w:multiLevelType w:val="hybridMultilevel"/>
    <w:lvl w:ilvl="0">
      <w:lvlJc w:val="left"/>
      <w:lvlText w:val="%1."/>
      <w:numFmt w:val="decimal"/>
      <w:start w:val="11"/>
    </w:lvl>
  </w:abstractNum>
  <w:abstractNum w:abstractNumId="219">
    <w:nsid w:val="5A606509"/>
    <w:multiLevelType w:val="hybridMultilevel"/>
    <w:lvl w:ilvl="0">
      <w:lvlJc w:val="left"/>
      <w:lvlText w:val="%1."/>
      <w:numFmt w:val="decimal"/>
      <w:start w:val="18"/>
    </w:lvl>
  </w:abstractNum>
  <w:abstractNum w:abstractNumId="220">
    <w:nsid w:val="6F38E6D1"/>
    <w:multiLevelType w:val="hybridMultilevel"/>
    <w:lvl w:ilvl="0">
      <w:lvlJc w:val="left"/>
      <w:lvlText w:val="%1."/>
      <w:numFmt w:val="decimal"/>
      <w:start w:val="1"/>
    </w:lvl>
    <w:lvl w:ilvl="1">
      <w:lvlJc w:val="left"/>
      <w:lvlText w:val="(%2)"/>
      <w:numFmt w:val="lowerLetter"/>
      <w:start w:val="1"/>
    </w:lvl>
  </w:abstractNum>
  <w:abstractNum w:abstractNumId="221">
    <w:nsid w:val="46111BA5"/>
    <w:multiLevelType w:val="hybridMultilevel"/>
    <w:lvl w:ilvl="0">
      <w:lvlJc w:val="left"/>
      <w:lvlText w:val="(%1)"/>
      <w:numFmt w:val="lowerLetter"/>
      <w:start w:val="2"/>
    </w:lvl>
  </w:abstractNum>
  <w:abstractNum w:abstractNumId="222">
    <w:nsid w:val="5E963896"/>
    <w:multiLevelType w:val="hybridMultilevel"/>
    <w:lvl w:ilvl="0">
      <w:lvlJc w:val="left"/>
      <w:lvlText w:val="(%1)"/>
      <w:numFmt w:val="lowerLetter"/>
      <w:start w:val="5"/>
    </w:lvl>
  </w:abstractNum>
  <w:abstractNum w:abstractNumId="223">
    <w:nsid w:val="775BA7C1"/>
    <w:multiLevelType w:val="hybridMultilevel"/>
    <w:lvl w:ilvl="0">
      <w:lvlJc w:val="left"/>
      <w:lvlText w:val="%1"/>
      <w:numFmt w:val="decimal"/>
      <w:start w:val="1"/>
    </w:lvl>
    <w:lvl w:ilvl="1">
      <w:lvlJc w:val="left"/>
      <w:lvlText w:val="(%2)"/>
      <w:numFmt w:val="lowerLetter"/>
      <w:start w:val="10"/>
    </w:lvl>
  </w:abstractNum>
  <w:abstractNum w:abstractNumId="224">
    <w:nsid w:val="1DD6D6F4"/>
    <w:multiLevelType w:val="hybridMultilevel"/>
    <w:lvl w:ilvl="0">
      <w:lvlJc w:val="left"/>
      <w:lvlText w:val="%1."/>
      <w:numFmt w:val="decimal"/>
      <w:start w:val="2"/>
    </w:lvl>
    <w:lvl w:ilvl="1">
      <w:lvlJc w:val="left"/>
      <w:lvlText w:val="%2"/>
      <w:numFmt w:val="lowerLetter"/>
      <w:start w:val="1"/>
    </w:lvl>
  </w:abstractNum>
  <w:abstractNum w:abstractNumId="225">
    <w:nsid w:val="769A091F"/>
    <w:multiLevelType w:val="hybridMultilevel"/>
    <w:lvl w:ilvl="0">
      <w:lvlJc w:val="left"/>
      <w:lvlText w:val="(%1)"/>
      <w:numFmt w:val="lowerLetter"/>
      <w:start w:val="1"/>
    </w:lvl>
  </w:abstractNum>
  <w:abstractNum w:abstractNumId="226">
    <w:nsid w:val="4695AE95"/>
    <w:multiLevelType w:val="hybridMultilevel"/>
    <w:lvl w:ilvl="0">
      <w:lvlJc w:val="left"/>
      <w:lvlText w:val="%1"/>
      <w:numFmt w:val="decimal"/>
      <w:start w:val="1"/>
    </w:lvl>
    <w:lvl w:ilvl="1">
      <w:lvlJc w:val="left"/>
      <w:lvlText w:val="(%2)"/>
      <w:numFmt w:val="lowerLetter"/>
      <w:start w:val="6"/>
    </w:lvl>
  </w:abstractNum>
  <w:abstractNum w:abstractNumId="227">
    <w:nsid w:val="777A4EAA"/>
    <w:multiLevelType w:val="hybridMultilevel"/>
    <w:lvl w:ilvl="0">
      <w:lvlJc w:val="left"/>
      <w:lvlText w:val="%1."/>
      <w:numFmt w:val="decimal"/>
      <w:start w:val="3"/>
    </w:lvl>
    <w:lvl w:ilvl="1">
      <w:lvlJc w:val="left"/>
      <w:lvlText w:val="(%2)"/>
      <w:numFmt w:val="lowerLetter"/>
      <w:start w:val="1"/>
    </w:lvl>
  </w:abstractNum>
  <w:abstractNum w:abstractNumId="228">
    <w:nsid w:val="3F48B982"/>
    <w:multiLevelType w:val="hybridMultilevel"/>
    <w:lvl w:ilvl="0">
      <w:lvlJc w:val="left"/>
      <w:lvlText w:val="%1"/>
      <w:numFmt w:val="decimal"/>
      <w:start w:val="1"/>
    </w:lvl>
    <w:lvl w:ilvl="1">
      <w:lvlJc w:val="left"/>
      <w:lvlText w:val="(%2)"/>
      <w:numFmt w:val="lowerLetter"/>
      <w:start w:val="7"/>
    </w:lvl>
  </w:abstractNum>
  <w:abstractNum w:abstractNumId="229">
    <w:nsid w:val="46BA8FCA"/>
    <w:multiLevelType w:val="hybridMultilevel"/>
    <w:lvl w:ilvl="0">
      <w:lvlJc w:val="left"/>
      <w:lvlText w:val="%1."/>
      <w:numFmt w:val="decimal"/>
      <w:start w:val="4"/>
    </w:lvl>
    <w:lvl w:ilvl="1">
      <w:lvlJc w:val="left"/>
      <w:lvlText w:val="(%2)"/>
      <w:numFmt w:val="lowerLetter"/>
      <w:start w:val="1"/>
    </w:lvl>
  </w:abstractNum>
  <w:abstractNum w:abstractNumId="230">
    <w:nsid w:val="7835626C"/>
    <w:multiLevelType w:val="hybridMultilevel"/>
    <w:lvl w:ilvl="0">
      <w:lvlJc w:val="left"/>
      <w:lvlText w:val="%1"/>
      <w:numFmt w:val="decimal"/>
      <w:start w:val="1"/>
    </w:lvl>
    <w:lvl w:ilvl="1">
      <w:lvlJc w:val="left"/>
      <w:lvlText w:val="(%2)"/>
      <w:numFmt w:val="lowerLetter"/>
      <w:start w:val="2"/>
    </w:lvl>
  </w:abstractNum>
  <w:abstractNum w:abstractNumId="231">
    <w:nsid w:val="665ACA49"/>
    <w:multiLevelType w:val="hybridMultilevel"/>
    <w:lvl w:ilvl="0">
      <w:lvlJc w:val="left"/>
      <w:lvlText w:val="%1."/>
      <w:numFmt w:val="decimal"/>
      <w:start w:val="6"/>
    </w:lvl>
    <w:lvl w:ilvl="1">
      <w:lvlJc w:val="left"/>
      <w:lvlText w:val="(%2)"/>
      <w:numFmt w:val="lowerLetter"/>
      <w:start w:val="1"/>
    </w:lvl>
  </w:abstractNum>
  <w:abstractNum w:abstractNumId="232">
    <w:nsid w:val="6835B2AE"/>
    <w:multiLevelType w:val="hybridMultilevel"/>
    <w:lvl w:ilvl="0">
      <w:lvlJc w:val="left"/>
      <w:lvlText w:val="(%1)"/>
      <w:numFmt w:val="lowerLetter"/>
      <w:start w:val="5"/>
    </w:lvl>
  </w:abstractNum>
  <w:abstractNum w:abstractNumId="233">
    <w:nsid w:val="4C187C90"/>
    <w:multiLevelType w:val="hybridMultilevel"/>
    <w:lvl w:ilvl="0">
      <w:lvlJc w:val="left"/>
      <w:lvlText w:val="(%1)"/>
      <w:numFmt w:val="lowerLetter"/>
      <w:start w:val="7"/>
    </w:lvl>
  </w:abstractNum>
  <w:abstractNum w:abstractNumId="234">
    <w:nsid w:val="541F28CD"/>
    <w:multiLevelType w:val="hybridMultilevel"/>
    <w:lvl w:ilvl="0">
      <w:lvlJc w:val="left"/>
      <w:lvlText w:val="1"/>
      <w:numFmt w:val="bullet"/>
      <w:start w:val="1"/>
    </w:lvl>
  </w:abstractNum>
  <w:abstractNum w:abstractNumId="235">
    <w:nsid w:val="7F65FD16"/>
    <w:multiLevelType w:val="hybridMultilevel"/>
    <w:lvl w:ilvl="0">
      <w:lvlJc w:val="left"/>
      <w:lvlText w:val="%1."/>
      <w:numFmt w:val="decimal"/>
      <w:start w:val="1"/>
    </w:lvl>
  </w:abstractNum>
  <w:abstractNum w:abstractNumId="236">
    <w:nsid w:val="77C9FD68"/>
    <w:multiLevelType w:val="hybridMultilevel"/>
    <w:lvl w:ilvl="0">
      <w:lvlJc w:val="left"/>
      <w:lvlText w:val="%1"/>
      <w:numFmt w:val="decimal"/>
      <w:start w:val="1"/>
    </w:lvl>
    <w:lvl w:ilvl="1">
      <w:lvlJc w:val="left"/>
      <w:lvlText w:val="(%2)"/>
      <w:numFmt w:val="lowerRoman"/>
      <w:start w:val="2"/>
    </w:lvl>
  </w:abstractNum>
  <w:abstractNum w:abstractNumId="237">
    <w:nsid w:val="298A92BA"/>
    <w:multiLevelType w:val="hybridMultilevel"/>
    <w:lvl w:ilvl="0">
      <w:lvlJc w:val="left"/>
      <w:lvlText w:val="%1."/>
      <w:numFmt w:val="decimal"/>
      <w:start w:val="3"/>
    </w:lvl>
    <w:lvl w:ilvl="1">
      <w:lvlJc w:val="left"/>
      <w:lvlText w:val="%2"/>
      <w:numFmt w:val="lowerRoman"/>
      <w:start w:val="1"/>
    </w:lvl>
  </w:abstractNum>
  <w:abstractNum w:abstractNumId="238">
    <w:nsid w:val="6FE95EAC"/>
    <w:multiLevelType w:val="hybridMultilevel"/>
    <w:lvl w:ilvl="0">
      <w:lvlJc w:val="left"/>
      <w:lvlText w:val="%1."/>
      <w:numFmt w:val="decimal"/>
      <w:start w:val="4"/>
    </w:lvl>
  </w:abstractNum>
  <w:abstractNum w:abstractNumId="239">
    <w:nsid w:val="4B697C7A"/>
    <w:multiLevelType w:val="hybridMultilevel"/>
    <w:lvl w:ilvl="0">
      <w:lvlJc w:val="left"/>
      <w:lvlText w:val="%1."/>
      <w:numFmt w:val="decimal"/>
      <w:start w:val="6"/>
    </w:lvl>
  </w:abstractNum>
  <w:abstractNum w:abstractNumId="240">
    <w:nsid w:val="51A27AA6"/>
    <w:multiLevelType w:val="hybridMultilevel"/>
    <w:lvl w:ilvl="0">
      <w:lvlJc w:val="left"/>
      <w:lvlText w:val="(%1)"/>
      <w:numFmt w:val="lowerRoman"/>
      <w:start w:val="1"/>
    </w:lvl>
  </w:abstractNum>
  <w:abstractNum w:abstractNumId="241">
    <w:nsid w:val="613183F2"/>
    <w:multiLevelType w:val="hybridMultilevel"/>
    <w:lvl w:ilvl="0">
      <w:lvlJc w:val="left"/>
      <w:lvlText w:val="%1."/>
      <w:numFmt w:val="decimal"/>
      <w:start w:val="7"/>
    </w:lvl>
  </w:abstractNum>
  <w:abstractNum w:abstractNumId="242">
    <w:nsid w:val="634102B4"/>
    <w:multiLevelType w:val="hybridMultilevel"/>
    <w:lvl w:ilvl="0">
      <w:lvlJc w:val="left"/>
      <w:lvlText w:val="(%1)"/>
      <w:numFmt w:val="lowerRoman"/>
      <w:start w:val="1"/>
    </w:lvl>
  </w:abstractNum>
  <w:abstractNum w:abstractNumId="243">
    <w:nsid w:val="65BF9DA8"/>
    <w:multiLevelType w:val="hybridMultilevel"/>
    <w:lvl w:ilvl="0">
      <w:lvlJc w:val="left"/>
      <w:lvlText w:val="(%1)"/>
      <w:numFmt w:val="lowerRoman"/>
      <w:start w:val="1"/>
    </w:lvl>
  </w:abstractNum>
  <w:abstractNum w:abstractNumId="244">
    <w:nsid w:val="21A2ECCA"/>
    <w:multiLevelType w:val="hybridMultilevel"/>
    <w:lvl w:ilvl="0">
      <w:lvlJc w:val="left"/>
      <w:lvlText w:val="(%1)"/>
      <w:numFmt w:val="lowerRoman"/>
      <w:start w:val="1"/>
    </w:lvl>
  </w:abstractNum>
  <w:abstractNum w:abstractNumId="245">
    <w:nsid w:val="4D5C4899"/>
    <w:multiLevelType w:val="hybridMultilevel"/>
    <w:lvl w:ilvl="0">
      <w:lvlJc w:val="left"/>
      <w:lvlText w:val="(%1)"/>
      <w:numFmt w:val="lowerRoman"/>
      <w:start w:val="1"/>
    </w:lvl>
  </w:abstractNum>
  <w:abstractNum w:abstractNumId="246">
    <w:nsid w:val="3C3B72B2"/>
    <w:multiLevelType w:val="hybridMultilevel"/>
    <w:lvl w:ilvl="0">
      <w:lvlJc w:val="left"/>
      <w:lvlText w:val="(%1)"/>
      <w:numFmt w:val="lowerRoman"/>
      <w:start w:val="1"/>
    </w:lvl>
  </w:abstractNum>
  <w:abstractNum w:abstractNumId="247">
    <w:nsid w:val="155EC4C2"/>
    <w:multiLevelType w:val="hybridMultilevel"/>
    <w:lvl w:ilvl="0">
      <w:lvlJc w:val="left"/>
      <w:lvlText w:val="(%1)"/>
      <w:numFmt w:val="lowerRoman"/>
      <w:start w:val="6"/>
    </w:lvl>
  </w:abstractNum>
  <w:abstractNum w:abstractNumId="248">
    <w:nsid w:val="65D2A137"/>
    <w:multiLevelType w:val="hybridMultilevel"/>
    <w:lvl w:ilvl="0">
      <w:lvlJc w:val="left"/>
      <w:lvlText w:val="(%1)"/>
      <w:numFmt w:val="lowerRoman"/>
      <w:start w:val="3"/>
    </w:lvl>
  </w:abstractNum>
  <w:abstractNum w:abstractNumId="249">
    <w:nsid w:val="6EBB1F2A"/>
    <w:multiLevelType w:val="hybridMultilevel"/>
    <w:lvl w:ilvl="0">
      <w:lvlJc w:val="left"/>
      <w:lvlText w:val="(%1)"/>
      <w:numFmt w:val="upperLetter"/>
      <w:start w:val="1"/>
    </w:lvl>
  </w:abstractNum>
  <w:abstractNum w:abstractNumId="250">
    <w:nsid w:val="6FBF29CB"/>
    <w:multiLevelType w:val="hybridMultilevel"/>
    <w:lvl w:ilvl="0">
      <w:lvlJc w:val="left"/>
      <w:lvlText w:val="(%1)"/>
      <w:numFmt w:val="decimal"/>
      <w:start w:val="3"/>
    </w:lvl>
  </w:abstractNum>
  <w:abstractNum w:abstractNumId="251">
    <w:nsid w:val="550B8808"/>
    <w:multiLevelType w:val="hybridMultilevel"/>
    <w:lvl w:ilvl="0">
      <w:lvlJc w:val="left"/>
      <w:lvlText w:val="(%1)"/>
      <w:numFmt w:val="upperLetter"/>
      <w:start w:val="2"/>
    </w:lvl>
  </w:abstractNum>
  <w:abstractNum w:abstractNumId="252">
    <w:nsid w:val="34CC3ACF"/>
    <w:multiLevelType w:val="hybridMultilevel"/>
    <w:lvl w:ilvl="0">
      <w:lvlJc w:val="left"/>
      <w:lvlText w:val="(%1)"/>
      <w:numFmt w:val="lowerLetter"/>
      <w:start w:val="1"/>
    </w:lvl>
  </w:abstractNum>
  <w:abstractNum w:abstractNumId="253">
    <w:nsid w:val="4E556261"/>
    <w:multiLevelType w:val="hybridMultilevel"/>
    <w:lvl w:ilvl="0">
      <w:lvlJc w:val="left"/>
      <w:lvlText w:val="(%1)"/>
      <w:numFmt w:val="upperLetter"/>
      <w:start w:val="3"/>
    </w:lvl>
  </w:abstractNum>
  <w:abstractNum w:abstractNumId="254">
    <w:nsid w:val="4C672FC9"/>
    <w:multiLevelType w:val="hybridMultilevel"/>
    <w:lvl w:ilvl="0">
      <w:lvlJc w:val="left"/>
      <w:lvlText w:val="%1."/>
      <w:numFmt w:val="decimal"/>
      <w:start w:val="1"/>
    </w:lvl>
  </w:abstractNum>
  <w:abstractNum w:abstractNumId="255">
    <w:nsid w:val="52A311C3"/>
    <w:multiLevelType w:val="hybridMultilevel"/>
    <w:lvl w:ilvl="0">
      <w:lvlJc w:val="left"/>
      <w:lvlText w:val="%1."/>
      <w:numFmt w:val="decimal"/>
      <w:start w:val="3"/>
    </w:lvl>
  </w:abstractNum>
  <w:abstractNum w:abstractNumId="256">
    <w:nsid w:val="44EF6B80"/>
    <w:multiLevelType w:val="hybridMultilevel"/>
    <w:lvl w:ilvl="0">
      <w:lvlJc w:val="left"/>
      <w:lvlText w:val="%1."/>
      <w:numFmt w:val="decimal"/>
      <w:start w:val="6"/>
    </w:lvl>
  </w:abstractNum>
  <w:abstractNum w:abstractNumId="257">
    <w:nsid w:val="12FCDE5E"/>
    <w:multiLevelType w:val="hybridMultilevel"/>
    <w:lvl w:ilvl="0">
      <w:lvlJc w:val="left"/>
      <w:lvlText w:val="(%1)"/>
      <w:numFmt w:val="lowerLetter"/>
      <w:start w:val="1"/>
    </w:lvl>
  </w:abstractNum>
  <w:abstractNum w:abstractNumId="258">
    <w:nsid w:val="4A1D606E"/>
    <w:multiLevelType w:val="hybridMultilevel"/>
    <w:lvl w:ilvl="0">
      <w:lvlJc w:val="left"/>
      <w:lvlText w:val="%1."/>
      <w:numFmt w:val="decimal"/>
      <w:start w:val="8"/>
    </w:lvl>
  </w:abstractNum>
  <w:abstractNum w:abstractNumId="259">
    <w:nsid w:val="4382503"/>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260">
    <w:nsid w:val="59B76E2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lvl w:ilvl="3">
      <w:lvlJc w:val="left"/>
      <w:lvlText w:val="(%4)"/>
      <w:numFmt w:val="lowerLetter"/>
      <w:start w:val="9"/>
    </w:lvl>
  </w:abstractNum>
  <w:abstractNum w:abstractNumId="261">
    <w:nsid w:val="4252C2D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62">
    <w:nsid w:val="6A92EF4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63">
    <w:nsid w:val="41ED20D7"/>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264">
    <w:nsid w:val="E6B3F6A"/>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265">
    <w:nsid w:val="3EB21819"/>
    <w:multiLevelType w:val="hybridMultilevel"/>
    <w:lvl w:ilvl="0">
      <w:lvlJc w:val="left"/>
      <w:lvlText w:val="(%1)"/>
      <w:numFmt w:val="lowerLetter"/>
      <w:start w:val="5"/>
    </w:lvl>
  </w:abstractNum>
  <w:abstractNum w:abstractNumId="266">
    <w:nsid w:val="41531DED"/>
    <w:multiLevelType w:val="hybridMultilevel"/>
    <w:lvl w:ilvl="0">
      <w:lvlJc w:val="left"/>
      <w:lvlText w:val="(%1)"/>
      <w:numFmt w:val="lowerLetter"/>
      <w:start w:val="6"/>
    </w:lvl>
    <w:lvl w:ilvl="1">
      <w:lvlJc w:val="left"/>
      <w:lvlText w:val="(%2)"/>
      <w:numFmt w:val="lowerRoman"/>
      <w:start w:val="1"/>
    </w:lvl>
  </w:abstractNum>
  <w:abstractNum w:abstractNumId="267">
    <w:nsid w:val="6353CD2"/>
    <w:multiLevelType w:val="hybridMultilevel"/>
    <w:lvl w:ilvl="0">
      <w:lvlJc w:val="left"/>
      <w:lvlText w:val="%1."/>
      <w:numFmt w:val="decimal"/>
      <w:start w:val="10"/>
    </w:lvl>
    <w:lvl w:ilvl="1">
      <w:lvlJc w:val="left"/>
      <w:lvlText w:val="(%2)"/>
      <w:numFmt w:val="lowerLetter"/>
      <w:start w:val="1"/>
    </w:lvl>
  </w:abstractNum>
  <w:abstractNum w:abstractNumId="268">
    <w:nsid w:val="683CAAD3"/>
    <w:multiLevelType w:val="hybridMultilevel"/>
    <w:lvl w:ilvl="0">
      <w:lvlJc w:val="left"/>
      <w:lvlText w:val="%1"/>
      <w:numFmt w:val="decimal"/>
      <w:start w:val="1"/>
    </w:lvl>
    <w:lvl w:ilvl="1">
      <w:lvlJc w:val="left"/>
      <w:lvlText w:val="(%2)"/>
      <w:numFmt w:val="lowerLetter"/>
      <w:start w:val="5"/>
    </w:lvl>
  </w:abstractNum>
  <w:abstractNum w:abstractNumId="269">
    <w:nsid w:val="313C7C99"/>
    <w:multiLevelType w:val="hybridMultilevel"/>
    <w:lvl w:ilvl="0">
      <w:lvlJc w:val="left"/>
      <w:lvlText w:val="%1."/>
      <w:numFmt w:val="decimal"/>
      <w:start w:val="11"/>
    </w:lvl>
    <w:lvl w:ilvl="1">
      <w:lvlJc w:val="left"/>
      <w:lvlText w:val="(%2)"/>
      <w:numFmt w:val="lowerLetter"/>
      <w:start w:val="1"/>
    </w:lvl>
  </w:abstractNum>
  <w:abstractNum w:abstractNumId="270">
    <w:nsid w:val="519EB94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71">
    <w:nsid w:val="39DF2579"/>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72">
    <w:nsid w:val="126E008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3">
    <w:nsid w:val="34DFBC00"/>
    <w:multiLevelType w:val="hybridMultilevel"/>
    <w:lvl w:ilvl="0">
      <w:lvlJc w:val="left"/>
      <w:lvlText w:val="%1."/>
      <w:numFmt w:val="decimal"/>
      <w:start w:val="14"/>
    </w:lvl>
    <w:lvl w:ilvl="1">
      <w:lvlJc w:val="left"/>
      <w:lvlText w:val="(%2)"/>
      <w:numFmt w:val="lowerLetter"/>
      <w:start w:val="1"/>
    </w:lvl>
  </w:abstractNum>
  <w:abstractNum w:abstractNumId="274">
    <w:nsid w:val="1F9EC322"/>
    <w:multiLevelType w:val="hybridMultilevel"/>
    <w:lvl w:ilvl="0">
      <w:lvlJc w:val="left"/>
      <w:lvlText w:val="(%1)"/>
      <w:numFmt w:val="lowerLetter"/>
      <w:start w:val="7"/>
    </w:lvl>
  </w:abstractNum>
  <w:abstractNum w:abstractNumId="275">
    <w:nsid w:val="3410ED56"/>
    <w:multiLevelType w:val="hybridMultilevel"/>
    <w:lvl w:ilvl="0">
      <w:lvlJc w:val="left"/>
      <w:lvlText w:val="%1"/>
      <w:numFmt w:val="decimal"/>
      <w:start w:val="1"/>
    </w:lvl>
    <w:lvl w:ilvl="1">
      <w:lvlJc w:val="left"/>
      <w:lvlText w:val="(%2)"/>
      <w:numFmt w:val="lowerLetter"/>
      <w:start w:val="12"/>
    </w:lvl>
  </w:abstractNum>
  <w:abstractNum w:abstractNumId="276">
    <w:nsid w:val="23C049A"/>
    <w:multiLevelType w:val="hybridMultilevel"/>
    <w:lvl w:ilvl="0">
      <w:lvlJc w:val="left"/>
      <w:lvlText w:val="%1."/>
      <w:numFmt w:val="decimal"/>
      <w:start w:val="16"/>
    </w:lvl>
    <w:lvl w:ilvl="1">
      <w:lvlJc w:val="left"/>
      <w:lvlText w:val="%2"/>
      <w:numFmt w:val="lowerLetter"/>
      <w:start w:val="1"/>
    </w:lvl>
  </w:abstractNum>
  <w:abstractNum w:abstractNumId="277">
    <w:nsid w:val="5BDA35D4"/>
    <w:multiLevelType w:val="hybridMultilevel"/>
    <w:lvl w:ilvl="0">
      <w:lvlJc w:val="left"/>
      <w:lvlText w:val="%1."/>
      <w:numFmt w:val="decimal"/>
      <w:start w:val="20"/>
    </w:lvl>
  </w:abstractNum>
  <w:abstractNum w:abstractNumId="278">
    <w:nsid w:val="496FB218"/>
    <w:multiLevelType w:val="hybridMultilevel"/>
    <w:lvl w:ilvl="0">
      <w:lvlJc w:val="left"/>
      <w:lvlText w:val="%1."/>
      <w:numFmt w:val="decimal"/>
      <w:start w:val="22"/>
    </w:lvl>
  </w:abstractNum>
  <w:abstractNum w:abstractNumId="279">
    <w:nsid w:val="680EA5D1"/>
    <w:multiLevelType w:val="hybridMultilevel"/>
    <w:lvl w:ilvl="0">
      <w:lvlJc w:val="left"/>
      <w:lvlText w:val="%1."/>
      <w:numFmt w:val="decimal"/>
      <w:start w:val="1"/>
    </w:lvl>
  </w:abstractNum>
  <w:abstractNum w:abstractNumId="280">
    <w:nsid w:val="4A9554FE"/>
    <w:multiLevelType w:val="hybridMultilevel"/>
    <w:lvl w:ilvl="0">
      <w:lvlJc w:val="left"/>
      <w:lvlText w:val="(%1)"/>
      <w:numFmt w:val="lowerLetter"/>
      <w:start w:val="1"/>
    </w:lvl>
  </w:abstractNum>
  <w:abstractNum w:abstractNumId="281">
    <w:nsid w:val="392EDBE4"/>
    <w:multiLevelType w:val="hybridMultilevel"/>
    <w:lvl w:ilvl="0">
      <w:lvlJc w:val="left"/>
      <w:lvlText w:val="%1."/>
      <w:numFmt w:val="decimal"/>
      <w:start w:val="6"/>
    </w:lvl>
  </w:abstractNum>
  <w:abstractNum w:abstractNumId="282">
    <w:nsid w:val="3D1A2DD9"/>
    <w:multiLevelType w:val="hybridMultilevel"/>
    <w:lvl w:ilvl="0">
      <w:lvlJc w:val="left"/>
      <w:lvlText w:val="(%1)"/>
      <w:numFmt w:val="lowerLetter"/>
      <w:start w:val="1"/>
    </w:lvl>
  </w:abstractNum>
  <w:abstractNum w:abstractNumId="283">
    <w:nsid w:val="7F618FCD"/>
    <w:multiLevelType w:val="hybridMultilevel"/>
    <w:lvl w:ilvl="0">
      <w:lvlJc w:val="left"/>
      <w:lvlText w:val="%1."/>
      <w:numFmt w:val="decimal"/>
      <w:start w:val="7"/>
    </w:lvl>
  </w:abstractNum>
  <w:abstractNum w:abstractNumId="284">
    <w:nsid w:val="7843E45"/>
    <w:multiLevelType w:val="hybridMultilevel"/>
    <w:lvl w:ilvl="0">
      <w:lvlJc w:val="left"/>
      <w:lvlText w:val="%1."/>
      <w:numFmt w:val="decimal"/>
      <w:start w:val="12"/>
    </w:lvl>
  </w:abstractNum>
  <w:abstractNum w:abstractNumId="285">
    <w:nsid w:val="9815DA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2021-05-21T05:21:35Z</dcterms:created>
  <dcterms:modified xsi:type="dcterms:W3CDTF">2021-05-21T05:21:35Z</dcterms:modified>
</cp:coreProperties>
</file>