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6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15, 2026</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120" w:after="283"/>
        <w:jc w:val="center"/>
        <w:rPr>
          <w:rFonts w:ascii="Times New Roman;serif" w:hAnsi="Times New Roman;serif"/>
          <w:b/>
          <w:color w:val="000000"/>
          <w:sz w:val="48"/>
        </w:rPr>
      </w:pPr>
      <w:r>
        <w:rPr>
          <w:rFonts w:ascii="Times New Roman;serif" w:hAnsi="Times New Roman;serif"/>
          <w:b/>
          <w:color w:val="000000"/>
          <w:sz w:val="48"/>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001-40440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20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2 Corporate Drive, First Floor</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76" w:before="20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239-2030</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0" w:after="4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22" w:type="dxa"/>
        <w:jc w:val="center"/>
        <w:tblInd w:w="0" w:type="dxa"/>
        <w:tblLayout w:type="fixed"/>
        <w:tblCellMar>
          <w:top w:w="28" w:type="dxa"/>
          <w:left w:w="28" w:type="dxa"/>
          <w:bottom w:w="28" w:type="dxa"/>
          <w:right w:w="28" w:type="dxa"/>
        </w:tblCellMar>
      </w:tblPr>
      <w:tblGrid>
        <w:gridCol w:w="1388"/>
        <w:gridCol w:w="1217"/>
        <w:gridCol w:w="1234"/>
        <w:gridCol w:w="109"/>
        <w:gridCol w:w="109"/>
        <w:gridCol w:w="109"/>
        <w:gridCol w:w="274"/>
        <w:gridCol w:w="274"/>
        <w:gridCol w:w="276"/>
        <w:gridCol w:w="109"/>
        <w:gridCol w:w="109"/>
        <w:gridCol w:w="109"/>
        <w:gridCol w:w="733"/>
        <w:gridCol w:w="733"/>
        <w:gridCol w:w="1039"/>
      </w:tblGrid>
      <w:tr>
        <w:trPr/>
        <w:tc>
          <w:tcPr>
            <w:tcW w:w="138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Capital Market</w:t>
            </w:r>
          </w:p>
        </w:tc>
      </w:tr>
    </w:tbl>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 On October 15, 2026, Senti Biosciences Holdings, Inc. (the “Company”) reconvened its virtual 2026 Annual Meeting of Stockholders (the “Annual Meeting”), which had been adjourned from October 8, 2026. The proposals set forth below were submitted to the stockholders at the Annual Meeting and are further described in the Company’s definitive proxy statement on Schedule 14A filed with the United States Securities and Exchange Commission on September 24, 2026 (the “Proxy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reconvened Annual Meeting, the Company’s stockholders: (i) elected three Class I directors, Timothy Lu, M.D., Ph.D., Edward Mathers, and Frances D. Schulz, to the Company’s board of directors (the “Board”), to serve until the 2029 annual meeting of stockholders and until their successors have been duly elected and qualified, or until their earlier death, resignation, or removal, (ii) ratified the appointment of KPMG LLP as the Company’s independent registered public accounting firm for the fiscal year ending December 31, 2026, (iii) approved under Nasdaq Listing Rule 5635(d) the issuance of more than 19.99% of the outstanding shares of the Company’s common stock upon exchange of the Senior Secured Convertible Notes of Senti Holdings, Inc. (“Midco”), (iv) approved the Agreement and Plan of Merger, dated as of July 14, 2026 (the “Merger Agreement”), by and among ST NewCo Limited (f/k/a Celadon Partners SPV 35 Limited) (“Parent”), Senti Merger Sub, Inc. (“Merger Sub”), the Company, Midco, and Senti Biosciences, Inc., and the transactions contemplated by the Merger Agreement (the “Merger Agreement Proposal”), and (v) approved an amendment to the Company’s Amended and Restated Certificate of Incorporation to effect a reverse stock split of the Company’s common stock at a ratio ranging from any whole number between 1-for-20 and 1-for-50, as determined by the Board in its discretion, subject to the Board’s authority to abandon such amendments. For more information about the foregoing proposals, see the Proxy Statement.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Represented in person or by proxy at the Annual Meeting were 20,240,055 shares of the Company’s common stock, out of 31,145,390 shares entitled to vote at the Annual Meeting, or approximately 64.98% of the total number of shares outstanding as of the record date. The results of the matters submitted to a stockholder vote at the Annual Meeting were as follows:</w:t>
      </w:r>
    </w:p>
    <w:p>
      <w:pPr>
        <w:pStyle w:val="TextBody"/>
        <w:bidi w:val="0"/>
        <w:spacing w:before="0" w:after="0"/>
        <w:jc w:val="both"/>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1.Election of directors:</w:t>
      </w:r>
    </w:p>
    <w:tbl>
      <w:tblPr>
        <w:tblW w:w="7269" w:type="dxa"/>
        <w:jc w:val="left"/>
        <w:tblInd w:w="0" w:type="dxa"/>
        <w:tblLayout w:type="fixed"/>
        <w:tblCellMar>
          <w:top w:w="28" w:type="dxa"/>
          <w:left w:w="28" w:type="dxa"/>
          <w:bottom w:w="28" w:type="dxa"/>
          <w:right w:w="28" w:type="dxa"/>
        </w:tblCellMar>
      </w:tblPr>
      <w:tblGrid>
        <w:gridCol w:w="765"/>
        <w:gridCol w:w="671"/>
        <w:gridCol w:w="678"/>
        <w:gridCol w:w="109"/>
        <w:gridCol w:w="109"/>
        <w:gridCol w:w="109"/>
        <w:gridCol w:w="540"/>
        <w:gridCol w:w="541"/>
        <w:gridCol w:w="141"/>
        <w:gridCol w:w="109"/>
        <w:gridCol w:w="109"/>
        <w:gridCol w:w="109"/>
        <w:gridCol w:w="488"/>
        <w:gridCol w:w="488"/>
        <w:gridCol w:w="296"/>
        <w:gridCol w:w="109"/>
        <w:gridCol w:w="109"/>
        <w:gridCol w:w="109"/>
        <w:gridCol w:w="492"/>
        <w:gridCol w:w="492"/>
        <w:gridCol w:w="696"/>
      </w:tblGrid>
      <w:tr>
        <w:trPr/>
        <w:tc>
          <w:tcPr>
            <w:tcW w:w="76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20,032,711 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207,344 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Edward Mathers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15,952,488 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4,287,567 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Frances D. Schulz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20,052,049 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188,006 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2.Ratification of the appointment of KPMG LLP as the independent registered public accounting firm for the fiscal year ending December 31, 2026:</w:t>
      </w:r>
    </w:p>
    <w:tbl>
      <w:tblPr>
        <w:tblW w:w="3913" w:type="dxa"/>
        <w:jc w:val="left"/>
        <w:tblInd w:w="0" w:type="dxa"/>
        <w:tblLayout w:type="fixed"/>
        <w:tblCellMar>
          <w:top w:w="28" w:type="dxa"/>
          <w:left w:w="28" w:type="dxa"/>
          <w:bottom w:w="28" w:type="dxa"/>
          <w:right w:w="28" w:type="dxa"/>
        </w:tblCellMar>
      </w:tblPr>
      <w:tblGrid>
        <w:gridCol w:w="585"/>
        <w:gridCol w:w="511"/>
        <w:gridCol w:w="140"/>
        <w:gridCol w:w="109"/>
        <w:gridCol w:w="109"/>
        <w:gridCol w:w="109"/>
        <w:gridCol w:w="360"/>
        <w:gridCol w:w="361"/>
        <w:gridCol w:w="251"/>
        <w:gridCol w:w="109"/>
        <w:gridCol w:w="109"/>
        <w:gridCol w:w="109"/>
        <w:gridCol w:w="360"/>
        <w:gridCol w:w="361"/>
        <w:gridCol w:w="330"/>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r>
      <w:tr>
        <w:trPr/>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20,133,068 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71,877 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35,110 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3.Approval under Nasdaq Listing Rule 5635(d) of the issuance of more than 19.99% of the outstanding shares of the Company’s common stock upon exchange Midco’s Senior Secured Convertible Notes:</w:t>
      </w:r>
    </w:p>
    <w:tbl>
      <w:tblPr>
        <w:tblW w:w="6051" w:type="dxa"/>
        <w:jc w:val="left"/>
        <w:tblInd w:w="0" w:type="dxa"/>
        <w:tblLayout w:type="fixed"/>
        <w:tblCellMar>
          <w:top w:w="28" w:type="dxa"/>
          <w:left w:w="28" w:type="dxa"/>
          <w:bottom w:w="28" w:type="dxa"/>
          <w:right w:w="28" w:type="dxa"/>
        </w:tblCellMar>
      </w:tblPr>
      <w:tblGrid>
        <w:gridCol w:w="585"/>
        <w:gridCol w:w="511"/>
        <w:gridCol w:w="140"/>
        <w:gridCol w:w="109"/>
        <w:gridCol w:w="109"/>
        <w:gridCol w:w="109"/>
        <w:gridCol w:w="413"/>
        <w:gridCol w:w="413"/>
        <w:gridCol w:w="251"/>
        <w:gridCol w:w="109"/>
        <w:gridCol w:w="109"/>
        <w:gridCol w:w="109"/>
        <w:gridCol w:w="413"/>
        <w:gridCol w:w="413"/>
        <w:gridCol w:w="251"/>
        <w:gridCol w:w="109"/>
        <w:gridCol w:w="109"/>
        <w:gridCol w:w="109"/>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19,763,523 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337,042 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139,490 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4.Approval of the Merger Agreement and the transactions contemplated thereby: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Agreement Proposal required the affirmative vote of both (i) the holders of a majority of the outstanding shares of the Company’s common stock entitled to vote on the Merger Agreement Proposal at the Annual Meeting (the “Stockholder Approval”) and (ii) the holders of a majority of the votes cast by holders of shares of the Company’s common stock other than shares beneficially owned, directly or indirectly, by Parent, Merger Sub, or any of their respective affiliates, or with respect to which any of the foregoing has, directly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indirectly, the right to direct the voting thereof, that are present in person or represented by proxy and entitled to vote on the Merger Agreement Proposal at the Annual Meeting (the “Majority of the Minority Approval”).</w:t>
      </w:r>
    </w:p>
    <w:tbl>
      <w:tblPr>
        <w:tblW w:w="9348" w:type="dxa"/>
        <w:jc w:val="left"/>
        <w:tblInd w:w="0" w:type="dxa"/>
        <w:tblLayout w:type="fixed"/>
        <w:tblCellMar>
          <w:top w:w="28" w:type="dxa"/>
          <w:left w:w="28" w:type="dxa"/>
          <w:bottom w:w="28" w:type="dxa"/>
          <w:right w:w="28" w:type="dxa"/>
        </w:tblCellMar>
      </w:tblPr>
      <w:tblGrid>
        <w:gridCol w:w="1064"/>
        <w:gridCol w:w="937"/>
        <w:gridCol w:w="938"/>
        <w:gridCol w:w="109"/>
        <w:gridCol w:w="109"/>
        <w:gridCol w:w="109"/>
        <w:gridCol w:w="540"/>
        <w:gridCol w:w="541"/>
        <w:gridCol w:w="141"/>
        <w:gridCol w:w="109"/>
        <w:gridCol w:w="109"/>
        <w:gridCol w:w="109"/>
        <w:gridCol w:w="488"/>
        <w:gridCol w:w="488"/>
        <w:gridCol w:w="251"/>
        <w:gridCol w:w="109"/>
        <w:gridCol w:w="109"/>
        <w:gridCol w:w="109"/>
        <w:gridCol w:w="360"/>
        <w:gridCol w:w="361"/>
        <w:gridCol w:w="251"/>
        <w:gridCol w:w="109"/>
        <w:gridCol w:w="109"/>
        <w:gridCol w:w="109"/>
        <w:gridCol w:w="492"/>
        <w:gridCol w:w="492"/>
        <w:gridCol w:w="696"/>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 Approval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15,851,146 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4,325,620 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63,289 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Majority of the Minority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6,074,146 </w:t>
            </w:r>
          </w:p>
        </w:tc>
        <w:tc>
          <w:tcPr>
            <w:tcW w:w="14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4,325,620 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63,289 </w:t>
            </w:r>
          </w:p>
        </w:tc>
        <w:tc>
          <w:tcPr>
            <w:tcW w:w="2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9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5.Approval of an amendment to the Company’s Amended and Restated Certificate of Incorporation to effect a reverse stock split of the Company’s common stock at a ratio ranging from any whole number between 1-for-20 and 1-for-50, as determined by the Board in its discretion, subject to the Board’s authority to abandon such amendments:</w:t>
      </w:r>
    </w:p>
    <w:p>
      <w:pPr>
        <w:pStyle w:val="TextBody"/>
        <w:bidi w:val="0"/>
        <w:spacing w:before="0" w:after="0"/>
        <w:jc w:val="left"/>
        <w:rPr/>
      </w:pPr>
      <w:r>
        <w:rPr/>
      </w:r>
    </w:p>
    <w:tbl>
      <w:tblPr>
        <w:tblW w:w="5991" w:type="dxa"/>
        <w:jc w:val="left"/>
        <w:tblInd w:w="0" w:type="dxa"/>
        <w:tblLayout w:type="fixed"/>
        <w:tblCellMar>
          <w:top w:w="28" w:type="dxa"/>
          <w:left w:w="28" w:type="dxa"/>
          <w:bottom w:w="28" w:type="dxa"/>
          <w:right w:w="28" w:type="dxa"/>
        </w:tblCellMar>
      </w:tblPr>
      <w:tblGrid>
        <w:gridCol w:w="585"/>
        <w:gridCol w:w="511"/>
        <w:gridCol w:w="140"/>
        <w:gridCol w:w="109"/>
        <w:gridCol w:w="109"/>
        <w:gridCol w:w="109"/>
        <w:gridCol w:w="413"/>
        <w:gridCol w:w="413"/>
        <w:gridCol w:w="251"/>
        <w:gridCol w:w="109"/>
        <w:gridCol w:w="109"/>
        <w:gridCol w:w="109"/>
        <w:gridCol w:w="360"/>
        <w:gridCol w:w="361"/>
        <w:gridCol w:w="296"/>
        <w:gridCol w:w="109"/>
        <w:gridCol w:w="109"/>
        <w:gridCol w:w="109"/>
        <w:gridCol w:w="492"/>
        <w:gridCol w:w="492"/>
        <w:gridCol w:w="696"/>
      </w:tblGrid>
      <w:tr>
        <w:trPr/>
        <w:tc>
          <w:tcPr>
            <w:tcW w:w="58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Withheld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0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19,738,507 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451,219 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50,329 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6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Proxy Statement contained Proposal No. 6, relating to approving the adjournment of the Annual Meeting if there were insufficient votes to approve the Merger Agreement Proposal. Proposal No. 6 was not presented at the Annual Meeting because the Company had obtained the required votes for the Merger Agreement Proposal at the Annual Meeting.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240" w:after="283"/>
        <w:jc w:val="left"/>
        <w:rPr/>
      </w:pPr>
      <w:r>
        <w:rPr/>
      </w:r>
    </w:p>
    <w:tbl>
      <w:tblPr>
        <w:tblW w:w="7109"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388"/>
        <w:gridCol w:w="388"/>
        <w:gridCol w:w="388"/>
        <w:gridCol w:w="388"/>
        <w:gridCol w:w="388"/>
        <w:gridCol w:w="388"/>
        <w:gridCol w:w="696"/>
        <w:gridCol w:w="696"/>
        <w:gridCol w:w="99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1103</Words>
  <Characters>6255</Characters>
  <CharactersWithSpaces>7269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