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 xml:space="preserve">UNITED STATES </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 xml:space="preserve">SCHEDULE 14A INFORMATION </w:t>
      </w:r>
    </w:p>
    <w:p>
      <w:pPr>
        <w:pStyle w:val="TextBody"/>
        <w:spacing w:lineRule="auto" w:line="288" w:before="240" w:after="283"/>
        <w:jc w:val="center"/>
        <w:rPr>
          <w:rFonts w:ascii="Times New Roman;sans-serif" w:hAnsi="Times New Roman;sans-serif"/>
          <w:b/>
          <w:color w:val="000000"/>
          <w:sz w:val="28"/>
        </w:rPr>
      </w:pPr>
      <w:r>
        <w:rPr>
          <w:rFonts w:ascii="Times New Roman;sans-serif" w:hAnsi="Times New Roman;sans-serif"/>
          <w:b/>
          <w:color w:val="000000"/>
          <w:sz w:val="28"/>
        </w:rPr>
        <w:t xml:space="preserve">Proxy Statement Pursuant to Section 14(a) of the </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Exchange Act of 1934 (Amendment No.____)</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p>
      <w:pPr>
        <w:pStyle w:val="TextBody"/>
        <w:spacing w:lineRule="auto" w:line="288" w:before="240" w:after="283"/>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002" w:type="dxa"/>
        <w:jc w:val="left"/>
        <w:tblInd w:w="0" w:type="dxa"/>
        <w:tblCellMar>
          <w:top w:w="28" w:type="dxa"/>
          <w:left w:w="28" w:type="dxa"/>
          <w:bottom w:w="28" w:type="dxa"/>
          <w:right w:w="28" w:type="dxa"/>
        </w:tblCellMar>
      </w:tblPr>
      <w:tblGrid>
        <w:gridCol w:w="124"/>
        <w:gridCol w:w="109"/>
        <w:gridCol w:w="109"/>
        <w:gridCol w:w="1951"/>
        <w:gridCol w:w="1951"/>
        <w:gridCol w:w="27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27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spacing w:lineRule="auto" w:line="288" w:before="240" w:after="283"/>
        <w:jc w:val="center"/>
        <w:rPr>
          <w:rFonts w:ascii="Times New Roman;sans-serif" w:hAnsi="Times New Roman;sans-serif"/>
          <w:b/>
          <w:color w:val="000000"/>
          <w:sz w:val="52"/>
        </w:rPr>
      </w:pPr>
      <w:r>
        <w:rPr>
          <w:rFonts w:ascii="Times New Roman;sans-serif" w:hAnsi="Times New Roman;sans-serif"/>
          <w:b/>
          <w:color w:val="000000"/>
          <w:sz w:val="52"/>
        </w:rPr>
        <w:t>SENTI BIOSCIENCES,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Person(s) Filing Proxy Statement, if other than the Registrant)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all boxes that apply): </w:t>
      </w:r>
    </w:p>
    <w:tbl>
      <w:tblPr>
        <w:tblW w:w="8711" w:type="dxa"/>
        <w:jc w:val="left"/>
        <w:tblInd w:w="0" w:type="dxa"/>
        <w:tblCellMar>
          <w:top w:w="28" w:type="dxa"/>
          <w:left w:w="28" w:type="dxa"/>
          <w:bottom w:w="28" w:type="dxa"/>
          <w:right w:w="28" w:type="dxa"/>
        </w:tblCellMar>
      </w:tblPr>
      <w:tblGrid>
        <w:gridCol w:w="124"/>
        <w:gridCol w:w="109"/>
        <w:gridCol w:w="109"/>
        <w:gridCol w:w="2448"/>
        <w:gridCol w:w="2448"/>
        <w:gridCol w:w="347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2448" w:type="dxa"/>
            <w:tcBorders/>
            <w:shd w:fill="auto" w:val="clear"/>
            <w:vAlign w:val="center"/>
          </w:tcPr>
          <w:p>
            <w:pPr>
              <w:pStyle w:val="TableContents"/>
              <w:spacing w:before="0" w:after="283"/>
              <w:rPr>
                <w:sz w:val="4"/>
                <w:szCs w:val="4"/>
              </w:rPr>
            </w:pPr>
            <w:r>
              <w:rPr>
                <w:sz w:val="4"/>
                <w:szCs w:val="4"/>
              </w:rPr>
            </w:r>
          </w:p>
        </w:tc>
        <w:tc>
          <w:tcPr>
            <w:tcW w:w="347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3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1" name="Frame1"/>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ACTIVE/121462999.3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6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ACTIVE/121462999.3 </w:t>
                      </w:r>
                    </w:p>
                  </w:txbxContent>
                </v:textbox>
              </v:rect>
            </w:pict>
          </mc:Fallback>
        </mc:AlternateContent>
      </w:r>
    </w:p>
    <w:p>
      <w:pPr>
        <w:pStyle w:val="TextBody"/>
        <w:spacing w:before="120" w:after="283"/>
        <w:jc w:val="center"/>
        <w:rPr/>
      </w:pPr>
      <w:r>
        <w:rPr/>
        <w:drawing>
          <wp:inline distT="0" distB="63500" distL="0" distR="0">
            <wp:extent cx="2847975" cy="6762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47975" cy="676275"/>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SENTI BIOSCIENCES,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 Corporate Drive, First Floor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South San Francisco, CA, 94080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NOTICE OF 2023 ANNUAL MEETING OF STOCKHOLDERS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be held June 16, 2023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Notice is hereby given that the 2023 Annual Meeting of Stockholders, or Annual Meeting, of Senti Biosciences, Inc., will be held online on June 16, 2023 at 8:00 a.m. Pacific Time. This year’s Annual Meeting will be held virtually. You may attend the meeting virtually via the Internet at www.virtualshareholdermeeting.com/SNTI2023, where you will be able to vote electronically and submit questions. You will need the 16-digit control number included with the Notice of Internet Availability of Proxy Materials being mailed to you separately in order to attend the Annual Meeting. The purpose of the Annual Meeting is the following: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1.To elect three Class I directors, Timothy Lu, M.D., Ph.D., Edward Mathers and Omid Farokhzad, M.D., to our board of directors, to serve until the 2026 annual meeting of stockholders and until their successor has been duly elected and qualified, or until their earlier death, resignation or removal;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2.To ratify the appointment of KPMG LLP as our independent registered public accounting firm for the fiscal year ending December 31, 2023; and </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3.To transact any other business properly brought before the Annual Meeting or any adjournment or postponement of the Annual Meeting.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more fully described in the Proxy Statement accompanying this Notice. Proposal 1 relates solely to the election of three Class I directors nominated by the board of directors and does not include any other matters relating to the election of directors, including without limitation, the election of directors nominated by any stockholder of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has fixed the close of business on April 20, 2023 as the record date for the determination of stockholders entitled to notice of, and to vote at, the Annual Meeting of Stockholders, or at any adjournments of the Annual Meeting of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Senti Biosciences, Inc.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for the fiscal year ended December 31, 2022, or the 2022 Annual Report. We plan to mail the Notice on or about April 28, 2023 and it contains instructions on how to access both the 2022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on the Notice. </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order to attend the Annual Meeting virtually, you will be required to enter the control number provided in the Notice of Availability or the proxy card at www.virtualshareholdermeeting.com/SNTI2023. Beneficial owners of shares held in street name will need to follow the instructions provided in the voting instructions form by the broker, bank or other nominee that holds their shares. 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You may also request a paper proxy card at any time before June 16, 2023 to submit your vote by mail. Even if you have voted by proxy, you may still vote at the virtual meeting. Please note, however, that if your shares are held through a broker, bank or other nominee and you wish to vote at the meeting, you must obtain a proxy issued in your name from that record holder.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stockholders are cordially invited to attend the Annual Meeting of Stockholders.</w:t>
      </w:r>
    </w:p>
    <w:tbl>
      <w:tblPr>
        <w:tblW w:w="3582" w:type="dxa"/>
        <w:jc w:val="left"/>
        <w:tblInd w:w="0" w:type="dxa"/>
        <w:tblCellMar>
          <w:top w:w="28" w:type="dxa"/>
          <w:left w:w="28" w:type="dxa"/>
          <w:bottom w:w="28" w:type="dxa"/>
          <w:right w:w="28" w:type="dxa"/>
        </w:tblCellMar>
      </w:tblPr>
      <w:tblGrid>
        <w:gridCol w:w="1162"/>
        <w:gridCol w:w="1020"/>
        <w:gridCol w:w="1028"/>
        <w:gridCol w:w="109"/>
        <w:gridCol w:w="109"/>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Lu</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South San Francisco, CA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April 28, 2023</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Your vote is important, whether or not you expect to attend the Annual Meeting of Stockholders. You are urged to vote either via the Internet or telephone, as instructed in the Important Notice Regarding the Availability of Proxy Materials that you received in the mail. Voting promptly will help avoid the additional expense of further solicitation to assure a quorum at the meeting.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80808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12"/>
        <w:gridCol w:w="3057"/>
        <w:gridCol w:w="3063"/>
        <w:gridCol w:w="167"/>
        <w:gridCol w:w="167"/>
        <w:gridCol w:w="239"/>
      </w:tblGrid>
      <w:tr>
        <w:trPr/>
        <w:tc>
          <w:tcPr>
            <w:tcW w:w="3512" w:type="dxa"/>
            <w:tcBorders/>
            <w:shd w:fill="auto" w:val="clear"/>
            <w:vAlign w:val="center"/>
          </w:tcPr>
          <w:p>
            <w:pPr>
              <w:pStyle w:val="TableContents"/>
              <w:spacing w:before="0" w:after="283"/>
              <w:rPr>
                <w:sz w:val="4"/>
                <w:szCs w:val="4"/>
              </w:rPr>
            </w:pPr>
            <w:r>
              <w:rPr>
                <w:sz w:val="4"/>
                <w:szCs w:val="4"/>
              </w:rPr>
            </w:r>
          </w:p>
        </w:tc>
        <w:tc>
          <w:tcPr>
            <w:tcW w:w="3057" w:type="dxa"/>
            <w:tcBorders/>
            <w:shd w:fill="auto" w:val="clear"/>
            <w:vAlign w:val="center"/>
          </w:tcPr>
          <w:p>
            <w:pPr>
              <w:pStyle w:val="TableContents"/>
              <w:spacing w:before="0" w:after="283"/>
              <w:rPr>
                <w:sz w:val="4"/>
                <w:szCs w:val="4"/>
              </w:rPr>
            </w:pPr>
            <w:r>
              <w:rPr>
                <w:sz w:val="4"/>
                <w:szCs w:val="4"/>
              </w:rPr>
            </w:r>
          </w:p>
        </w:tc>
        <w:tc>
          <w:tcPr>
            <w:tcW w:w="306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10">
              <w:r>
                <w:rPr>
                  <w:rStyle w:val="InternetLink"/>
                  <w:rFonts w:ascii="Times New Roman;sans-serif" w:hAnsi="Times New Roman;sans-serif"/>
                  <w:b w:val="false"/>
                  <w:color w:val="0000EE"/>
                  <w:sz w:val="20"/>
                  <w:u w:val="single"/>
                </w:rPr>
                <w:t>PROXY STATEMENT FOR THE 2023 ANNUAL MEETING OF STOCKHOLDERS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10">
              <w:r>
                <w:rPr>
                  <w:rStyle w:val="InternetLink"/>
                  <w:rFonts w:ascii="Times New Roman;sans-serif" w:hAnsi="Times New Roman;sans-serif"/>
                  <w:b w:val="false"/>
                  <w:strike w:val="false"/>
                  <w:dstrike w:val="false"/>
                  <w:color w:val="000000"/>
                  <w:sz w:val="20"/>
                  <w:u w:val="none"/>
                  <w:effect w:val="none"/>
                </w:rPr>
                <w:t>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13">
              <w:r>
                <w:rPr>
                  <w:rStyle w:val="InternetLink"/>
                  <w:rFonts w:ascii="Times New Roman;sans-serif" w:hAnsi="Times New Roman;sans-serif"/>
                  <w:b w:val="false"/>
                  <w:color w:val="0000EE"/>
                  <w:sz w:val="20"/>
                  <w:u w:val="single"/>
                </w:rPr>
                <w:t>GENERAL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13">
              <w:r>
                <w:rPr>
                  <w:rStyle w:val="InternetLink"/>
                  <w:rFonts w:ascii="Times New Roman;sans-serif" w:hAnsi="Times New Roman;sans-serif"/>
                  <w:b w:val="false"/>
                  <w:strike w:val="false"/>
                  <w:dstrike w:val="false"/>
                  <w:color w:val="000000"/>
                  <w:sz w:val="20"/>
                  <w:u w:val="none"/>
                  <w:effect w:val="none"/>
                </w:rPr>
                <w:t>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16">
              <w:r>
                <w:rPr>
                  <w:rStyle w:val="InternetLink"/>
                  <w:rFonts w:ascii="Times New Roman;sans-serif" w:hAnsi="Times New Roman;sans-serif"/>
                  <w:b w:val="false"/>
                  <w:color w:val="0000EE"/>
                  <w:sz w:val="20"/>
                  <w:u w:val="single"/>
                </w:rPr>
                <w:t>PROPOSAL NO. 1 — ELECTION OF CLASS I DIRECTORS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16">
              <w:r>
                <w:rPr>
                  <w:rStyle w:val="InternetLink"/>
                  <w:rFonts w:ascii="Times New Roman;sans-serif" w:hAnsi="Times New Roman;sans-serif"/>
                  <w:b w:val="false"/>
                  <w:strike w:val="false"/>
                  <w:dstrike w:val="false"/>
                  <w:color w:val="000000"/>
                  <w:sz w:val="20"/>
                  <w:u w:val="none"/>
                  <w:effect w:val="none"/>
                </w:rPr>
                <w:t>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d460aa6d31f3439b95b2ae0de9fd32c7_19">
              <w:r>
                <w:rPr>
                  <w:rStyle w:val="InternetLink"/>
                  <w:rFonts w:ascii="Times New Roman;sans-serif" w:hAnsi="Times New Roman;sans-serif"/>
                  <w:b w:val="false"/>
                  <w:color w:val="0000FF"/>
                  <w:sz w:val="20"/>
                  <w:u w:val="single"/>
                </w:rPr>
                <w:t>PROPOSAL NO. 2 — RATIFICATION OF THE APPOINTMENT OF KPMG LLP AS SENTI BIOSCIENCES, INC.’S INDEPENDENT REGISTERED PUBLIC ACCOUNTING FIRM FOR THE FISCAL YEAR ENDING DECEMBER 31, 2023</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19">
              <w:r>
                <w:rPr>
                  <w:rStyle w:val="InternetLink"/>
                  <w:rFonts w:ascii="Times New Roman;sans-serif" w:hAnsi="Times New Roman;sans-serif"/>
                  <w:b w:val="false"/>
                  <w:strike w:val="false"/>
                  <w:dstrike w:val="false"/>
                  <w:color w:val="000000"/>
                  <w:sz w:val="20"/>
                  <w:u w:val="none"/>
                  <w:effect w:val="none"/>
                </w:rPr>
                <w:t>11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22">
              <w:r>
                <w:rPr>
                  <w:rStyle w:val="InternetLink"/>
                  <w:rFonts w:ascii="Times New Roman;sans-serif" w:hAnsi="Times New Roman;sans-serif"/>
                  <w:b w:val="false"/>
                  <w:color w:val="0000EE"/>
                  <w:sz w:val="20"/>
                  <w:u w:val="single"/>
                </w:rPr>
                <w:t>CORPORATE GOVERNANCE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22">
              <w:r>
                <w:rPr>
                  <w:rStyle w:val="InternetLink"/>
                  <w:rFonts w:ascii="Times New Roman;sans-serif" w:hAnsi="Times New Roman;sans-serif"/>
                  <w:b w:val="false"/>
                  <w:strike w:val="false"/>
                  <w:dstrike w:val="false"/>
                  <w:color w:val="000000"/>
                  <w:sz w:val="20"/>
                  <w:u w:val="none"/>
                  <w:effect w:val="none"/>
                </w:rPr>
                <w:t>13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25">
              <w:r>
                <w:rPr>
                  <w:rStyle w:val="InternetLink"/>
                  <w:rFonts w:ascii="Times New Roman;sans-serif" w:hAnsi="Times New Roman;sans-serif"/>
                  <w:b w:val="false"/>
                  <w:color w:val="0000EE"/>
                  <w:sz w:val="20"/>
                  <w:u w:val="single"/>
                </w:rPr>
                <w:t>CERTAIN RELATIONSHIPS AND RELATED PARTY TRANSACTIONS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25">
              <w:r>
                <w:rPr>
                  <w:rStyle w:val="InternetLink"/>
                  <w:rFonts w:ascii="Times New Roman;sans-serif" w:hAnsi="Times New Roman;sans-serif"/>
                  <w:b w:val="false"/>
                  <w:strike w:val="false"/>
                  <w:dstrike w:val="false"/>
                  <w:color w:val="000000"/>
                  <w:sz w:val="20"/>
                  <w:u w:val="none"/>
                  <w:effect w:val="none"/>
                </w:rPr>
                <w:t>30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28">
              <w:r>
                <w:rPr>
                  <w:rStyle w:val="InternetLink"/>
                  <w:rFonts w:ascii="Times New Roman;sans-serif" w:hAnsi="Times New Roman;sans-serif"/>
                  <w:b w:val="false"/>
                  <w:color w:val="0000EE"/>
                  <w:sz w:val="20"/>
                  <w:u w:val="single"/>
                </w:rPr>
                <w:t>PRINCIPAL STOCKHOLDERS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28">
              <w:r>
                <w:rPr>
                  <w:rStyle w:val="InternetLink"/>
                  <w:rFonts w:ascii="Times New Roman;sans-serif" w:hAnsi="Times New Roman;sans-serif"/>
                  <w:b w:val="false"/>
                  <w:strike w:val="false"/>
                  <w:dstrike w:val="false"/>
                  <w:color w:val="000000"/>
                  <w:sz w:val="20"/>
                  <w:u w:val="none"/>
                  <w:effect w:val="none"/>
                </w:rPr>
                <w:t>36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31">
              <w:r>
                <w:rPr>
                  <w:rStyle w:val="InternetLink"/>
                  <w:rFonts w:ascii="Times New Roman;sans-serif" w:hAnsi="Times New Roman;sans-serif"/>
                  <w:b w:val="false"/>
                  <w:color w:val="0000EE"/>
                  <w:sz w:val="20"/>
                  <w:u w:val="single"/>
                </w:rPr>
                <w:t>DELINQUENT SECTION 16(a) REPORTS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31">
              <w:r>
                <w:rPr>
                  <w:rStyle w:val="InternetLink"/>
                  <w:rFonts w:ascii="Times New Roman;sans-serif" w:hAnsi="Times New Roman;sans-serif"/>
                  <w:b w:val="false"/>
                  <w:strike w:val="false"/>
                  <w:dstrike w:val="false"/>
                  <w:color w:val="000000"/>
                  <w:sz w:val="20"/>
                  <w:u w:val="none"/>
                  <w:effect w:val="none"/>
                </w:rPr>
                <w:t>39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34">
              <w:r>
                <w:rPr>
                  <w:rStyle w:val="InternetLink"/>
                  <w:rFonts w:ascii="Times New Roman;sans-serif" w:hAnsi="Times New Roman;sans-serif"/>
                  <w:b w:val="false"/>
                  <w:color w:val="0000EE"/>
                  <w:sz w:val="20"/>
                  <w:u w:val="single"/>
                </w:rPr>
                <w:t>REPORT OF THE AUDIT COMMITTEE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34">
              <w:r>
                <w:rPr>
                  <w:rStyle w:val="InternetLink"/>
                  <w:rFonts w:ascii="Times New Roman;sans-serif" w:hAnsi="Times New Roman;sans-serif"/>
                  <w:b w:val="false"/>
                  <w:strike w:val="false"/>
                  <w:dstrike w:val="false"/>
                  <w:color w:val="000000"/>
                  <w:sz w:val="20"/>
                  <w:u w:val="none"/>
                  <w:effect w:val="none"/>
                </w:rPr>
                <w:t>40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37">
              <w:r>
                <w:rPr>
                  <w:rStyle w:val="InternetLink"/>
                  <w:rFonts w:ascii="Times New Roman;sans-serif" w:hAnsi="Times New Roman;sans-serif"/>
                  <w:b w:val="false"/>
                  <w:color w:val="0000EE"/>
                  <w:sz w:val="20"/>
                  <w:u w:val="single"/>
                </w:rPr>
                <w:t>HOUSEHOLDING</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37">
              <w:r>
                <w:rPr>
                  <w:rStyle w:val="InternetLink"/>
                  <w:rFonts w:ascii="Times New Roman;sans-serif" w:hAnsi="Times New Roman;sans-serif"/>
                  <w:b w:val="false"/>
                  <w:strike w:val="false"/>
                  <w:dstrike w:val="false"/>
                  <w:color w:val="000000"/>
                  <w:sz w:val="20"/>
                  <w:u w:val="none"/>
                  <w:effect w:val="none"/>
                </w:rPr>
                <w:t>41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40">
              <w:r>
                <w:rPr>
                  <w:rStyle w:val="InternetLink"/>
                  <w:rFonts w:ascii="Times New Roman;sans-serif" w:hAnsi="Times New Roman;sans-serif"/>
                  <w:b w:val="false"/>
                  <w:color w:val="0000EE"/>
                  <w:sz w:val="20"/>
                  <w:u w:val="single"/>
                </w:rPr>
                <w:t>STOCKHOLDER PROPOSALS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40">
              <w:r>
                <w:rPr>
                  <w:rStyle w:val="InternetLink"/>
                  <w:rFonts w:ascii="Times New Roman;sans-serif" w:hAnsi="Times New Roman;sans-serif"/>
                  <w:b w:val="false"/>
                  <w:strike w:val="false"/>
                  <w:dstrike w:val="false"/>
                  <w:color w:val="000000"/>
                  <w:sz w:val="20"/>
                  <w:u w:val="none"/>
                  <w:effect w:val="none"/>
                </w:rPr>
                <w:t>41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460aa6d31f3439b95b2ae0de9fd32c7_43">
              <w:r>
                <w:rPr>
                  <w:rStyle w:val="InternetLink"/>
                  <w:rFonts w:ascii="Times New Roman;sans-serif" w:hAnsi="Times New Roman;sans-serif"/>
                  <w:b w:val="false"/>
                  <w:color w:val="0000EE"/>
                  <w:sz w:val="20"/>
                  <w:u w:val="single"/>
                </w:rPr>
                <w:t>OTHER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d460aa6d31f3439b95b2ae0de9fd32c7_43">
              <w:r>
                <w:rPr>
                  <w:rStyle w:val="InternetLink"/>
                  <w:rFonts w:ascii="Times New Roman;sans-serif" w:hAnsi="Times New Roman;sans-serif"/>
                  <w:b w:val="false"/>
                  <w:strike w:val="false"/>
                  <w:dstrike w:val="false"/>
                  <w:color w:val="000000"/>
                  <w:sz w:val="20"/>
                  <w:u w:val="none"/>
                  <w:effect w:val="none"/>
                </w:rPr>
                <w:t>42</w:t>
              </w:r>
            </w:hyperlink>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4" w:space="0" w:color="80808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120" w:after="283"/>
        <w:jc w:val="center"/>
        <w:rPr/>
      </w:pPr>
      <w:r>
        <w:rPr/>
        <w:drawing>
          <wp:inline distT="0" distB="63500" distL="0" distR="0">
            <wp:extent cx="2847975" cy="6762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847975" cy="676275"/>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SENTI BIOSCIENCES,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 Corporate Drive, First Floor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 94080</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2023 ANNUAL MEETING OF STOCKHOLDERS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 BE HELD JUNE 16, 2023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contains information about the 2023 Annual Meeting of Stockholders, or the Annual Meeting, of Senti Biosciences, Inc., which will be held online on June 16, 2023 at 8:00 a.m. Pacific Time. This year’s Annual Meeting will be held virtually. You may attend the Annual Meeting virtually via the Internet at www.virtualshareholdermeeting.com/SNTI2023, where you will be able to vote electronically and submit questions. You will need the 16-digit control number included with the Notice of Internet Availability of Proxy Materials being mailed to you separately in order to attend the Annual Meeting. The board of directors of Senti Biosciences, Inc. is using this proxy statement to solicit proxies for use at the Annual Meeting. In this proxy statement, the terms “Senti,” “Senti Biosciences,” the “Company,” “we,” “us,” and “our” refer to Senti Biosciences, Inc. The mailing address of our principal executive offices is Senti Biosciences, Inc., 2 Corporate Drive, First Floor, South San Francisco, CA, 94080.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this proxy statement and our 2022 Annual Report to Stockholders on Form 10-K for the fiscal year ended December 31, 2022, or the 2022 Annual Report, available to stockholders on or about April 28,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Important Notice Regarding the Availability of Proxy Materials for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Annual Meeting of Stockholders to be Held on June 16, 2023: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This proxy statement and our 2022 Annual Report to Stockholders are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available for viewing, printing and downloading at www.virtualshareholdermeeting.com/SNTI2023.</w:t>
      </w:r>
    </w:p>
    <w:p>
      <w:pPr>
        <w:pStyle w:val="TextBody"/>
        <w:spacing w:lineRule="auto" w:line="288" w:before="240" w:after="283"/>
        <w:jc w:val="center"/>
        <w:rPr/>
      </w:pPr>
      <w:r>
        <w:rPr>
          <w:rFonts w:ascii="Times New Roman;sans-serif" w:hAnsi="Times New Roman;sans-serif"/>
          <w:b/>
          <w:color w:val="000000"/>
          <w:sz w:val="20"/>
        </w:rPr>
        <w:t>A copy of this proxy statement and our 2022 Annual Report, as filed with the SEC, except for exhibits, will be furnished without charge to any stockholder upon written request to Senti Biosciences, Inc., 2 Corporate Drive, First Floor, South San Francisco, CA, 94080, Attention: Corporate Secretary. This proxy statement and our 2022 Annual Report are also available on the SEC’s website at</w:t>
      </w:r>
      <w:r>
        <w:rPr>
          <w:color w:val="000000"/>
        </w:rPr>
        <w:t xml:space="preserve"> </w:t>
      </w:r>
      <w:r>
        <w:rPr>
          <w:rFonts w:ascii="Times New Roman;sans-serif" w:hAnsi="Times New Roman;sans-serif"/>
          <w:b/>
          <w:i/>
          <w:color w:val="000000"/>
          <w:sz w:val="20"/>
        </w:rPr>
        <w:t>www.sec.gov</w:t>
      </w:r>
      <w:r>
        <w:rPr>
          <w:rFonts w:ascii="Times New Roman;sans-serif" w:hAnsi="Times New Roman;sans-serif"/>
          <w:b/>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SENTI BIOSCIENCES,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2023 ANNUAL MEETING OF STOCKHOLDERS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Why are you holding a virtual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This format allows stockholders to participate fully from any location, without the cost of travel.</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do I attend and participate in the Annual Meeting online?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To attend and participate in the Annual Meeting, stockholders will need to access the live audio webcast of the meeting. To do so, stockholders of record will need to visit www.virtualshareholdermeeting.com/SNTI2023 and use their control number provided in the proxy card to preregister to this website, and beneficial owners of shares held in street name will need to follow the same instructions. Registration will open 15 minutes prior to the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live audio webcast of the Annual Meeting will begin promptly at 8:00 a.m. Pacific Time.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Stockholders will also have the opportunity to submit questions during the Annual Meeting through www.virtualshareholdermeeting.com/SNTI2023. Stockholders may submit questions during the 2023 Annual Meeting using the “Ask a Question” field on the virtual meeting website. A technical support telephone number will be posted on the log-in page of www.virtualshareholdermeeting.com/SNTI2023 that you can call if you encounter any difficulties accessing the virtual meeting during the check-in or during the meeting.</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can I get help if I have trouble checking in or listening to the meeting online?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When are this proxy statement and the accompanying materials scheduled to be sent to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rules and regulations of the SEC, instead of mailing a printed copy of our proxy materials to each stockholder of record, the Company may furnish proxy materials via the Internet. We have elected to provide access to our proxy materials to our stockholders via the Internet. Accordingly, on or about April 28, 2023, we will begin mailing a Notice of Internet Availability of Proxy Materials, or Notice. Our proxy materials, including the Notice of the 2023 Annual Meeting of Stockholders, this proxy statement, and the accompanying proxy card or, for shares held in street name (i.e., held for your account by a broker or other nominee), a voting instruction form, and the 2022 Annual Report to Stockholders, or the 2022 Annual Report, will be made available to stockholders on the Internet on or about the same date. You will need the 16-digit control number included on the Notice to access these materials. The website contains instructions as to how to vote by internet or over the telephone. If you would like to receive a print version of the proxy materials, free of charge, please follow the instructions on the Notice.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Who is soliciting my vote?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or the board of directors, is soliciting your vote for the Annual Meeting.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When is the record date for the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record date for determination of stockholders entitled to vote at the Annual Meeting is the close of business on April 20, 2023.</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many votes can be cast by all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44,168,034 shares of our common stock, par value $0.0001 per share, outstanding on April 20, 2023,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April 20, 2023. </w:t>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Who is entitled to vote? </w:t>
      </w:r>
    </w:p>
    <w:p>
      <w:pPr>
        <w:pStyle w:val="TextBody"/>
        <w:spacing w:lineRule="auto" w:line="288" w:before="120" w:after="283"/>
        <w:rPr/>
      </w:pPr>
      <w:r>
        <w:rPr>
          <w:rFonts w:ascii="Times New Roman;sans-serif" w:hAnsi="Times New Roman;sans-serif"/>
          <w:b w:val="false"/>
          <w:i/>
          <w:color w:val="000000"/>
          <w:sz w:val="20"/>
        </w:rPr>
        <w:t>Registered Stockholders</w:t>
      </w:r>
      <w:r>
        <w:rPr>
          <w:rFonts w:ascii="Times New Roman;sans-serif" w:hAnsi="Times New Roman;sans-serif"/>
          <w:b w:val="false"/>
          <w:color w:val="000000"/>
          <w:sz w:val="20"/>
        </w:rPr>
        <w:t xml:space="preserve">.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 </w:t>
      </w:r>
    </w:p>
    <w:p>
      <w:pPr>
        <w:pStyle w:val="TextBody"/>
        <w:spacing w:lineRule="auto" w:line="288" w:before="120" w:after="283"/>
        <w:rPr/>
      </w:pPr>
      <w:r>
        <w:rPr>
          <w:rFonts w:ascii="Times New Roman;sans-serif" w:hAnsi="Times New Roman;sans-serif"/>
          <w:b w:val="false"/>
          <w:i/>
          <w:color w:val="000000"/>
          <w:sz w:val="20"/>
        </w:rPr>
        <w:t>Street Name Stockholders</w:t>
      </w:r>
      <w:r>
        <w:rPr>
          <w:rFonts w:ascii="Times New Roman;sans-serif" w:hAnsi="Times New Roman;sans-serif"/>
          <w:b w:val="false"/>
          <w:color w:val="000000"/>
          <w:sz w:val="20"/>
        </w:rPr>
        <w:t xml:space="preserve">.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do I vote?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there are four ways to vote: </w:t>
      </w:r>
    </w:p>
    <w:p>
      <w:pPr>
        <w:pStyle w:val="TextBody"/>
        <w:spacing w:lineRule="auto" w:line="268" w:before="60" w:after="283"/>
        <w:ind w:left="0" w:right="0" w:hanging="360"/>
        <w:rPr/>
      </w:pPr>
      <w:r>
        <w:rPr>
          <w:color w:val="000000"/>
        </w:rPr>
        <w:t>•</w:t>
      </w:r>
      <w:r>
        <w:rPr>
          <w:rFonts w:ascii="Times New Roman;sans-serif" w:hAnsi="Times New Roman;sans-serif"/>
          <w:b/>
          <w:i/>
          <w:color w:val="000000"/>
          <w:sz w:val="20"/>
        </w:rPr>
        <w:t xml:space="preserve">By Internet. </w:t>
      </w:r>
      <w:r>
        <w:rPr>
          <w:rFonts w:ascii="Times New Roman;sans-serif" w:hAnsi="Times New Roman;sans-serif"/>
          <w:b w:val="false"/>
          <w:color w:val="000000"/>
          <w:sz w:val="20"/>
        </w:rPr>
        <w:t>You may vote at www.proxyvote.com, 24 hours a day, seven days a week. Use the Internet to transmit your voting instructions and for electronic delivery of information up until 11:59 p.m. Eastern Time the day before the meeting date. You will need the control number included on your proxy card.</w:t>
      </w:r>
    </w:p>
    <w:p>
      <w:pPr>
        <w:pStyle w:val="TextBody"/>
        <w:spacing w:lineRule="auto" w:line="288" w:before="60" w:after="283"/>
        <w:ind w:left="0" w:right="0" w:hanging="360"/>
        <w:rPr/>
      </w:pPr>
      <w:r>
        <w:rPr>
          <w:color w:val="000000"/>
        </w:rPr>
        <w:t>•</w:t>
      </w:r>
      <w:r>
        <w:rPr>
          <w:rFonts w:ascii="Times New Roman;sans-serif" w:hAnsi="Times New Roman;sans-serif"/>
          <w:b/>
          <w:i/>
          <w:color w:val="000000"/>
          <w:sz w:val="20"/>
        </w:rPr>
        <w:t>By QR Code.</w:t>
      </w:r>
      <w:r>
        <w:rPr>
          <w:color w:val="000000"/>
        </w:rPr>
        <w:t xml:space="preserve"> </w:t>
      </w:r>
      <w:r>
        <w:rPr>
          <w:rFonts w:ascii="Times New Roman;sans-serif" w:hAnsi="Times New Roman;sans-serif"/>
          <w:b w:val="false"/>
          <w:color w:val="000000"/>
          <w:sz w:val="20"/>
        </w:rPr>
        <w:t>You may vote using your mobile device to scan the QR code on your proxy card. Votes submitted by scanning your QR code must be received no later than 11:59 p.m. Eastern time on the day before the meeting date.</w:t>
      </w:r>
    </w:p>
    <w:p>
      <w:pPr>
        <w:pStyle w:val="TextBody"/>
        <w:spacing w:lineRule="auto" w:line="288" w:before="60" w:after="283"/>
        <w:ind w:left="0" w:right="0" w:hanging="360"/>
        <w:rPr/>
      </w:pPr>
      <w:r>
        <w:rPr>
          <w:color w:val="000000"/>
        </w:rPr>
        <w:t>•</w:t>
      </w:r>
      <w:r>
        <w:rPr>
          <w:rFonts w:ascii="Times New Roman;sans-serif" w:hAnsi="Times New Roman;sans-serif"/>
          <w:b/>
          <w:i/>
          <w:color w:val="000000"/>
          <w:sz w:val="20"/>
        </w:rPr>
        <w:t xml:space="preserve">During the Annual Meeting. </w:t>
      </w:r>
      <w:r>
        <w:rPr>
          <w:rFonts w:ascii="Times New Roman;sans-serif" w:hAnsi="Times New Roman;sans-serif"/>
          <w:b w:val="false"/>
          <w:color w:val="000000"/>
          <w:sz w:val="20"/>
        </w:rPr>
        <w:t>You may vote during the Annual Meeting by going to www.virtualshareholdermeeting.com/SNTI2023. You will need the control number included on the Notice of Internet Availability of Proxy Materials, the proxy card or the voting instruction form. If you previously voted via the Internet (or by telephone or mail), you will not limit your right to vote virtually at the Annual Meeting.</w:t>
      </w:r>
    </w:p>
    <w:p>
      <w:pPr>
        <w:pStyle w:val="TextBody"/>
        <w:spacing w:lineRule="auto" w:line="288" w:before="60" w:after="283"/>
        <w:ind w:left="0" w:right="0" w:hanging="360"/>
        <w:rPr/>
      </w:pPr>
      <w:r>
        <w:rPr>
          <w:color w:val="000000"/>
        </w:rPr>
        <w:t>•</w:t>
      </w:r>
      <w:r>
        <w:rPr>
          <w:rFonts w:ascii="Times New Roman;sans-serif" w:hAnsi="Times New Roman;sans-serif"/>
          <w:b/>
          <w:i/>
          <w:color w:val="000000"/>
          <w:sz w:val="20"/>
        </w:rPr>
        <w:t xml:space="preserve">By Telephone. </w:t>
      </w:r>
      <w:r>
        <w:rPr>
          <w:rFonts w:ascii="Times New Roman;sans-serif" w:hAnsi="Times New Roman;sans-serif"/>
          <w:b w:val="false"/>
          <w:color w:val="000000"/>
          <w:sz w:val="20"/>
        </w:rPr>
        <w:t>You may vote using a touch-tone telephone by calling 1-800-690-6903 24 hours a day, seven days a week. Use any touch-tone telephone to transmit your voting instructions up until 11:59 p.m. Eastern Time the day before the meeting date. You will need the control number included on your proxy card.</w:t>
      </w:r>
    </w:p>
    <w:p>
      <w:pPr>
        <w:pStyle w:val="TextBody"/>
        <w:spacing w:lineRule="auto" w:line="288" w:before="60" w:after="283"/>
        <w:ind w:left="0" w:right="0" w:hanging="360"/>
        <w:rPr/>
      </w:pPr>
      <w:r>
        <w:rPr>
          <w:color w:val="000000"/>
        </w:rPr>
        <w:t>•</w:t>
      </w:r>
      <w:r>
        <w:rPr>
          <w:rFonts w:ascii="Times New Roman;sans-serif" w:hAnsi="Times New Roman;sans-serif"/>
          <w:b/>
          <w:i/>
          <w:color w:val="000000"/>
          <w:sz w:val="20"/>
        </w:rPr>
        <w:t>By Mail</w:t>
      </w:r>
      <w:r>
        <w:rPr>
          <w:rFonts w:ascii="Times New Roman;sans-serif" w:hAnsi="Times New Roman;sans-serif"/>
          <w:b w:val="false"/>
          <w:color w:val="000000"/>
          <w:sz w:val="20"/>
        </w:rPr>
        <w:t>. You may vote by completing and mailing your proxy card. Mark, sign and date your proxy card and return it in the postage-paid envelope we have provided or return it to Vote Processing, c/o Broadridge Financial Services, 51 Mercedes Way, Edgewood, NY 11717. Votes submitted through the mail must be received by 11:59pm ET June 15,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you plan to participate in our virtual Annual Meeting, we recommend that you also vote by proxy so that your vote will be counted if you later decide not to participate in the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By Proxy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will not be attending the Annual Meeting, you may vote by proxy. You can vote by proxy over the Internet by following the instructions provided in the enclosed proxy card. Proxies submitted by mail must be received before the start of the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must be given to each of the named proxies, although it may be sent to them by electronic transmission if, from that transmission, it can be determined that the transmission was authorized by you.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do I revoke my proxy?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revoke your proxy by (1) entering a new vote by mail that we receive before the start of the Annual Meeting or over the Internet or via telephone, (2) 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Inc., 2 Corporate Drive, First Floor, South San Francisco, CA, 94080, Attention: Corporate Secretary.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a broker, bank, or other nominee holds your shares, you must contact such broker, bank, or nominee in order to find out how to change your vote.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is a quorum reached?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or bylaws, provide that the holders of a majority in voting power of the shares issued and outstanding and entitled to vote, present in person or represented by proxy, will constitute a quorum for the transaction of business at the Annual Meeting. There were 44,168,034 shares of our common stock outstanding and entitled to vote on the record date. Therefore, a quorum will be present if 22,084,018 shares of our common stock are present in person or represented by executed proxies timely received by us at the Annual Meeting. Shares present virtually during the Annual Meeting will be considered shares of common stock represented in person at the meeting.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is the vote counted?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An abstention represents a stockholder’s affirmative choice to decline to vote on a proposal.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in “street name” by a brokerage firm, your brokerage firm is required to vote your shares according to your instructions. If you do not give instructions to your brokerage firm, the brokerage firm may still be able to vote your shares in its discretion. Under the rules of the New York Stock Exchange, which are also applicable to NASDAQ -listed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instructions from the beneficial owner of the shares and the broker, bank, or other agent cannot vote the shares because the matter is considered “non-routine” under New York Stock Exchange rules. Proposal No. 1 is considered to be “non-routine” under New York Stock Exchange Rules such that your broker, bank, or other agent may not vote your shares on those proposals in the absence of your voting instructions. Conversely, Proposal No. 2 is considered to be “routine” under New York Stock Exchange rules, and thus if you do not return voting instructions to your broker, your shares may be voted by your broker in its discretion on Proposal No. 2.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election of directors by stockholders shall be determined by a plurality of the votes properly cast on the election of directors. In other words, the three (3) directors nominated via Proposal No. 1 who receive the most votes cast and entitled to vote on the proposal will be elected. Shares voting “withheld” and broker non-votes will have no effect on the election of directors. Proposal No. 2, relating to ratification of the appointment of KPMG LLP as our independent registered public accounting firm for the fiscal year ending December 31, 2023, requires the affirmative vote of the holders of a majority in voting power of the votes cast on such matter. Abstentions and broker non-votes, if any, will have no effect on the outcome of the vote on this proposal.</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85"/>
        <w:gridCol w:w="497"/>
        <w:gridCol w:w="499"/>
        <w:gridCol w:w="109"/>
        <w:gridCol w:w="109"/>
        <w:gridCol w:w="109"/>
        <w:gridCol w:w="459"/>
        <w:gridCol w:w="419"/>
        <w:gridCol w:w="294"/>
        <w:gridCol w:w="109"/>
        <w:gridCol w:w="109"/>
        <w:gridCol w:w="109"/>
        <w:gridCol w:w="446"/>
        <w:gridCol w:w="446"/>
        <w:gridCol w:w="447"/>
        <w:gridCol w:w="109"/>
        <w:gridCol w:w="109"/>
        <w:gridCol w:w="109"/>
        <w:gridCol w:w="358"/>
        <w:gridCol w:w="358"/>
        <w:gridCol w:w="359"/>
        <w:gridCol w:w="109"/>
        <w:gridCol w:w="109"/>
        <w:gridCol w:w="109"/>
        <w:gridCol w:w="406"/>
        <w:gridCol w:w="406"/>
        <w:gridCol w:w="407"/>
        <w:gridCol w:w="109"/>
        <w:gridCol w:w="109"/>
        <w:gridCol w:w="109"/>
        <w:gridCol w:w="578"/>
        <w:gridCol w:w="578"/>
        <w:gridCol w:w="828"/>
      </w:tblGrid>
      <w:tr>
        <w:trPr/>
        <w:tc>
          <w:tcPr>
            <w:tcW w:w="78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Voting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Board Recommends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Vote Required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Effect of Abstentions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Routine or Non-Routine Matters? Effect of Broker Non-Votes</w:t>
            </w:r>
          </w:p>
        </w:tc>
      </w:tr>
      <w:tr>
        <w:trPr/>
        <w:tc>
          <w:tcPr>
            <w:tcW w:w="17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WITHHOLD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each nominee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Plurality of votes cast.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is not a routine matter. No effect.</w:t>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Approval of the Ratification of appointment of KPMG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AGAINST</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ABSTAIN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Majority of votes cast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effect.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is a routine matter. Broker non-votes are not expected.</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Who pays the cost for soliciting proxies?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How may stockholders submit matters for consideration at an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Any stockholder who meets the requirements of the proxy rules under the Securities Exchange Act of 1934, as amended, or the Exchange Act, may submit proposals to the Board of Directors to be presented at the 2024 annual meeting. Such stockholder proposals intended to be included in the proxy statement for the next annual meeting of our stockholders in 2024 must also satisfy the requirements of SEC Rule 14a-8 under the Exchange Act, and be submitted in writing by notice delivered or mailed by first-class United States mail, postage prepaid, to our corporate secretary at our principal executive offices, received no later than December 30, 2023, in order to be considered for inclusion in the proxy materials to be disseminated by the board of directors for such annual meeting. If the date of the 2024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March 14, 2024.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February 17, 2024 and no later than March 18, 2024.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April 17, 2024. Stockholder proposals and the required notice should be addressed to Senti Biosciences, Inc., 2 Corporate Drive, First Floor, South San Francisco, CA, 94080, Attention: Corporate Secretary. We also encourage you to submit any such proposal via email to: investors@sentibio.com.</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How can I find out the results of the voting at the Annual Meeting?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pStyle w:val="TextBody"/>
        <w:spacing w:lineRule="auto" w:line="288" w:before="120" w:after="283"/>
        <w:rPr/>
      </w:pPr>
      <w:r>
        <w:rPr>
          <w:rFonts w:ascii="Times New Roman;sans-serif" w:hAnsi="Times New Roman;sans-serif"/>
          <w:b/>
          <w:color w:val="000000"/>
          <w:sz w:val="20"/>
        </w:rPr>
        <w:t>Who is the Company, DYNS and Legacy Senti</w:t>
      </w:r>
      <w:r>
        <w:rPr>
          <w:rFonts w:ascii="Times New Roman;sans-serif" w:hAnsi="Times New Roman;sans-serif"/>
          <w:b w:val="false"/>
          <w:color w:val="000000"/>
          <w:sz w:val="20"/>
        </w:rPr>
        <w: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we, us, our, the Company and Senti refer to Senti Biosciences, Inc., a Delaware corporation, and its consolidated subsidiaries. All references herein to the Board of Directors refer to the board of directors of Senti Biosciences,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2022 (the Closing Date), Dynamics Special Purpose Corp., a Delaware corporation (DYNS) consummated a business combination pursuant to the terms of the Business Combination Agreement, dated December 19, 2021, as amended February 12, 2022 and May 19, 2022 (the Business Combination Agreement), by and among DYNS, Explore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Merger Sub, Inc., a Delaware corporation (Merger Sub) and Senti Sub I, Inc. (formerly Senti Biosciences, Inc., or Legacy Senti), a Delaware corporation.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on the Closing Date, Merger Sub merged with and into Legacy Senti with Legacy Senti surviving as a wholly-owned subsidiary of DYNS, and DYNS changed its name to Senti Biosciences, Inc. (the Closing). We refer to this transaction as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 ELECTION OF CLASS I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seven members. David Epstein has informed our board of directors that he will be resigning from the board of directors effective as of the close of business on June 16, 2023. In accordance with the terms of our amended and restated certificate of incorporation, or certificate of incorporation and amended and restated bylaws, or bylaws, our board of directors is divided into three classes, Class I, Class II and Class III, with members of each class serving staggered three-year terms. The members of the classes are divided as follows:</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Class I directors are Timothy Lu, M.D., Ph.D., Edward Mathers and Omid Farokhzad, M.D., and their terms will expire at the Annual Meeting;</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the Class II directors are David Epstein and Susan Berland, and their terms will expire at the annual meeting of stockholders to be held in 2024. David Epstein will be resigning from our board of directors effective as of the close of business on June 16, 2023; and</w:t>
      </w:r>
    </w:p>
    <w:p>
      <w:pPr>
        <w:pStyle w:val="TextBody"/>
        <w:spacing w:lineRule="auto" w:line="288" w:before="240" w:after="283"/>
        <w:ind w:left="0" w:right="0" w:hanging="360"/>
        <w:rPr/>
      </w:pPr>
      <w:r>
        <w:rPr>
          <w:color w:val="000000"/>
        </w:rPr>
        <w:t>•</w:t>
      </w:r>
      <w:r>
        <w:rPr>
          <w:rFonts w:ascii="Times New Roman;sans-serif" w:hAnsi="Times New Roman;sans-serif"/>
          <w:b w:val="false"/>
          <w:color w:val="000000"/>
          <w:sz w:val="20"/>
        </w:rPr>
        <w:t xml:space="preserve">the Class III directors are </w:t>
      </w:r>
      <w:r>
        <w:rPr>
          <w:rFonts w:ascii="Times New Roman;sans-serif" w:hAnsi="Times New Roman;sans-serif"/>
          <w:b w:val="false"/>
          <w:color w:val="000000"/>
          <w:sz w:val="20"/>
          <w:highlight w:val="white"/>
        </w:rPr>
        <w:t>James (Jim) Collins, Ph.D. and Brenda Cooperstone</w:t>
      </w:r>
      <w:r>
        <w:rPr>
          <w:rFonts w:ascii="Times New Roman;sans-serif" w:hAnsi="Times New Roman;sans-serif"/>
          <w:b w:val="false"/>
          <w:color w:val="000000"/>
          <w:sz w:val="20"/>
        </w:rPr>
        <w:t>, M.D., and their terms will expire at the annual meeting of stockholders to be held in 2025.</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and then only by the affirmative vote of the holders of 75% or more of the outstanding shares of capital stock then entitled to vote at an election of directors, and that any vacancy on our board of directors, including a vacancy resulting from an enlargement of our board of directors, may be filled only by the affirmative vote of a majority of the remaining directors then in office, even if less than a quorum.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nominated each of Timothy Lu, Edward Mathers and Omid Farokhzad for election as a Class I director at the Annual Meeting. Each of the nominees are currently directors, and each has indicated a willingness to continue to serve as directors, if elected. If the nominees become unable or unwilling to serve, however, the proxies may be voted for substitute nominees selected by our board of directors.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Nominees for Election as Class I Director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our director nominees, and sets forth their principal occupation and business experience during the last five years and age as of April 28, 2023.</w:t>
      </w:r>
    </w:p>
    <w:tbl>
      <w:tblPr>
        <w:tblW w:w="8704" w:type="dxa"/>
        <w:jc w:val="left"/>
        <w:tblInd w:w="0" w:type="dxa"/>
        <w:tblCellMar>
          <w:top w:w="28" w:type="dxa"/>
          <w:left w:w="28" w:type="dxa"/>
          <w:bottom w:w="28" w:type="dxa"/>
          <w:right w:w="28" w:type="dxa"/>
        </w:tblCellMar>
      </w:tblPr>
      <w:tblGrid>
        <w:gridCol w:w="787"/>
        <w:gridCol w:w="690"/>
        <w:gridCol w:w="697"/>
        <w:gridCol w:w="109"/>
        <w:gridCol w:w="109"/>
        <w:gridCol w:w="109"/>
        <w:gridCol w:w="1323"/>
        <w:gridCol w:w="1323"/>
        <w:gridCol w:w="1328"/>
        <w:gridCol w:w="109"/>
        <w:gridCol w:w="109"/>
        <w:gridCol w:w="109"/>
        <w:gridCol w:w="379"/>
        <w:gridCol w:w="379"/>
        <w:gridCol w:w="381"/>
        <w:gridCol w:w="109"/>
        <w:gridCol w:w="109"/>
        <w:gridCol w:w="109"/>
        <w:gridCol w:w="127"/>
        <w:gridCol w:w="127"/>
        <w:gridCol w:w="182"/>
      </w:tblGrid>
      <w:tr>
        <w:trPr/>
        <w:tc>
          <w:tcPr>
            <w:tcW w:w="78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Positions and Offices Held with Senti Biosciences,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21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21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Edward Mathers</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Omid Farokhzad, M.D.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Member of the audit committee.</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Member of the nominating and corporate governance committee.</w:t>
      </w:r>
    </w:p>
    <w:p>
      <w:pPr>
        <w:pStyle w:val="TextBody"/>
        <w:spacing w:lineRule="auto" w:line="288" w:before="120" w:after="283"/>
        <w:rPr/>
      </w:pPr>
      <w:r>
        <w:rPr>
          <w:rFonts w:ascii="Times New Roman;sans-serif" w:hAnsi="Times New Roman;sans-serif"/>
          <w:b/>
          <w:i/>
          <w:color w:val="000000"/>
          <w:sz w:val="20"/>
        </w:rPr>
        <w:t xml:space="preserve">Timothy Lu, M.D., Ph.D. </w:t>
      </w:r>
      <w:r>
        <w:rPr>
          <w:rFonts w:ascii="Times New Roman;sans-serif" w:hAnsi="Times New Roman;sans-serif"/>
          <w:b w:val="false"/>
          <w:color w:val="000000"/>
          <w:sz w:val="20"/>
        </w:rPr>
        <w:t xml:space="preserve">has served as a member of our board of directors and our Chief Executive Officer since the closing of our Business Combination in June 2022. Prior to the Business Combination, Dr. Lu served as a member of the board of directors of Legacy Senti since June 2016, the Chief Executive Officer of Legacy Senti since July 2016, and the President of Legacy Senti since February 2018, and is one of our co-founders.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since October 2021. Dr. Lu has been a co-founder and a Scientific Advisory Board member to a number of biotechnology and biopharmaceutical companies, including BiomX Inc. (NYSE: PHGE) from 2016 to 2019, and Tango Therapeutics, Inc. (NASDAQ: TNGX) from 2017 to 2021. Dr. Lu additionally joined the Scientific Advisory Board of Absci Corporation in 2023.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 </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120" w:after="283"/>
        <w:rPr/>
      </w:pPr>
      <w:r>
        <w:rPr>
          <w:rFonts w:ascii="Times New Roman;sans-serif" w:hAnsi="Times New Roman;sans-serif"/>
          <w:b/>
          <w:i/>
          <w:color w:val="000000"/>
          <w:sz w:val="20"/>
        </w:rPr>
        <w:t>Edward Mathers</w:t>
      </w:r>
      <w:r>
        <w:rPr>
          <w:color w:val="000000"/>
        </w:rPr>
        <w:t xml:space="preserve"> </w:t>
      </w:r>
      <w:r>
        <w:rPr>
          <w:rFonts w:ascii="Times New Roman;sans-serif" w:hAnsi="Times New Roman;sans-serif"/>
          <w:b w:val="false"/>
          <w:color w:val="000000"/>
          <w:sz w:val="20"/>
        </w:rPr>
        <w:t>has served as a member of our board of directors since the closing of our Business Combination in June 2022, and, prior to our Business Combination, as a member of the board of directors of Legacy Senti since July 2016. Mr. Mathers has served as a General Partner at New Enterprise Associates, Inc. (NEA), a private venture capital firm focusing on technology and healthcare investments, since November 2019, and prior to that served as partner at NEA from August 2008 to October 2019. Prior to joining NEA, Mr. Mathers served as Executive Vice President, Corporate Development and Venture at MedImmune, Inc., a biopharmaceutical company, and led its venture capital subsidiary, MedImmune Ventures, Inc. from June 2008 to June 2022. Mr. Mathers currently serves on the board of directors of Affinia Therapeutics, Inc., Code Biotherapeutics, Inc., Inozyme Pharma, Inc. (NASDAQ: INZY), Inversago Pharma, MBX Biosciences, Inc., ObsEva SA (NASDAQ: OBSV), Reneo Pharmaceuticals, Inc. (NASDAQ: RPHM), Rhythm Pharmaceuticals, Inc. (NASDAQ: RYTM), Shape Therapeutics Inc., Sorriso Pharmaceuticals, Inc., SpliceBio,SL, Synlogic, Inc. (NASDAQ: SYBX) (formerly known as Mirna Therapeutics, Inc.) and Trevi Therapeutics, Inc. (NASDAQ: TRVI), all biopharmaceutical or pharmaceutical companies, and he previously served on the board of directors of Akouos, Inc. (NASDAQ: AKUS), a public biotechnology company, from October 2017 to December 2022 when it was acquired by Eli Lilly and Company (NYSE: LLY), Mirum Pharmaceuticals, Inc. (NASDAQ: MIRM), a public biopharmaceutical company, from November 2018 to September 2022, Lumos Pharma, Inc. (NASDAQ: LUMO), a public biopharmaceutical company, from January 2014 to March 2020 when it merged with NewLink Genetics Corporation (NASDAQ: NLINK), Liquidia Technologies, Inc. (NASDAQ: LQDA), a public biopharmaceutical company, from April 2009 to May 2019 and Ra Pharmaceuticals, Inc. (NASDAQ: RARX) from February 2010 to April 2020 when it was acquired by UCB S.A.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 xml:space="preserve">Omid Farokhzad, M.D. </w:t>
      </w:r>
      <w:r>
        <w:rPr>
          <w:rFonts w:ascii="Times New Roman;sans-serif" w:hAnsi="Times New Roman;sans-serif"/>
          <w:b w:val="false"/>
          <w:color w:val="000000"/>
          <w:sz w:val="20"/>
        </w:rPr>
        <w:t xml:space="preserve">has served as a member of our board of directors since the closing of our Business Combination in June 2022. He founded Seer, Inc. (Nasdaq: SEER) in 2017, which advances a transformative proteomics platform, and has served as its Chief Executive Officer since February 2018 and as a member of its board of directors since March 2017, serving as the Chair since September 2020. He also served as Founder, Chief Executive Officer and Chair of our predecessor, Dynamics Special Purpose Corp. (NASDAQ: DYNS) from March 2021 to June 2022. He previously co-founded BIND Therapeutics (acquired by Pfizer Inc. (NYSE: PFE)),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a director of the Center for Nanomedicine at Brigham and Women’s Hospital. Dr. Farokhzad holds an MA and M.D. from Boston University and an MBA from MIT Sloan School of Management. We believe Dr. Farokhzad is qualified to serve on our board of directors because of his experience in leadership positions in the biotechnology and life science industry, his educational background and his strong scientific knowledge.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Vote Required and Board of Directors’ Recommendation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three (3) nominees for Class I director who receive the most votes (also known as a plurality) will be elected. You may vote either FOR all the nominees, FOR any one of the nominees, WITHHOLD your vote from all the nominees or WITHHOLD your vote from any one of the nominees. Votes that are withheld will not be included in the vote tally for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 for the election of directors relates solely to the election of Class I directors nominated by our board of directors.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board of directors recommends voting “FOR” the election of Timothy Lu, M.D., Ph.D., Edward Mathers and Omid Farokhzad, M.D. as Class I directors, to serve for a three-year term ending at the annual meeting of stockholders to be held in 2026.</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Directors Continuing in Office*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our continuing directors, and sets forth their principal occupation and business experience during the last five years and their ages as of April 28, 2023.</w:t>
      </w:r>
    </w:p>
    <w:tbl>
      <w:tblPr>
        <w:tblW w:w="10083" w:type="dxa"/>
        <w:jc w:val="left"/>
        <w:tblInd w:w="0" w:type="dxa"/>
        <w:tblCellMar>
          <w:top w:w="28" w:type="dxa"/>
          <w:left w:w="28" w:type="dxa"/>
          <w:bottom w:w="28" w:type="dxa"/>
          <w:right w:w="28" w:type="dxa"/>
        </w:tblCellMar>
      </w:tblPr>
      <w:tblGrid>
        <w:gridCol w:w="883"/>
        <w:gridCol w:w="775"/>
        <w:gridCol w:w="787"/>
        <w:gridCol w:w="109"/>
        <w:gridCol w:w="109"/>
        <w:gridCol w:w="109"/>
        <w:gridCol w:w="939"/>
        <w:gridCol w:w="939"/>
        <w:gridCol w:w="942"/>
        <w:gridCol w:w="109"/>
        <w:gridCol w:w="109"/>
        <w:gridCol w:w="109"/>
        <w:gridCol w:w="379"/>
        <w:gridCol w:w="379"/>
        <w:gridCol w:w="381"/>
        <w:gridCol w:w="109"/>
        <w:gridCol w:w="109"/>
        <w:gridCol w:w="109"/>
        <w:gridCol w:w="644"/>
        <w:gridCol w:w="644"/>
        <w:gridCol w:w="647"/>
        <w:gridCol w:w="109"/>
        <w:gridCol w:w="109"/>
        <w:gridCol w:w="109"/>
        <w:gridCol w:w="127"/>
        <w:gridCol w:w="127"/>
        <w:gridCol w:w="182"/>
      </w:tblGrid>
      <w:tr>
        <w:trPr/>
        <w:tc>
          <w:tcPr>
            <w:tcW w:w="88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Positions and Offices Held with Senti </w:t>
              <w:br/>
              <w:t>Biosciences,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Director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Class and Year in Which </w:t>
              <w:br/>
              <w:t>Term Will Expire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2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Susan Berland</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David Epstein</w:t>
            </w:r>
            <w:r>
              <w:rPr>
                <w:rFonts w:ascii="Times New Roman;sans-serif" w:hAnsi="Times New Roman;sans-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Brenda Cooperstone, M.D.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James (Jim) Collins, Ph.D.</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Member of audit committee.</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Member of compensation committee.</w:t>
      </w:r>
    </w:p>
    <w:p>
      <w:pPr>
        <w:pStyle w:val="TextBody"/>
        <w:spacing w:lineRule="auto" w:line="288" w:before="6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Member of nominating and corporate governance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*Mr. Epstein has informed our board of directors that he will be resigning from our board of directors, including all committees of the board on which he serves, effective as of the close of business June 16,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Class II Directors (Term Expires at 2024 Annual Meeting) </w:t>
      </w:r>
    </w:p>
    <w:p>
      <w:pPr>
        <w:pStyle w:val="TextBody"/>
        <w:spacing w:lineRule="auto" w:line="288" w:before="120" w:after="283"/>
        <w:rPr/>
      </w:pPr>
      <w:r>
        <w:rPr>
          <w:rFonts w:ascii="Times New Roman;sans-serif" w:hAnsi="Times New Roman;sans-serif"/>
          <w:b/>
          <w:i/>
          <w:color w:val="000000"/>
          <w:sz w:val="20"/>
        </w:rPr>
        <w:t xml:space="preserve">Susan Berland </w:t>
      </w:r>
      <w:r>
        <w:rPr>
          <w:rFonts w:ascii="Times New Roman;sans-serif" w:hAnsi="Times New Roman;sans-serif"/>
          <w:b w:val="false"/>
          <w:color w:val="000000"/>
          <w:sz w:val="20"/>
        </w:rPr>
        <w:t xml:space="preserve">has served as a member of our board of directors since the closing of our Business Combination in June, 2022, and, prior to our Business Combination, as a member of the board of directors of Legacy Senti since June 2021. Most recently, Ms. Berland served as Consulting Chief Financial Officer of Bluestar Genomics, Inc. from May 2000 through August 2021. Previously, Ms. Berland was Chief Financial Officer at Atreca, Inc. (NASDAQ: BCEL), a publicly held biopharmaceutical company, from February 2015 to April 2019 and Chief Financial Officer at Mendel Biotechnology from September 2011 to December 2014. Ms. Berland served as an independent consultant to various biotechnology companies from March 2006 to August 2011. Ms. Berland was also the Chief Financial Officer at Poniard Pharmaceuticals from September 2004 to August 2006, and Chief Financial Officer at DNA Sciences from September 2000 to May 2003. Ms. Berland held various leadership positions at Monsanto including Head of Financial Planning from June 1999 to August 2000 and Director, Mergers &amp; Acquisitions from April 1996 to June 1999. Ms. Berland earned her B.A. in Finance and M.B.A. from the University of Wisconsin—Milwaukee. We believe Ms. Berland is qualified to serve on our board of directors because of her extensive financial experience and experience in the biotechnology industry. </w:t>
      </w:r>
    </w:p>
    <w:p>
      <w:pPr>
        <w:pStyle w:val="TextBody"/>
        <w:spacing w:lineRule="auto" w:line="288" w:before="120" w:after="283"/>
        <w:rPr/>
      </w:pPr>
      <w:r>
        <w:rPr>
          <w:rFonts w:ascii="Times New Roman;sans-serif" w:hAnsi="Times New Roman;sans-serif"/>
          <w:b/>
          <w:i/>
          <w:color w:val="000000"/>
          <w:sz w:val="20"/>
        </w:rPr>
        <w:t>David R. Epstein</w:t>
      </w:r>
      <w:r>
        <w:rPr>
          <w:color w:val="000000"/>
        </w:rPr>
        <w:t xml:space="preserve"> </w:t>
      </w:r>
      <w:r>
        <w:rPr>
          <w:rFonts w:ascii="Times New Roman;sans-serif" w:hAnsi="Times New Roman;sans-serif"/>
          <w:b w:val="false"/>
          <w:color w:val="000000"/>
          <w:sz w:val="20"/>
        </w:rPr>
        <w:t>has served as a member of our board of directors since June 2022, and was previously a member of the board of our predecessor, Dynamics Special Purpose Corp. (NASDAQ: DYNS) since March 2021. On April 26, 2023, Mr. Epstein informed our board of directors that he will be resigning from our board of directors, including all committees of the board on which he serves, effective as of the close of business June 16, 2023. Since November 2022, Mr. Epstein has been the Chief Executive Officer and a member of the board of directors of Seagen Inc. (NASDAQ: SGEN). Mr. Epstein currently serves on the board of directors of OPY Acquisition Corp. I (NASDAQ: OHAA). Mr. Epstein is also a board member at a privately held biotherapeutics company (Valo Health, LLC). From 2017 until October 2022, Mr. Epstein was the executive partner at Flagship Pioneering. From 2010 to mid-2016, he served as CEO of Novartis Pharmaceuticals, a division of Novartis AG. Previously, he started and led Novartis’s Oncology and Molecular Diagnostic units. Under his leadership, Norvartis’s oncology business grew to the second largest in the world. Early in his career, he was an associate in the strategy practice of consulting firm Booz, Allen and Hamilton. Mr. Epstein previously served on the board of directors and as Chairman of Axcella Health Inc. (formerly Axcella Therapeutics) (NASDAQ: AXLA) from May 2019 to October 2022 and on the board of directors of Rubius Therapeutics, Inc. (NASDAQ: RUBY) from July 2018 to October 2022. Mr. Epstein holds a B.S. in pharmacy from Rutgers University College of Pharmacy and an M.B.A. in finance and marketing from Columbia University Graduate School of Business. We believe that Mr. Epstein’s extensive experience serving in executive roles in the life sciences industry and leading the development and commercialization of numerous therapeutics qualifies him to serve on our board of directors.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Class III Directors (Term Expires at 2025 Annual Meeting) </w:t>
      </w:r>
    </w:p>
    <w:p>
      <w:pPr>
        <w:pStyle w:val="TextBody"/>
        <w:spacing w:lineRule="auto" w:line="288" w:before="120" w:after="283"/>
        <w:rPr/>
      </w:pPr>
      <w:r>
        <w:rPr>
          <w:rFonts w:ascii="Times New Roman;sans-serif" w:hAnsi="Times New Roman;sans-serif"/>
          <w:b/>
          <w:i/>
          <w:color w:val="000000"/>
          <w:sz w:val="20"/>
        </w:rPr>
        <w:t>Brenda Cooperstone, M.D.</w:t>
      </w:r>
      <w:r>
        <w:rPr>
          <w:color w:val="000000"/>
        </w:rPr>
        <w:t xml:space="preserve"> </w:t>
      </w:r>
      <w:r>
        <w:rPr>
          <w:rFonts w:ascii="Times New Roman;sans-serif" w:hAnsi="Times New Roman;sans-serif"/>
          <w:b w:val="false"/>
          <w:color w:val="000000"/>
          <w:sz w:val="20"/>
        </w:rPr>
        <w:t xml:space="preserve">has served as a member of our board of directors since the closing of our Business Combination in June 2022, and, prior to our Business Combination, as a member of the board of directors of Legacy Senti since October 2019. Dr. Cooperstone has held various leadership positions at Pfizer, Inc. (NYSE: PFE), a public biopharmaceutical company, including as Senior Vice President since May 2017, Chief Development Officer for Rare Disease in Global Product Development from May 2016 to December 2022, and Head of Development for Rare Disease in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120" w:after="283"/>
        <w:rPr/>
      </w:pPr>
      <w:r>
        <w:rPr>
          <w:rFonts w:ascii="Times New Roman;sans-serif" w:hAnsi="Times New Roman;sans-serif"/>
          <w:b w:val="false"/>
          <w:color w:val="000000"/>
          <w:sz w:val="20"/>
        </w:rPr>
        <w:t>Global Product Development from November 2015 to May 2016. Dr. Cooperstone started her career in the pharmaceutical industry at Wyeth Pharmaceuticals Inc. in 1999 and joined Pfizer, Inc., when it acquired Wyeth Pharmaceuticals,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w:t>
      </w:r>
      <w:r>
        <w:rPr>
          <w:rFonts w:ascii="Times New Roman;sans-serif" w:hAnsi="Times New Roman;sans-serif"/>
          <w:b/>
          <w:i/>
          <w:color w:val="000000"/>
          <w:sz w:val="20"/>
        </w:rPr>
        <w:t>.</w:t>
      </w:r>
    </w:p>
    <w:p>
      <w:pPr>
        <w:pStyle w:val="TextBody"/>
        <w:spacing w:lineRule="auto" w:line="288" w:before="120" w:after="283"/>
        <w:rPr/>
      </w:pPr>
      <w:r>
        <w:rPr>
          <w:rFonts w:ascii="Times New Roman;sans-serif" w:hAnsi="Times New Roman;sans-serif"/>
          <w:b/>
          <w:i/>
          <w:color w:val="000000"/>
          <w:sz w:val="20"/>
        </w:rPr>
        <w:t xml:space="preserve">James J. (Jim) Collins, Ph.D. </w:t>
      </w:r>
      <w:r>
        <w:rPr>
          <w:rFonts w:ascii="Times New Roman;sans-serif" w:hAnsi="Times New Roman;sans-serif"/>
          <w:b w:val="false"/>
          <w:color w:val="000000"/>
          <w:sz w:val="20"/>
        </w:rPr>
        <w:t xml:space="preserve">has served as a member of our board of directors since June 2022. Dr. Collins has served as the Termeer Professor of 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serves as a member of the board of directors of Fulcrum Therapeutics, Inc. (NASDAQ: FULC) since January 2017 and the Orion Biotech Opportunities Corp (NASDAQ: ORIA) since May 2021.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There are no material legal proceedings to which any of our directors is a party adverse to us or any of our subsidiaries or in which any such person has a material interest adverse to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2 — RATIFICATION OF THE APPOINTMENT OF KPMG LLP AS SENTI BIOSCIENCES, INC.’S INDEPENDENT REGISTERED PUBLIC ACCOUNTING FIRM FOR THE FISCAL YEAR ENDING DECEMBER 31, 2023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stockholders are being asked to ratify the appointment by the audit committee of the board of directors of KPMG LLP as our independent registered public accounting firm for the fiscal year ending December 31, 2023. Marcum LLP (Marcum) served as the independent registered public accounting firm for DYNS prior to the Business Combination. Marcum was informed that it would be replaced by KPMG LLP as our independent registered public accounting firm following the Business Combination. KPMG LLP served as the auditor of Legacy Senti since 2019.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solely responsible for selecting our independent registered public accounting firm for the fiscal year ending December 31, 2023. Stockholder approval is not required to appoint KPMG LLP as our independent registered public accounting firm. However, the board of directors believe that submitting the appointment of KPMG LLP to the stockholders for ratification is good corporate governance. If the stockholders do not ratify this appointment, the audit committee will reconsider whether to retain KPMG LLP. If the selection of KMPG LLP is ratified, the audit committee, at its discretion, may direct the appointment of a different independent registered public accounting firm at any time it decides that such a change would be in our best interests and our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representative of KPMG LLP is expected to be present at the Annual Meeting and will have an opportunity to make a statement if he or she desires to do so and to respond to appropriate questions from our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the following fees from KPMG LLP for the audit of the financial statements and for other services provided during the years ended December 31, 2022 and 2021. </w:t>
      </w:r>
    </w:p>
    <w:tbl>
      <w:tblPr>
        <w:tblW w:w="4221" w:type="dxa"/>
        <w:jc w:val="left"/>
        <w:tblInd w:w="0" w:type="dxa"/>
        <w:tblCellMar>
          <w:top w:w="28" w:type="dxa"/>
          <w:left w:w="28" w:type="dxa"/>
          <w:bottom w:w="28" w:type="dxa"/>
          <w:right w:w="28" w:type="dxa"/>
        </w:tblCellMar>
      </w:tblPr>
      <w:tblGrid>
        <w:gridCol w:w="650"/>
        <w:gridCol w:w="573"/>
        <w:gridCol w:w="577"/>
        <w:gridCol w:w="109"/>
        <w:gridCol w:w="109"/>
        <w:gridCol w:w="109"/>
        <w:gridCol w:w="211"/>
        <w:gridCol w:w="466"/>
        <w:gridCol w:w="109"/>
        <w:gridCol w:w="109"/>
        <w:gridCol w:w="109"/>
        <w:gridCol w:w="109"/>
        <w:gridCol w:w="211"/>
        <w:gridCol w:w="616"/>
        <w:gridCol w:w="154"/>
      </w:tblGrid>
      <w:tr>
        <w:trPr/>
        <w:tc>
          <w:tcPr>
            <w:tcW w:w="65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Audit fees consist of fees billed for the audit of our annual financial statements, the review of our interim financial statements included in our quarterly reports on Form 10-Q, and services in connection with the Company’s securities offerings, including registration statements, responding to SEC comment letters, comfort letters and consents. </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Audit-related fees consist of services that are reasonably related to the performance of the audit or review of our financial statements.</w:t>
      </w:r>
    </w:p>
    <w:p>
      <w:pPr>
        <w:pStyle w:val="TextBody"/>
        <w:spacing w:lineRule="auto" w:line="288" w:before="6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Tax Fees consist of fees for tax compliance, advice and tax planning and includes fees for tax return preparation.</w:t>
      </w:r>
    </w:p>
    <w:p>
      <w:pPr>
        <w:pStyle w:val="TextBody"/>
        <w:spacing w:lineRule="auto" w:line="288" w:before="6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All other fees include any fees billed that are not audit, audit related or tax fees. In 2022 and 2021, these fees included a license to an accounting research database and an accounting disclosure checklist.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Audit Committee Pre-approval Policy and Procedures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2021 and 2022 fiscal years, no services were provided to us by KPMG LLP other than in accordance with the pre-approval policies and procedures described above.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Vote Required and Board of Directors’ Recommendation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affirmative vote of a majority of the votes cast FOR this proposal is required to ratify the appointment of our independent registered public accounting firm. You may vote either FOR the ratification of the appointment or AGAINST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or you may choose to ABSTAIN from voting. Abstentions and broker non-votes, if any, will have no effect on the results of this vote.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The board of directors recommends voting “FOR” Proposal No. 2 to ratify the appointment of KPMG LLP as our independent registered public accounting firm for the fiscal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Director Nomination Process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responsible for identifying individuals qualified to serve as directors, consistent with criteria approved by our board of directors, and recommending such persons to be nominated for election as directors at each annual meeting of stockholders, developing and recommending to the board of directors corporate governance guidelines and periodically reviewing these guidelines and recommending any changes, and overseeing an annual evaluation of the board of directors, its committees and management.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identifying prospective director candidates, the nominating and corporate governance committee may consider all facts and circumstances that it deems appropriate or advisable, including, among other things, the skills of the prospective director candidate, his or her depth and breadth of business experience or other background characteristics, his or her independence and the needs of the board of directors. At a minimum, the nominating and corporate governance committee must be satisfied that each recommended nominee meets the following minimum qualifications: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nominee shall have experience at a strategic or policymaking level in a business, government, non-profit or academic organization of high standing.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nominee shall be highly accomplished in his or her respective field, with superior credentials and recognition.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nominee shall be well regarded in the community and shall have a long-term reputation for high ethical and moral standards.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nominee shall have sufficient time and availability to devote to the affairs of the Company, particularly in light of the number of boards of directors on which such nominee may serve.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To the extent such nominee serves or has previously served on other boards, the nominee shall have a demonstrated history of actively contributing at board meetings.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candidate shall be effective, in conjunction with other members of and/or candidates to the Board, in collectively serving the long-term interests of the Company’s stockholders.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any other standards the nominating and corporate governance committee may deem appropriate from time to time for the overall structure and composition of the board of directors, the nominating and corporate governance committee may consider whether the candidate, if elected, assists in achieving a mix of Board members that represents a diversity of background and experience.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of directors has determined that Brenda Cooperstone, M.D., Susan Berland, Edward Mathers, Omid Farokhzad, M.D., David Epstein and James J. (Jim) Collins, Ph.D. are considered independent directors. Our independent directors have regularly scheduled meetings at which only independent directors are present.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Board Diversity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comply with Nasdaq Rule 5605 by having three diverse directors (43%), including two directors who self-identify as Female and one director who self-identifies as an underrepresented minority. The following table provides information regarding the gender and demographic diversity of our directors, based on each director’s voluntary self-identified characteristics.</w:t>
      </w:r>
    </w:p>
    <w:tbl>
      <w:tblPr>
        <w:tblW w:w="7749" w:type="dxa"/>
        <w:jc w:val="left"/>
        <w:tblInd w:w="0" w:type="dxa"/>
        <w:tblCellMar>
          <w:top w:w="28" w:type="dxa"/>
          <w:left w:w="28" w:type="dxa"/>
          <w:bottom w:w="28" w:type="dxa"/>
          <w:right w:w="28" w:type="dxa"/>
        </w:tblCellMar>
      </w:tblPr>
      <w:tblGrid>
        <w:gridCol w:w="1190"/>
        <w:gridCol w:w="1043"/>
        <w:gridCol w:w="1052"/>
        <w:gridCol w:w="234"/>
        <w:gridCol w:w="234"/>
        <w:gridCol w:w="234"/>
        <w:gridCol w:w="234"/>
        <w:gridCol w:w="234"/>
        <w:gridCol w:w="234"/>
        <w:gridCol w:w="340"/>
        <w:gridCol w:w="340"/>
        <w:gridCol w:w="341"/>
        <w:gridCol w:w="597"/>
        <w:gridCol w:w="597"/>
        <w:gridCol w:w="845"/>
      </w:tblGrid>
      <w:tr>
        <w:trPr/>
        <w:tc>
          <w:tcPr>
            <w:tcW w:w="119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7749" w:type="dxa"/>
            <w:gridSpan w:val="15"/>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Board Diversity Matrix (As of April 28, 2023)</w:t>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Number of Directors</w:t>
            </w:r>
          </w:p>
        </w:tc>
        <w:tc>
          <w:tcPr>
            <w:tcW w:w="4464" w:type="dxa"/>
            <w:gridSpan w:val="12"/>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7</w:t>
            </w:r>
          </w:p>
        </w:tc>
      </w:tr>
      <w:tr>
        <w:trPr/>
        <w:tc>
          <w:tcPr>
            <w:tcW w:w="328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bottom w:val="single" w:sz="16"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Female</w:t>
            </w:r>
          </w:p>
        </w:tc>
        <w:tc>
          <w:tcPr>
            <w:tcW w:w="702" w:type="dxa"/>
            <w:gridSpan w:val="3"/>
            <w:tcBorders>
              <w:top w:val="single" w:sz="8" w:space="0" w:color="000000"/>
              <w:left w:val="single" w:sz="8" w:space="0" w:color="000000"/>
              <w:bottom w:val="single" w:sz="16"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Male</w:t>
            </w:r>
          </w:p>
        </w:tc>
        <w:tc>
          <w:tcPr>
            <w:tcW w:w="1021" w:type="dxa"/>
            <w:gridSpan w:val="3"/>
            <w:tcBorders>
              <w:top w:val="single" w:sz="8" w:space="0" w:color="000000"/>
              <w:left w:val="single" w:sz="8" w:space="0" w:color="000000"/>
              <w:bottom w:val="single" w:sz="16"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Non-Binary</w:t>
            </w:r>
          </w:p>
        </w:tc>
        <w:tc>
          <w:tcPr>
            <w:tcW w:w="2039" w:type="dxa"/>
            <w:gridSpan w:val="3"/>
            <w:tcBorders>
              <w:top w:val="single" w:sz="8" w:space="0" w:color="000000"/>
              <w:left w:val="single" w:sz="8" w:space="0" w:color="000000"/>
              <w:bottom w:val="single" w:sz="16"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Did Not Disclose Gender</w:t>
            </w:r>
          </w:p>
        </w:tc>
      </w:tr>
      <w:tr>
        <w:trPr/>
        <w:tc>
          <w:tcPr>
            <w:tcW w:w="7749" w:type="dxa"/>
            <w:gridSpan w:val="15"/>
            <w:tcBorders>
              <w:top w:val="single" w:sz="16"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 Gender Identity</w:t>
            </w:r>
          </w:p>
        </w:tc>
      </w:tr>
      <w:tr>
        <w:trPr/>
        <w:tc>
          <w:tcPr>
            <w:tcW w:w="3285"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Directors</w:t>
            </w:r>
          </w:p>
        </w:tc>
        <w:tc>
          <w:tcPr>
            <w:tcW w:w="702" w:type="dxa"/>
            <w:gridSpan w:val="3"/>
            <w:tcBorders>
              <w:top w:val="single" w:sz="16" w:space="0" w:color="000000"/>
              <w:left w:val="single" w:sz="8" w:space="0" w:color="000000"/>
              <w:bottom w:val="single" w:sz="16"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w:t>
            </w:r>
          </w:p>
        </w:tc>
        <w:tc>
          <w:tcPr>
            <w:tcW w:w="702" w:type="dxa"/>
            <w:gridSpan w:val="3"/>
            <w:tcBorders>
              <w:top w:val="single" w:sz="16" w:space="0" w:color="000000"/>
              <w:left w:val="single" w:sz="8" w:space="0" w:color="000000"/>
              <w:bottom w:val="single" w:sz="16"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5</w:t>
            </w:r>
          </w:p>
        </w:tc>
        <w:tc>
          <w:tcPr>
            <w:tcW w:w="1021" w:type="dxa"/>
            <w:gridSpan w:val="3"/>
            <w:tcBorders>
              <w:top w:val="single" w:sz="16" w:space="0" w:color="000000"/>
              <w:left w:val="single" w:sz="8" w:space="0" w:color="000000"/>
              <w:bottom w:val="single" w:sz="16" w:space="0" w:color="000000"/>
            </w:tcBorders>
            <w:shd w:fill="auto" w:val="clear"/>
            <w:tcMar>
              <w:right w:w="0" w:type="dxa"/>
            </w:tcMar>
            <w:vAlign w:val="center"/>
          </w:tcPr>
          <w:p>
            <w:pPr>
              <w:pStyle w:val="TableContents"/>
              <w:spacing w:before="0" w:after="283"/>
              <w:rPr>
                <w:sz w:val="4"/>
                <w:szCs w:val="4"/>
              </w:rPr>
            </w:pPr>
            <w:r>
              <w:rPr>
                <w:sz w:val="4"/>
                <w:szCs w:val="4"/>
              </w:rPr>
            </w:r>
          </w:p>
        </w:tc>
        <w:tc>
          <w:tcPr>
            <w:tcW w:w="2039" w:type="dxa"/>
            <w:gridSpan w:val="3"/>
            <w:tcBorders>
              <w:top w:val="single" w:sz="16" w:space="0" w:color="000000"/>
              <w:left w:val="single" w:sz="8" w:space="0" w:color="000000"/>
              <w:bottom w:val="single" w:sz="16" w:space="0" w:color="000000"/>
              <w:right w:val="single" w:sz="8" w:space="0" w:color="000000"/>
            </w:tcBorders>
            <w:shd w:fill="auto" w:val="clear"/>
            <w:vAlign w:val="center"/>
          </w:tcPr>
          <w:p>
            <w:pPr>
              <w:pStyle w:val="TableContents"/>
              <w:spacing w:before="0" w:after="283"/>
              <w:rPr>
                <w:sz w:val="4"/>
                <w:szCs w:val="4"/>
              </w:rPr>
            </w:pPr>
            <w:r>
              <w:rPr>
                <w:sz w:val="4"/>
                <w:szCs w:val="4"/>
              </w:rPr>
            </w:r>
          </w:p>
        </w:tc>
      </w:tr>
      <w:tr>
        <w:trPr/>
        <w:tc>
          <w:tcPr>
            <w:tcW w:w="7749" w:type="dxa"/>
            <w:gridSpan w:val="15"/>
            <w:tcBorders>
              <w:top w:val="single" w:sz="16" w:space="0" w:color="000000"/>
              <w:left w:val="single" w:sz="8" w:space="0" w:color="000000"/>
              <w:right w:val="single" w:sz="8" w:space="0" w:color="000000"/>
            </w:tcBorders>
            <w:shd w:fill="D9D9D9" w:val="clear"/>
            <w:tcMar>
              <w:top w:w="30" w:type="dxa"/>
              <w:bottom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 Demographic Background</w:t>
            </w:r>
          </w:p>
        </w:tc>
      </w:tr>
      <w:tr>
        <w:trPr/>
        <w:tc>
          <w:tcPr>
            <w:tcW w:w="3285" w:type="dxa"/>
            <w:gridSpan w:val="3"/>
            <w:tcBorders>
              <w:top w:val="single" w:sz="16"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African American or Black</w:t>
            </w:r>
          </w:p>
        </w:tc>
        <w:tc>
          <w:tcPr>
            <w:tcW w:w="702"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16"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16"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Alaskan Native or Native American</w:t>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w:t>
            </w:r>
          </w:p>
        </w:tc>
        <w:tc>
          <w:tcPr>
            <w:tcW w:w="10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Hispanic or Latinx</w:t>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Native Hawaiian or Pacific Islander</w:t>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w:t>
            </w:r>
          </w:p>
        </w:tc>
        <w:tc>
          <w:tcPr>
            <w:tcW w:w="70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3</w:t>
            </w:r>
          </w:p>
        </w:tc>
        <w:tc>
          <w:tcPr>
            <w:tcW w:w="102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Two or More Races or Ethnicities</w:t>
            </w:r>
          </w:p>
        </w:tc>
        <w:tc>
          <w:tcPr>
            <w:tcW w:w="70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03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4464" w:type="dxa"/>
            <w:gridSpan w:val="12"/>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r>
        <w:trPr/>
        <w:tc>
          <w:tcPr>
            <w:tcW w:w="328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Did Not Disclose Demographic Background</w:t>
            </w:r>
          </w:p>
        </w:tc>
        <w:tc>
          <w:tcPr>
            <w:tcW w:w="4464" w:type="dxa"/>
            <w:gridSpan w:val="12"/>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w:t>
            </w:r>
          </w:p>
        </w:tc>
      </w:tr>
    </w:tbl>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Proxy Statement. The composition and responsibilities of each of the committees of our board of directors are described below. Members serve on these committees until their resignation or until otherwise determined by our board of directors.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Susan Berland, Edward Mathers and Omid Farokhzad, M.D.. Our board of directors has determined that each member of the audit committee satisfies the independence requirements under the Nasdaq Listing Rules and Rule 10A-3(b)(1) of the Exchange Act. The chair of the audit committee is Susan Berland. Our board of directors has determined that Susan Berland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helping our board of directors oversee the corporate accounting and financial reporting processes, including overseeing the work of the independent registered public accounting firm;</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managing and/or assessing the selection, engagement, qualifications, independence and performance of a qualified firm to serve as the independent registered public accounting firm to audit our consolidated financial statements;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discussing the scope and results of the audit with the independent registered public accounting firm, and reviewing, with management and the independent accountants, our interim and year-end operating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developing, reviewing and reassessing procedures for employees to submit concerns anonymously about questionable accounting or audit matters;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and approving or ratifying related party transactions;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our policies on risk assessment and risk management framework and major risk exposures, including the Company’s enterprise risk processes;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with the independent registered public accounting firm, our internal quality control procedures, any material issues with such procedures and any steps taken to deal with such issues; and</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pre-approving audit and permissible non-audit services to be performed by the independent registered public accounting firm.</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 committee operates under a written charter that satisfies the applicable Nasdaq Listing Rules and a copy of the audit committee charter is available on our website, at https://www.sentibio.com/ under “Investors-Corporate Governance- Documents &amp; Charters.”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Brenda Cooperstone, M.D., Susan Berland and David Epstein. The chair of the compensation committee is Brenda Cooperstone. The parties have determined that each member of the compensation committee satisfies the independence requirements under the Nasdaq Listing Rules, and is a “non-employee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and approving the corporate goals and objectives to be considered in determining the compensation of the chief executive officer;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evaluating the chief executive officer’s performance in light of such corporate goals and objectives and reviewing and approving , or recommending to our board of directors for approval, the compensation of the chief executive officer based on such evaluation;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periodically reviewing the aggregate amount of compensation being paid or potentially payable to the chief executive officer;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and approving the compensation of our other executive officers (other than the chief executive officer);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periodically reviewing and recommending to our board of directors the compensation of our non-employee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administering our equity incentive plans and other incentive compensation or employee benefit programs;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establishing and reassessing general policies and procedures relating to compensation and benefits of our employees, non-employee directors, and other members of senior management including our overall compensation philosophy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retaining, determining the compensation of, and overseeing any consulting firm or outside advisor to assist in compensation matters;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reviewing the compensation discussion and analysis and preparing the compensation committee report as required by SEC rules, if and when required, to be included in our annual proxy statement or annual report on Form 10-K.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operates under a written charter that satisfies the applicable Nasdaq Listing Rules, and a copy of the compensation committee charter is available on our website, at https://www.sentibio.com/ under “Investors - Corporate Governance - Documents &amp; Charters.”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consists of Edward Mathers, James J. (Jim) Collins, Ph.D., and David Epstein. The chair of the nominating and corporate governance committee is Edward Mathers. Our board of directors has determined that each member of the nominating and corporate governance committee satisfies the independence requirements under the Nasdaq Listing Rules.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Specific responsibilities of our nominating and corporate governance committee include: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identifying and evaluating candidates, including the nomination of incumbent directors for reelection and nominees recommended by stockholders, to serve on our board of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considering and making recommendations to our board of directors regarding the composition and chairpersonship of the board of directors and committees of the board of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reviewing, developing, and reassessing the adequacy of corporate governance practices;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developing and making recommendations to our board of directors regarding corporate governance guidelines and matters;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periodically preparing or assembling materials and conducting sessions for continuing education of our board of directors regarding effective discharge of duties;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overseeing periodic evaluations of our board of directors’ performance, including committees of our board of directors.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https://www.sentibio.com/under “Investors - Corporate Governance - Documents &amp; Charters.”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Board and Committee Meetings Attendance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following the closing of the Business Combination, the full board of directors met four times, the audit committee met three times, the compensation committee met three times, and the nominating and corporate governance committee met one time. During 2022, following the closing of the Business Combination,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Director Attendance at Annual Meeting of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Directors are encouraged to attend the annual meeting of stockholders to the extent practicable. We held a special meeting of stockholders in lieu of an annual meeting in 2022 to approve the proposed Business Combination, among other items.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Policy on Insider Trading, Pledging and Hedging of Company Stock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Insider Trading Policy prohibits our executive officers, the non-employee members of our board of directors and certain other employees from engaging in the following transactions: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trading in the securities of the Company, whether for own account or for the account of another, while in the possession of material, nonpublic information about the Company;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disclosing material, nonpublic information about the Company to others who may trade on the basis of that information (“tipping”).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selling any of our securities that they do not own at the time of the sale (referred to as a “short sale”);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buying or selling puts, calls, other derivative securities of the Company or any derivative securities that provide the economic equivalent of ownership of any of our securities or an opportunity, direct or indirect, to profit from any change in the value of our securities or engaging in any other hedging transaction with respect to our securities;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using our securities as collateral in a margin account;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pledging our securities as collateral for a loan (or modifying an existing pledge).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proxy statement, none of our executive officers or non-employee directors have previously engaged in any hedging or pledging transaction involving our securities.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None of the members of the compensation committee is currently, or has been at any time, an executive officer or employee of the Company, DYNS or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Code of Business Conduct and Ethics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www.sentibio.com.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Proxy Statement. If we make any substantive amendments to, or grant any waivers from, the Code of Conduct for any officer or director, we will disclose the nature of such amendment or waiver on our website or in a current report on Form 8-K.</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Board Leadership Structure and Board’s Role in Risk Oversight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Timothy Lu, M.D., Ph.D. is our current President and Chief Executive Officer. We do not have a Chairperson of the Board or a lead independent director. In the absence of a Chairperson of the Board, our President and Chief Executive Officer presides at all meetings of our board of directors and stockholders. We believe this is appropriate for our company at this time because of (1) our size, (2) the size of our board, (3) our Chief Executive Officer is responsible for our day-to-day operations and implementing our strategy, and (4) discussion of developments in our business and financial condition and results are important parts of the discussion at board meetings and we believe it is appropriate for the Chief Executive Officer to chair those discussions. Our board of directors recognizes the time, effort and energy that the President and Chief Executive Officer is required to devote to his position in the current business environment, particularly as the board of directors’ oversight responsibilities continue to grow, and will periodically evaluate the leadership structure of our board of directors.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Communication with the Directors of Senti Biosciences, Inc.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 Senti Biosciences,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Corporate Drive, First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South San Francisco, CA, 94080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any such written communication may also be forwarded to Senti’s legal counsel and a copy of such communication may be retained for a reasonable period of time. The director may discuss the matter with Senti’s legal counsel, with independent advisors, with non-management directors, or with Senti’s management, or may take other action or no action as the director determines in good faith, using reasonable judgment, and applying his or her own discretion.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audit committee oversees the procedures for the receipt, retention, and treatment of complaints received by Senti regarding accounting, internal accounting controls, or audit matters, and the confidential, anonymous submission by employees of concerns regarding questionable accounting, internal accounting controls or auditing matters. Senti has also established a toll-free telephone number for the reporting of such activity, which is +1 (844) 982-1781.</w:t>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consummating the Business Combination, we did not have a formal director compensation policy. In July 2022, after consummating the Business Combination, we adopted a non-employee director compensation policy, as described below.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Non-Employee Director Compensation Policy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July 2022, our board of directors adopted a non-employee director compensation policy. The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of directors or board committees. We do not pay additional compensation for attending individual meetings of our board of directors.</w:t>
      </w:r>
    </w:p>
    <w:tbl>
      <w:tblPr>
        <w:tblW w:w="8090" w:type="dxa"/>
        <w:jc w:val="left"/>
        <w:tblInd w:w="0" w:type="dxa"/>
        <w:tblCellMar>
          <w:top w:w="28" w:type="dxa"/>
          <w:left w:w="28" w:type="dxa"/>
          <w:bottom w:w="28" w:type="dxa"/>
          <w:right w:w="28" w:type="dxa"/>
        </w:tblCellMar>
      </w:tblPr>
      <w:tblGrid>
        <w:gridCol w:w="2539"/>
        <w:gridCol w:w="2228"/>
        <w:gridCol w:w="2237"/>
        <w:gridCol w:w="211"/>
        <w:gridCol w:w="721"/>
        <w:gridCol w:w="154"/>
      </w:tblGrid>
      <w:tr>
        <w:trPr/>
        <w:tc>
          <w:tcPr>
            <w:tcW w:w="2539"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Annual Retainer for Board Membership</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Additional Annual Retainer for Non-Executive Chair</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Additional Annual Retainer for Committee Membership</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Chairperson: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 Member (other than Chairperson)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Chairperson: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Member (other than Chairperson)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 Chairperson:</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 Member (other than Chairperson)</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Equity Retainers</w:t>
      </w:r>
    </w:p>
    <w:p>
      <w:pPr>
        <w:pStyle w:val="TextBody"/>
        <w:spacing w:lineRule="auto" w:line="288" w:before="120" w:after="283"/>
        <w:rPr/>
      </w:pPr>
      <w:r>
        <w:rPr>
          <w:rFonts w:ascii="Times New Roman;sans-serif" w:hAnsi="Times New Roman;sans-serif"/>
          <w:b w:val="false"/>
          <w:i/>
          <w:color w:val="000000"/>
          <w:sz w:val="20"/>
        </w:rPr>
        <w:t xml:space="preserve">Initial Award: </w:t>
      </w:r>
      <w:r>
        <w:rPr>
          <w:rFonts w:ascii="Times New Roman;sans-serif" w:hAnsi="Times New Roman;sans-serif"/>
          <w:b w:val="false"/>
          <w:color w:val="000000"/>
          <w:sz w:val="20"/>
        </w:rPr>
        <w:t xml:space="preserve">An initial, one-time stock option, or Initial Award, of 125,000 shares of our common stock will be granted to each non-employee director serving on our board of directors as of July 13, 2022, the date on which the non-employee director compensation policy was adopted, and to each new non-employee director upon his or her election to the board of directors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 </w:t>
      </w:r>
    </w:p>
    <w:p>
      <w:pPr>
        <w:pStyle w:val="TextBody"/>
        <w:spacing w:lineRule="auto" w:line="288" w:before="120" w:after="283"/>
        <w:rPr/>
      </w:pPr>
      <w:r>
        <w:rPr>
          <w:rFonts w:ascii="Times New Roman;sans-serif" w:hAnsi="Times New Roman;sans-serif"/>
          <w:b w:val="false"/>
          <w:i/>
          <w:color w:val="000000"/>
          <w:sz w:val="20"/>
        </w:rPr>
        <w:t>Annual Award</w:t>
      </w:r>
      <w:r>
        <w:rPr>
          <w:rFonts w:ascii="Times New Roman;sans-serif" w:hAnsi="Times New Roman;sans-serif"/>
          <w:b w:val="false"/>
          <w:color w:val="000000"/>
          <w:sz w:val="20"/>
        </w:rPr>
        <w:t>: On the date of each annual meeting of stockholders of the Company following July 13, 2022, each continuing non-employee director other than a director receiving an Initial Award on such date, will receive an annual stock option award, or Annual Award, for 62,500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director ceases to serve as a member of our board. Each Annual Award expires ten years from the date of grant, and will have a per share exercise price equal to the closing price of our common stock on the date of grant.</w:t>
      </w:r>
    </w:p>
    <w:p>
      <w:pPr>
        <w:pStyle w:val="TextBody"/>
        <w:spacing w:lineRule="auto" w:line="288" w:before="120" w:after="283"/>
        <w:rPr/>
      </w:pPr>
      <w:r>
        <w:rPr>
          <w:rFonts w:ascii="Times New Roman;sans-serif" w:hAnsi="Times New Roman;sans-serif"/>
          <w:b w:val="false"/>
          <w:i/>
          <w:color w:val="000000"/>
          <w:sz w:val="20"/>
        </w:rPr>
        <w:t>Change of Control Acceleration:</w:t>
      </w:r>
      <w:r>
        <w:rPr>
          <w:color w:val="000000"/>
        </w:rPr>
        <w:t xml:space="preserve"> </w:t>
      </w:r>
      <w:r>
        <w:rPr>
          <w:rFonts w:ascii="Times New Roman;sans-serif" w:hAnsi="Times New Roman;sans-serif"/>
          <w:b w:val="false"/>
          <w:color w:val="000000"/>
          <w:sz w:val="20"/>
        </w:rPr>
        <w:t>All outstanding Initial Awards and Annual Awards held by a non-employee director shall become fully vested and exercisable upon a “Change of Control” (as defined in our 2022 Equity Incentive Plan, or our 2022 Plan).</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Maximum Annual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value of all compensation granted or paid, as applicable, to any individual for service as a non-employee director in any calendar year will not exceed $750,000 (or $1,000,000 for the first year that a non-employee director is appointed or elected to our board of directors), in each case calculating the value of any equity awards based on the grant date fair value of such equity awards for financial reporting purposes.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Non-Employee Director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each of David Epstein and James (Jim) Collins, Ph.D. The material terms of Mr. Epstein’s and Dr. Collins’ agreements are summarized below.</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David Epstein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 2022, we entered into a consulting agreement with David Epstein, or the Epstein Agreement, pursuant to which he provides certain consulting and advisory services from time to time, upon our request, that are outside the scope of the </w:t>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his responsibilities as a member of our board of directors. Mr. Epstein’s consulting services include advice in connection with our day to day operations relating to business development, corporate strategy, portfolio construction, fundraising and other topics as may be requested by the Chief Executive Officer, such as reviewing materials and conducting outreach to potential collaborators in connection with business development, discussing and advising on clinical and regulatory strategies and operations, attending meetings other than our board of director meetings, and providing guidance on competitive therapies and other market intelligence. As consideration for such services, Mr. Epstein was entitled to receive compensation in the amount of $9,583.33 on a monthly basis, with total compensation not to exceed $115,000 in any one calendar year. On April 27, 2023, the Epstein Agreement was amended to provide for total cash payments in the aggregate amount of $67,083.31 as full compensation for services provided during the period from the effective date through termination. The Epstein Agreement also provides for reimbursement of reasonable, out-of-pocket expenses incurred in connection with Mr. Epstein’s performance of services upon our request. Pursuant to the Epstein Agreement, Mr. Epstein is subject to certain standard assignment of intellectual property and confidentiality covenants, as well as independent contractor covenants. The Epstein Agreement will terminate, along with all project assignments thereunder, on the later of (i) thirty (30) days from the date of signature of the amendment, or (ii) the conclusion of the project assignment 1 under the Epstein Agreement.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James (Jim) Collins</w:t>
      </w:r>
    </w:p>
    <w:p>
      <w:pPr>
        <w:pStyle w:val="TextBody"/>
        <w:spacing w:lineRule="auto" w:line="268" w:before="120" w:after="283"/>
        <w:rPr/>
      </w:pPr>
      <w:r>
        <w:rPr>
          <w:rFonts w:ascii="Times New Roman;sans-serif" w:hAnsi="Times New Roman;sans-serif"/>
          <w:b w:val="false"/>
          <w:color w:val="000000"/>
          <w:sz w:val="20"/>
        </w:rPr>
        <w:t>On May 14, 2021, we entered into a scientific advisory board agreement with James Collins, or the Collins Agreement,</w:t>
      </w:r>
      <w:r>
        <w:rPr>
          <w:color w:val="FF0000"/>
        </w:rPr>
        <w:t xml:space="preserve"> </w:t>
      </w:r>
      <w:r>
        <w:rPr>
          <w:rFonts w:ascii="Times New Roman;sans-serif" w:hAnsi="Times New Roman;sans-serif"/>
          <w:b w:val="false"/>
          <w:color w:val="000000"/>
          <w:sz w:val="20"/>
        </w:rPr>
        <w:t>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of directors or compensation 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lineRule="auto" w:line="288" w:before="120" w:after="283"/>
        <w:rPr/>
      </w:pPr>
      <w:r>
        <w:rPr>
          <w:rFonts w:ascii="Times New Roman;sans-serif" w:hAnsi="Times New Roman;sans-serif"/>
          <w:b w:val="false"/>
          <w:color w:val="000000"/>
          <w:sz w:val="20"/>
        </w:rPr>
        <w:t>The following table sets forth information regarding the compensation awarded to, earned by or paid to Senti’s non-employee directors for service on our board of directors during the year ended December 31, 2022 (including, for Ms. Berland, her service on the board of directors of Legacy Senti prior to the Business Combination). Dr. Lu, who is our President and Chief Executive Officer, also served on the Senti board of directors, but did not receive any additional compensation for his service as a director and therefore is not included in the table below. Dr. Lu’s compensation for his service, as our President and Chief Executive Officer, is set forth below under “</w:t>
      </w:r>
      <w:r>
        <w:rPr>
          <w:rFonts w:ascii="Times New Roman;sans-serif" w:hAnsi="Times New Roman;sans-serif"/>
          <w:b w:val="false"/>
          <w:i/>
          <w:color w:val="000000"/>
          <w:sz w:val="20"/>
        </w:rPr>
        <w:t>Executive Compensation—Summary Compensation Table</w:t>
      </w:r>
      <w:r>
        <w:rPr>
          <w:rFonts w:ascii="Times New Roman;sans-serif" w:hAnsi="Times New Roman;sans-serif"/>
          <w:b w:val="false"/>
          <w:color w:val="000000"/>
          <w:sz w:val="20"/>
        </w:rPr>
        <w:t>.”</w:t>
      </w:r>
    </w:p>
    <w:tbl>
      <w:tblPr>
        <w:tblW w:w="9050" w:type="dxa"/>
        <w:jc w:val="left"/>
        <w:tblInd w:w="0" w:type="dxa"/>
        <w:tblCellMar>
          <w:top w:w="28" w:type="dxa"/>
          <w:left w:w="28" w:type="dxa"/>
          <w:bottom w:w="28" w:type="dxa"/>
          <w:right w:w="28" w:type="dxa"/>
        </w:tblCellMar>
      </w:tblPr>
      <w:tblGrid>
        <w:gridCol w:w="824"/>
        <w:gridCol w:w="723"/>
        <w:gridCol w:w="732"/>
        <w:gridCol w:w="109"/>
        <w:gridCol w:w="109"/>
        <w:gridCol w:w="109"/>
        <w:gridCol w:w="328"/>
        <w:gridCol w:w="1122"/>
        <w:gridCol w:w="169"/>
        <w:gridCol w:w="109"/>
        <w:gridCol w:w="109"/>
        <w:gridCol w:w="109"/>
        <w:gridCol w:w="232"/>
        <w:gridCol w:w="908"/>
        <w:gridCol w:w="119"/>
        <w:gridCol w:w="109"/>
        <w:gridCol w:w="109"/>
        <w:gridCol w:w="109"/>
        <w:gridCol w:w="282"/>
        <w:gridCol w:w="966"/>
        <w:gridCol w:w="146"/>
        <w:gridCol w:w="109"/>
        <w:gridCol w:w="109"/>
        <w:gridCol w:w="109"/>
        <w:gridCol w:w="211"/>
        <w:gridCol w:w="826"/>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Fees Earned or Paid </w:t>
              <w:br/>
              <w:t>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Awards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All Other </w:t>
              <w:br/>
              <w:t>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22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Susan Berland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 Cooperstone,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Edward Mathers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28,476 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Epstein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67,083 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(Jim) Collins,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23,965 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151,413 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______________</w:t>
      </w:r>
    </w:p>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In accordance with SEC rules, this column reflects the aggregate grant date fair value of the option awards granted during fiscal year 2022 computed in accordance with Financial Accounting Standards Board Accounting Standards Codification Topic 718 (“FASB ASC 718”). These amounts do not reflect the actual economic value that will be realized by our non-employee directors upon the vesting of the stock options, the exercise of the stock options or the sale of the common stock underlying such stock options.</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The following table provides information regarding the number of shares of common stock underlying stock options granted to our non-employee directors that were outstanding as of December 31, 2022.</w:t>
      </w:r>
    </w:p>
    <w:p>
      <w:pPr>
        <w:pStyle w:val="TextBody"/>
        <w:spacing w:lineRule="auto" w:line="288" w:before="60" w:after="283"/>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Amount represents consulting fees earned by David Epstein in 2022 under his consulting agreement.</w:t>
      </w:r>
    </w:p>
    <w:p>
      <w:pPr>
        <w:pStyle w:val="TextBody"/>
        <w:spacing w:lineRule="auto" w:line="288" w:before="60" w:after="283"/>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Amount represents fees earned by James Collins in 2022 under his agreement to serve as a member and chair of our SAB.</w:t>
      </w:r>
    </w:p>
    <w:tbl>
      <w:tblPr>
        <w:tblW w:w="6160" w:type="dxa"/>
        <w:jc w:val="left"/>
        <w:tblInd w:w="0" w:type="dxa"/>
        <w:tblCellMar>
          <w:top w:w="28" w:type="dxa"/>
          <w:left w:w="28" w:type="dxa"/>
          <w:bottom w:w="28" w:type="dxa"/>
          <w:right w:w="28" w:type="dxa"/>
        </w:tblCellMar>
      </w:tblPr>
      <w:tblGrid>
        <w:gridCol w:w="824"/>
        <w:gridCol w:w="723"/>
        <w:gridCol w:w="732"/>
        <w:gridCol w:w="109"/>
        <w:gridCol w:w="109"/>
        <w:gridCol w:w="109"/>
        <w:gridCol w:w="1038"/>
        <w:gridCol w:w="1038"/>
        <w:gridCol w:w="1478"/>
      </w:tblGrid>
      <w:tr>
        <w:trPr/>
        <w:tc>
          <w:tcPr>
            <w:tcW w:w="82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 Outstanding at 2022 Year-End</w:t>
              <w:br/>
              <w:t>(number of shares)</w:t>
            </w:r>
          </w:p>
        </w:tc>
      </w:tr>
      <w:tr>
        <w:trPr/>
        <w:tc>
          <w:tcPr>
            <w:tcW w:w="22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Susan Berland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142,613 </w:t>
            </w:r>
          </w:p>
        </w:tc>
        <w:tc>
          <w:tcPr>
            <w:tcW w:w="14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Brenda Cooperstone,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156,438 </w:t>
            </w:r>
          </w:p>
        </w:tc>
        <w:tc>
          <w:tcPr>
            <w:tcW w:w="14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Edward Mathers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Epstein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(Jim) Collins,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128,522 </w:t>
            </w:r>
          </w:p>
        </w:tc>
        <w:tc>
          <w:tcPr>
            <w:tcW w:w="14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14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our executive officers and key employees, and sets forth their current positions at Senti and their ages as of April 28, 2023.</w:t>
      </w:r>
    </w:p>
    <w:tbl>
      <w:tblPr>
        <w:tblW w:w="10205" w:type="dxa"/>
        <w:jc w:val="left"/>
        <w:tblInd w:w="0" w:type="dxa"/>
        <w:tblCellMar>
          <w:top w:w="28" w:type="dxa"/>
          <w:left w:w="28" w:type="dxa"/>
          <w:bottom w:w="28" w:type="dxa"/>
          <w:right w:w="28" w:type="dxa"/>
        </w:tblCellMar>
      </w:tblPr>
      <w:tblGrid>
        <w:gridCol w:w="851"/>
        <w:gridCol w:w="711"/>
        <w:gridCol w:w="718"/>
        <w:gridCol w:w="109"/>
        <w:gridCol w:w="109"/>
        <w:gridCol w:w="109"/>
        <w:gridCol w:w="1735"/>
        <w:gridCol w:w="1695"/>
        <w:gridCol w:w="1702"/>
        <w:gridCol w:w="109"/>
        <w:gridCol w:w="109"/>
        <w:gridCol w:w="109"/>
        <w:gridCol w:w="456"/>
        <w:gridCol w:w="456"/>
        <w:gridCol w:w="458"/>
        <w:gridCol w:w="109"/>
        <w:gridCol w:w="109"/>
        <w:gridCol w:w="109"/>
        <w:gridCol w:w="127"/>
        <w:gridCol w:w="127"/>
        <w:gridCol w:w="188"/>
      </w:tblGrid>
      <w:tr>
        <w:trPr/>
        <w:tc>
          <w:tcPr>
            <w:tcW w:w="85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Positions and Offices Held with Senti Biosciences,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2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Timothy Lu, M.D.,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Deborah Knobelman,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Treasurer, and Head of Corporate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Philip Lee,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Technology Officer and Corporate Secretary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Kanya Rajangam, M.D.,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Head of Research and Development and Chief Medical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p>
      <w:pPr>
        <w:pStyle w:val="TextBody"/>
        <w:spacing w:lineRule="auto" w:line="288" w:before="120" w:after="283"/>
        <w:rPr/>
      </w:pPr>
      <w:r>
        <w:rPr>
          <w:rFonts w:ascii="Times New Roman;sans-serif" w:hAnsi="Times New Roman;sans-serif"/>
          <w:b w:val="false"/>
          <w:color w:val="000000"/>
          <w:sz w:val="20"/>
        </w:rPr>
        <w:t>You should refer to “</w:t>
      </w:r>
      <w:r>
        <w:rPr>
          <w:rFonts w:ascii="Times New Roman;sans-serif" w:hAnsi="Times New Roman;sans-serif"/>
          <w:b w:val="false"/>
          <w:i/>
          <w:color w:val="000000"/>
          <w:sz w:val="20"/>
        </w:rPr>
        <w:t>Class I Directors</w:t>
      </w:r>
      <w:r>
        <w:rPr>
          <w:color w:val="000000"/>
        </w:rPr>
        <w:t xml:space="preserve">” </w:t>
      </w:r>
      <w:r>
        <w:rPr>
          <w:rFonts w:ascii="Times New Roman;sans-serif" w:hAnsi="Times New Roman;sans-serif"/>
          <w:b w:val="false"/>
          <w:color w:val="000000"/>
          <w:sz w:val="20"/>
        </w:rPr>
        <w:t xml:space="preserve">above for information about our Chief Executive Officer and President, Timothy Lu, M.D., Ph.D. Biographical information for our other executive officers as of April 28, 2023, is set forth below. </w:t>
      </w:r>
    </w:p>
    <w:p>
      <w:pPr>
        <w:pStyle w:val="TextBody"/>
        <w:spacing w:lineRule="auto" w:line="288" w:before="120" w:after="283"/>
        <w:rPr/>
      </w:pPr>
      <w:r>
        <w:rPr>
          <w:rFonts w:ascii="Times New Roman;sans-serif" w:hAnsi="Times New Roman;sans-serif"/>
          <w:b/>
          <w:i/>
          <w:color w:val="000000"/>
          <w:sz w:val="20"/>
        </w:rPr>
        <w:t>Deborah Knobelman, Ph.D.</w:t>
      </w:r>
      <w:r>
        <w:rPr>
          <w:color w:val="000000"/>
        </w:rPr>
        <w:t xml:space="preserve"> </w:t>
      </w:r>
      <w:r>
        <w:rPr>
          <w:rFonts w:ascii="Times New Roman;sans-serif" w:hAnsi="Times New Roman;sans-serif"/>
          <w:b w:val="false"/>
          <w:color w:val="000000"/>
          <w:sz w:val="20"/>
        </w:rPr>
        <w:t xml:space="preserve">has served as our Chief Financial Officer and Treasurer since the closing of our Business Combination in June 2022, and prior to our Business Combination, as the Chief Financial Officer of Legacy Senti since May 2021. She has additionally served as our Head of Corporate Development since March 21, 2023. Prior to joining us, Dr. Knobelman served in interim C-suite roles for several life sciences companies through her firm Waverly BioConsulting LLC from April 2012 to May 2021. Previously, Dr. Knobelman served as Chief Financial Officer at GeneriCo, LLC from April 2016 to July 2017, as Chief Business Officer at Ampio Pharmaceuticals, Inc. (NYSE: AMPE) from September 2011 to April 2012, and as Director of Commercial Strategy and Analytics at Pfizer Inc. (NYSE: PFE) from 2008 to 2011. Earlier in her career, Dr. Knobelman was an Equity Research Analyst covering Specialty Pharmaceuticals and Biotech as a Senior Research Analyst for Piper Sandler Cos. (earlier Piper Jaffray) (NYSE: PIPR) and as a Research Associate at JPMorgan Chase &amp; Co. (NYSE: JPM). Dr. Knobelman earned her AB in Chemistry from Duke University and her Ph.D. in Pharmacology from the University of Pennsylvania School of Medicine. </w:t>
      </w:r>
    </w:p>
    <w:p>
      <w:pPr>
        <w:pStyle w:val="TextBody"/>
        <w:spacing w:lineRule="auto" w:line="288" w:before="120" w:after="283"/>
        <w:rPr/>
      </w:pPr>
      <w:r>
        <w:rPr>
          <w:rFonts w:ascii="Times New Roman;sans-serif" w:hAnsi="Times New Roman;sans-serif"/>
          <w:b/>
          <w:i/>
          <w:color w:val="000000"/>
          <w:sz w:val="20"/>
        </w:rPr>
        <w:t>Philip Lee, Ph.D.</w:t>
      </w:r>
      <w:r>
        <w:rPr>
          <w:color w:val="000000"/>
        </w:rPr>
        <w:t xml:space="preserve"> </w:t>
      </w:r>
      <w:r>
        <w:rPr>
          <w:rFonts w:ascii="Times New Roman;sans-serif" w:hAnsi="Times New Roman;sans-serif"/>
          <w:b w:val="false"/>
          <w:color w:val="000000"/>
          <w:sz w:val="20"/>
        </w:rPr>
        <w:t xml:space="preserve">has served as our Chief Technology Officer since the closing of our Business Combination in June 2022, and, prior to our Business Combination, as the Chief Technology Officer of Legacy Senti since January 2021. He additionally has served as our Corporate Secretary since August 30, 2022, and is one of our co-founders. Dr. Lee previously served as our Chief Operating Officer from February 2018 to February 2021, as our Treasurer from July 2016 to November 2020, as our President from July 2016 to February 2018, and as a member of our board of directors from July 2016 to February 2018. Prior to joining us, Dr. Lee held various positions at MilliporeSigma, a division of Merck KGaA, including as the Head of Cell Culture Systems from November 2014 to May 2016 and Senior Manager of Science &amp; Technology and New Business Initiatives Lead from 2012 to 2014. Dr. Lee co-founded CellASIC Corp. in 2004 and served as its Chief Executive Officer until it was acquired by Merck KGaA in 2012. Dr. Lee earned his B.S. in Chemical Engineering and Biology from the Massachusetts Institute of Technology and his Ph.D. in Bioengineering from the University of California, Berkeley and the University of California, San Francisco. </w:t>
      </w:r>
    </w:p>
    <w:p>
      <w:pPr>
        <w:pStyle w:val="TextBody"/>
        <w:spacing w:before="0" w:after="0"/>
        <w:rPr/>
      </w:pPr>
      <w:r>
        <w:rPr/>
      </w:r>
    </w:p>
    <w:p>
      <w:pPr>
        <w:pStyle w:val="TextBody"/>
        <w:spacing w:lineRule="auto" w:line="268" w:before="0" w:after="0"/>
        <w:rPr/>
      </w:pPr>
      <w:r>
        <w:rPr>
          <w:rFonts w:ascii="Times New Roman;sans-serif" w:hAnsi="Times New Roman;sans-serif"/>
          <w:b/>
          <w:i/>
          <w:color w:val="000000"/>
          <w:sz w:val="20"/>
        </w:rPr>
        <w:t>Kanya Rajangam, M.D., Ph.D.</w:t>
      </w:r>
      <w:r>
        <w:rPr>
          <w:color w:val="000000"/>
        </w:rPr>
        <w:t xml:space="preserve"> </w:t>
      </w:r>
      <w:r>
        <w:rPr>
          <w:rFonts w:ascii="Times New Roman;sans-serif" w:hAnsi="Times New Roman;sans-serif"/>
          <w:b w:val="false"/>
          <w:color w:val="000000"/>
          <w:sz w:val="20"/>
        </w:rPr>
        <w:t xml:space="preserve">has served as our Chief Medical and Development Officer since July 2022, and has served as our Head of Research and Development and Chief Medical Officer since March 21, 2023. Previously, she served at Nkarta, Inc. (NASDAQ: NKTX) as its Chief Medical Officer from September 2019 to June 2022 and as its Senior Vice President and Chief Medical Officer from December 2018 to September 2019. Since January 2023, Dr. Rajangam has served on the scientific advisory board of Vibe Bio, a privately held rare diseases therapies company. Since November 2021, Dr. Rajangam has served as an independent director at Turnstone Biologics, Inc., a privately held oncolytic virus/ TIL therapies company. Previously, Dr. Rajangam was Senior Vice President and Chief Medical Officer at Atara Biotherapeutics, Inc. (NASDAQ: ATRA),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(NASDAQ: NKTR), a publicly held biopharmaceutical company, from March 2015 to May 2015. Prior to that, she held positions of increasing responsibility at various biotechnology and biopharmaceutical companies. She was a research scientist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persons pursuant to which he or she was or is to be selected as an executive officer. There are no material legal proceedings to which any of our executive officers is a party adverse to us or in which any such person has a material interest adverse to us.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COMPENSATION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This section provides an overview of our executive compensation program as it relates to the executive officers named below (together, the “named executive officers”), for the year ended December 31, 2022, which consist of our principal executive officer and our two most highly compensated executive officers: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Timothy Lu, M.D., Ph.D., our Chief Executive Officer and President;</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Deborah Knobelman, Ph.D., our Chief Financial Officer, Treasurer, and Head of Corporate Development;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Kanya Rajangam, M.D., Ph.D., our Head of Research and Development and Chief Medical Officer.</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Summary Compensation Table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compensation awarded to, earned by or paid to each of our named executive officers for the year indicated.</w:t>
      </w:r>
    </w:p>
    <w:tbl>
      <w:tblPr>
        <w:tblW w:w="11905" w:type="dxa"/>
        <w:jc w:val="left"/>
        <w:tblInd w:w="0" w:type="dxa"/>
        <w:tblCellMar>
          <w:top w:w="28" w:type="dxa"/>
          <w:left w:w="28" w:type="dxa"/>
          <w:bottom w:w="28" w:type="dxa"/>
          <w:right w:w="28" w:type="dxa"/>
        </w:tblCellMar>
      </w:tblPr>
      <w:tblGrid>
        <w:gridCol w:w="523"/>
        <w:gridCol w:w="248"/>
        <w:gridCol w:w="250"/>
        <w:gridCol w:w="109"/>
        <w:gridCol w:w="109"/>
        <w:gridCol w:w="109"/>
        <w:gridCol w:w="155"/>
        <w:gridCol w:w="155"/>
        <w:gridCol w:w="156"/>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961"/>
        <w:gridCol w:w="109"/>
        <w:gridCol w:w="109"/>
        <w:gridCol w:w="109"/>
        <w:gridCol w:w="109"/>
        <w:gridCol w:w="214"/>
        <w:gridCol w:w="806"/>
        <w:gridCol w:w="121"/>
        <w:gridCol w:w="109"/>
        <w:gridCol w:w="109"/>
        <w:gridCol w:w="109"/>
        <w:gridCol w:w="259"/>
        <w:gridCol w:w="736"/>
        <w:gridCol w:w="146"/>
        <w:gridCol w:w="109"/>
        <w:gridCol w:w="109"/>
        <w:gridCol w:w="109"/>
        <w:gridCol w:w="196"/>
        <w:gridCol w:w="961"/>
        <w:gridCol w:w="154"/>
      </w:tblGrid>
      <w:tr>
        <w:trPr/>
        <w:tc>
          <w:tcPr>
            <w:tcW w:w="52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Non-equity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Incentive Plan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Compensation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All Other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Compensation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Lu, M.D.,Ph.D.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537,647 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268,823 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811,262 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23,803,309 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219,213 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24,497,522 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Deborah Knobelman, Ph.D.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424,981 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428,208 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169,992 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1,103,425 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 Treasurer and Head of Corporate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Kanya Rajangam, M.D., Ph.D.</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96,515 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840,506 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Head of Research and Development and Chief Medical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 amounts reported represent the aggregate grant date fair value of the restricted stock unit awards, or RSUs, granted to our named executive officers during the applicable fiscal year, calculated in accordance with FASB ASC Topic 718. Such grant date fair values do not take into account any estimated forfeitures. The assumptions used in calculating the grant date fair value of the RSUs reported in this column are set forth in Note 10 to our financial statements included in our Annual Report on Form 10-K filed with the SEC on March 22, 2023.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The amounts reported represent the aggregate grant date fair value of the stock options granted to the named executive officers during the applicable fiscal year, calculated in accordance with FASB ASC 718. Such grant date fair value does not take into account any estimated or actual forfeitures. The assumptions used in calculating the grant date fair value of the stock options reported in this column are set forth in Note 10 to our consolidated financial statements included in our Annual Report on Form 10-K filed with the SEC on March 22, 2023. The amounts reported in this column reflect the accounting cost for the stock options, and does not correspond to the actual economic value that may be received upon exercise of the stock options, issuance of shares of common stock, or any sale of any of the underlying shares of common stock.</w:t>
      </w:r>
    </w:p>
    <w:p>
      <w:pPr>
        <w:pStyle w:val="TextBody"/>
        <w:spacing w:lineRule="auto" w:line="288" w:before="6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Reflects performance-based cash bonuses awarded to Senti’s named executive officers. Amounts reflect the actual cash incentive bonuses received by our named executive officers for performance of services in 2022 and 2021, as indicated, and were paid in the subsequent year. See “—Narrative to the Summary Compensation Table—Non-Equity Incentive Plan Compensation” below for a description of the material terms pursuant to which this compensation was awarded.</w:t>
      </w:r>
    </w:p>
    <w:p>
      <w:pPr>
        <w:pStyle w:val="TextBody"/>
        <w:spacing w:lineRule="auto" w:line="288" w:before="6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Reflects matching contributions made by Senti under Senti’s 401(k) plan.</w:t>
      </w:r>
    </w:p>
    <w:p>
      <w:pPr>
        <w:pStyle w:val="TextBody"/>
        <w:spacing w:lineRule="auto" w:line="288" w:before="60" w:after="283"/>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Dr. Rajangam, our Head of Research and Development and Chief Medical Officer, began her employment with us effective as of July 5, 2022, and was therefore not a named executive officer in 2021. The amounts reported in the “Salary” column for 2022 reflect salary earned following Dr. Rajangam’s commencement of employment with us,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and the amount of her 2022 cash incentive bonus is pro-rated to reflect the commencement date of her employment with us.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Narrative to Summary Compensation Table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Senti’s compensation committee or board of directors reviews compensation annually for all employees, including named executive officers. In making compensation determinations, Senti considers compensation for comparable positions in the market and with peer companies, the historical compensation levels of executives, individual performance as compared to Senti’s expectations and objectives, Senti’s desire to motivate employees to achieve short- and long-term results that are in the best interests of Senti’s stockholders and a long-term commitment to the company.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Prior to our Business Combination, either the compensation committee or the board of directors has historically determined the executive officers’ compensation and has typically reviewed and discussed management’s proposed compensation with the chief executive officer for all executives other than the chief executive officer. Based on those discussions and its discretion, either Senti’s board of directors or compensation committee then approved the compensation of each executive officer. Following the closing of the Business Combination, our compensation committee will review and determine each executive officer’s compensation, and generally the compensation committee itself, rather than the board of directors, will also approve the determination of compensation of each executive officer.</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Annual Base Salaries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Base salaries for the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Senti’s annual performance review process, and adjusted from time to time to realign salaries with market levels after taking into account individual responsibilities, performance and experience. In making decisions regarding salary increases, Senti may also draw upon the experience of members of the board of directors with executives at other companies. The 2022 base salaries for the named executive officers were as follows: (a) initially $489,250, which amount was increased to $575,000 for Dr. Lu in July 2022 in connection with the closing of the Business Combination; (b) $490,000 for Dr. Rajangam, which amount was pro-rated based on the date that she commenced employment with us; and (c) $412,000 for Dr. Knobelman, which amount was increased to $435,000 in July 2022 in connection with the closing of our Business Combination.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Non-Equity Incentive Plan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Senti’s named executive officers are each eligible to receive a discretionary annual bonus based on individual and company performance. In 2022, Dr. Lu was eligible to earn an annual target performance bonus equal to 50% of his 2022 base salary based on the achievement of corporate objectives. Dr. Rajangam and Dr. Knobelman were eligible to earn an annual target performance bonus equal to 40% of their respective 2022 base salary based on the achievement of both individual and corporate objectives. Payment of 2022 annual bonuses was based in part on us achieving certain research and product development, capital raising and other target goals. Based on the achievement of such goals, the compensation committee determined that Dr. Lu, Dr. Rajangam, and Dr. Knobelman were each entitled to 100% of their respective target bonuses for 2022 performance.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Equity-Based Incentive Awards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Senti’s equity-based incentive awards are designed to align our interests and those of Senti’s stockholders with those of Senti’s employees and consultants, including Senti’s named executive officers.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historically used stock options and RSUs as incentives for long-term compensation to the named executive officers as the return on such awards is tied to an increase in our stock price. Senti may grant equity awards at such times as our board of directors or compensation committee determines appropriate in their discretion. Additional grants may occur periodically in order to incentivize executives with respect to achieving certain corporate goals or to reward them for exceptional performance.</w:t>
      </w:r>
    </w:p>
    <w:p>
      <w:pPr>
        <w:pStyle w:val="TextBody"/>
        <w:spacing w:lineRule="auto" w:line="268" w:before="120" w:after="283"/>
        <w:rPr/>
      </w:pPr>
      <w:r>
        <w:rPr>
          <w:rFonts w:ascii="Times New Roman;sans-serif" w:hAnsi="Times New Roman;sans-serif"/>
          <w:b w:val="false"/>
          <w:color w:val="000000"/>
          <w:sz w:val="20"/>
        </w:rPr>
        <w:t>Prior to the completion of the Business Combination, all of the equity incentive awards were made pursuant to Senti’s 2016 Stock Incentive Plan, as amended, or the 2016 Plan. Following the completion of the Business Combination, all equity incentive awards were granted under the terms of our 2022 Plan. See “—</w:t>
      </w:r>
      <w:r>
        <w:rPr>
          <w:rFonts w:ascii="Times New Roman;sans-serif" w:hAnsi="Times New Roman;sans-serif"/>
          <w:b w:val="false"/>
          <w:i/>
          <w:color w:val="000000"/>
          <w:sz w:val="20"/>
        </w:rPr>
        <w:t>Outstanding Equity Awards at Fiscal Year-End</w:t>
      </w:r>
      <w:r>
        <w:rPr>
          <w:color w:val="000000"/>
        </w:rPr>
        <w:t xml:space="preserve">” </w:t>
      </w:r>
      <w:r>
        <w:rPr>
          <w:rFonts w:ascii="Times New Roman;sans-serif" w:hAnsi="Times New Roman;sans-serif"/>
          <w:b w:val="false"/>
          <w:color w:val="000000"/>
          <w:sz w:val="20"/>
        </w:rPr>
        <w:t>below for additional information.</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regarding outstanding equity awards held by our named executive officers as of fiscal year 2022: </w:t>
      </w:r>
    </w:p>
    <w:tbl>
      <w:tblPr>
        <w:tblW w:w="12587" w:type="dxa"/>
        <w:jc w:val="left"/>
        <w:tblInd w:w="0" w:type="dxa"/>
        <w:tblCellMar>
          <w:top w:w="28" w:type="dxa"/>
          <w:left w:w="28" w:type="dxa"/>
          <w:bottom w:w="28" w:type="dxa"/>
          <w:right w:w="28" w:type="dxa"/>
        </w:tblCellMar>
      </w:tblPr>
      <w:tblGrid>
        <w:gridCol w:w="347"/>
        <w:gridCol w:w="305"/>
        <w:gridCol w:w="279"/>
        <w:gridCol w:w="109"/>
        <w:gridCol w:w="109"/>
        <w:gridCol w:w="109"/>
        <w:gridCol w:w="185"/>
        <w:gridCol w:w="185"/>
        <w:gridCol w:w="186"/>
        <w:gridCol w:w="109"/>
        <w:gridCol w:w="109"/>
        <w:gridCol w:w="109"/>
        <w:gridCol w:w="420"/>
        <w:gridCol w:w="420"/>
        <w:gridCol w:w="421"/>
        <w:gridCol w:w="109"/>
        <w:gridCol w:w="109"/>
        <w:gridCol w:w="109"/>
        <w:gridCol w:w="368"/>
        <w:gridCol w:w="368"/>
        <w:gridCol w:w="326"/>
        <w:gridCol w:w="109"/>
        <w:gridCol w:w="109"/>
        <w:gridCol w:w="109"/>
        <w:gridCol w:w="435"/>
        <w:gridCol w:w="436"/>
        <w:gridCol w:w="371"/>
        <w:gridCol w:w="109"/>
        <w:gridCol w:w="109"/>
        <w:gridCol w:w="109"/>
        <w:gridCol w:w="368"/>
        <w:gridCol w:w="368"/>
        <w:gridCol w:w="326"/>
        <w:gridCol w:w="109"/>
        <w:gridCol w:w="109"/>
        <w:gridCol w:w="109"/>
        <w:gridCol w:w="196"/>
        <w:gridCol w:w="466"/>
        <w:gridCol w:w="109"/>
        <w:gridCol w:w="109"/>
        <w:gridCol w:w="109"/>
        <w:gridCol w:w="109"/>
        <w:gridCol w:w="295"/>
        <w:gridCol w:w="295"/>
        <w:gridCol w:w="296"/>
        <w:gridCol w:w="109"/>
        <w:gridCol w:w="109"/>
        <w:gridCol w:w="109"/>
        <w:gridCol w:w="323"/>
        <w:gridCol w:w="323"/>
        <w:gridCol w:w="231"/>
        <w:gridCol w:w="109"/>
        <w:gridCol w:w="109"/>
        <w:gridCol w:w="109"/>
        <w:gridCol w:w="196"/>
        <w:gridCol w:w="646"/>
        <w:gridCol w:w="154"/>
      </w:tblGrid>
      <w:tr>
        <w:trPr/>
        <w:tc>
          <w:tcPr>
            <w:tcW w:w="34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1"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Grant </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Vesting </w:t>
              <w:br/>
              <w:t xml:space="preserve">Commencement </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 xml:space="preserve">Securities </w:t>
              <w:br/>
              <w:t xml:space="preserve">Underlying </w:t>
              <w:br/>
              <w:t xml:space="preserve">Unexercised </w:t>
              <w:br/>
              <w:t xml:space="preserve">Options (#) </w:t>
              <w:br/>
              <w:t>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 xml:space="preserve">Securities </w:t>
              <w:br/>
              <w:t xml:space="preserve">Underlying </w:t>
              <w:br/>
              <w:t xml:space="preserve">Unexercised </w:t>
              <w:br/>
              <w:t xml:space="preserve">Options (#) </w:t>
              <w:br/>
              <w:t>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Equity </w:t>
              <w:br/>
              <w:t xml:space="preserve">Incentive </w:t>
              <w:br/>
              <w:t xml:space="preserve">Plan </w:t>
              <w:br/>
              <w:t xml:space="preserve">Awards: </w:t>
              <w:br/>
              <w:t xml:space="preserve">Number of </w:t>
              <w:br/>
              <w:t xml:space="preserve">Securities </w:t>
              <w:br/>
              <w:t xml:space="preserve">Underlying </w:t>
              <w:br/>
              <w:t xml:space="preserve">Unexercised </w:t>
              <w:br/>
              <w:t xml:space="preserve">Unearned </w:t>
              <w:br/>
              <w:t>Options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w:t>
              <w:br/>
              <w:t xml:space="preserve">Exercise </w:t>
              <w:br/>
              <w:t>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w:t>
              <w:br/>
              <w:t xml:space="preserve">Expiration </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w:t>
              <w:br/>
              <w:t xml:space="preserve">of </w:t>
              <w:br/>
              <w:t xml:space="preserve">Shares </w:t>
              <w:br/>
              <w:t xml:space="preserve">or Units </w:t>
              <w:br/>
              <w:t xml:space="preserve">of Stock </w:t>
              <w:br/>
              <w:t xml:space="preserve">That </w:t>
              <w:br/>
              <w:t xml:space="preserve">Have </w:t>
              <w:br/>
              <w:t xml:space="preserve">Not </w:t>
              <w:br/>
              <w:t xml:space="preserve">Vested </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Market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Value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or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Units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That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Have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Not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Vested </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Timothy Lu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2/2/2021</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454,024 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12/19/2021</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2,187,850 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12/19/2021</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315,748 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Deborah Knobelman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5/20/2021</w:t>
            </w:r>
            <w:r>
              <w:rPr>
                <w:rFonts w:ascii="Times New Roman;sans-serif" w:hAnsi="Times New Roman;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58,093 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88,682 </w:t>
            </w:r>
          </w:p>
        </w:tc>
        <w:tc>
          <w:tcPr>
            <w:tcW w:w="3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12/19/2021</w:t>
            </w: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947,708 </w:t>
            </w:r>
          </w:p>
        </w:tc>
        <w:tc>
          <w:tcPr>
            <w:tcW w:w="3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10/3/2022</w:t>
            </w:r>
            <w:r>
              <w:rPr>
                <w:rFonts w:ascii="Times New Roman;sans-serif" w:hAnsi="Times New Roman;sans-serif"/>
                <w:b w:val="false"/>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240,000 </w:t>
            </w:r>
          </w:p>
        </w:tc>
        <w:tc>
          <w:tcPr>
            <w:tcW w:w="3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10/3/2022</w:t>
            </w:r>
            <w:r>
              <w:rPr>
                <w:rFonts w:ascii="Times New Roman;sans-serif" w:hAnsi="Times New Roman;sans-serif"/>
                <w:b w:val="false"/>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Kanya Rajangam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r>
              <w:rPr>
                <w:rFonts w:ascii="Times New Roman;sans-serif" w:hAnsi="Times New Roman;sans-serif"/>
                <w:b w:val="false"/>
                <w:color w:val="000000"/>
                <w:sz w:val="16"/>
              </w:rPr>
              <w:t>7/18/2022</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327,750 </w:t>
            </w:r>
          </w:p>
        </w:tc>
        <w:tc>
          <w:tcPr>
            <w:tcW w:w="3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The amounts reported in this column reflect the number of unvested shares multiplied by $1.41, which was the closing market price of Senti’s common stock on December 30, 2022, the last trading day of fiscal year 2022.</w:t>
      </w:r>
    </w:p>
    <w:p>
      <w:pPr>
        <w:pStyle w:val="TextBody"/>
        <w:spacing w:lineRule="auto" w:line="288" w:before="0" w:after="0"/>
        <w:ind w:left="0" w:right="0" w:hanging="360"/>
        <w:rPr/>
      </w:pPr>
      <w:r>
        <w:rPr>
          <w:rFonts w:ascii="Times New Roman;sans-serif" w:hAnsi="Times New Roman;sans-serif"/>
          <w:b w:val="false"/>
          <w:color w:val="000000"/>
          <w:sz w:val="14"/>
        </w:rPr>
        <w:t>(2)</w:t>
      </w:r>
      <w:r>
        <w:rPr>
          <w:rFonts w:ascii="Times New Roman;sans-serif" w:hAnsi="Times New Roman;sans-serif"/>
          <w:b w:val="false"/>
          <w:color w:val="000000"/>
          <w:sz w:val="20"/>
        </w:rPr>
        <w:t>25% of the shares underlying this option vest on the one-year anniversary of the vesting commencement date and the remainder vest in 36 equal monthly installments thereafter, subject to the named executive officer’s continued employment through the applicable vesting date.</w:t>
      </w:r>
    </w:p>
    <w:p>
      <w:pPr>
        <w:pStyle w:val="TextBody"/>
        <w:spacing w:lineRule="auto" w:line="288" w:before="6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The shares underlying this option were subject to both time-based and performance-based vesting conditions. 100% of the shares underlying the option satisfied the performance based vesting condition upon consummation of our Business Combination.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 </w:t>
      </w:r>
    </w:p>
    <w:p>
      <w:pPr>
        <w:pStyle w:val="TextBody"/>
        <w:spacing w:lineRule="auto" w:line="288" w:before="6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The shares underlying this option are subject to the service-based and market-based vesting conditions. The market-based vesting conditions are satisfied upon attainment of certain share prices, or hurdle prices, for 20 out of 30 consecutive trading days. The hurdle prices are $14.82, $19.78, $24.73 and $29.69,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w:t>
      </w:r>
    </w:p>
    <w:p>
      <w:pPr>
        <w:pStyle w:val="TextBody"/>
        <w:spacing w:lineRule="auto" w:line="288" w:before="60" w:after="283"/>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All of the shares underlying this RSU will vest on the second anniversary of the vesting commencement date, subject to the named executive officer’s continued employment.</w:t>
      </w:r>
    </w:p>
    <w:p>
      <w:pPr>
        <w:pStyle w:val="TextBody"/>
        <w:spacing w:before="60" w:after="283"/>
        <w:rPr/>
      </w:pPr>
      <w:r>
        <w:rPr/>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Employee Compensation Plan Information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2022 with respect to the shares of our common stock that may be issued under our existing equity compensation plans.</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51"/>
        <w:gridCol w:w="1276"/>
        <w:gridCol w:w="1264"/>
        <w:gridCol w:w="109"/>
        <w:gridCol w:w="109"/>
        <w:gridCol w:w="109"/>
        <w:gridCol w:w="558"/>
        <w:gridCol w:w="558"/>
        <w:gridCol w:w="560"/>
        <w:gridCol w:w="109"/>
        <w:gridCol w:w="109"/>
        <w:gridCol w:w="109"/>
        <w:gridCol w:w="500"/>
        <w:gridCol w:w="500"/>
        <w:gridCol w:w="502"/>
        <w:gridCol w:w="109"/>
        <w:gridCol w:w="109"/>
        <w:gridCol w:w="109"/>
        <w:gridCol w:w="529"/>
        <w:gridCol w:w="529"/>
        <w:gridCol w:w="531"/>
        <w:gridCol w:w="134"/>
        <w:gridCol w:w="134"/>
        <w:gridCol w:w="198"/>
      </w:tblGrid>
      <w:tr>
        <w:trPr/>
        <w:tc>
          <w:tcPr>
            <w:tcW w:w="145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84" w:type="dxa"/>
            <w:gridSpan w:val="12"/>
            <w:tcBorders/>
            <w:shd w:fill="auto" w:val="clear"/>
          </w:tcPr>
          <w:p>
            <w:pPr>
              <w:pStyle w:val="TableContents"/>
              <w:spacing w:before="0" w:after="283"/>
              <w:rPr>
                <w:sz w:val="4"/>
                <w:szCs w:val="4"/>
              </w:rPr>
            </w:pPr>
            <w:r>
              <w:rPr>
                <w:sz w:val="4"/>
                <w:szCs w:val="4"/>
              </w:rPr>
            </w:r>
          </w:p>
        </w:tc>
      </w:tr>
      <w:tr>
        <w:trPr/>
        <w:tc>
          <w:tcPr>
            <w:tcW w:w="39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to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be issued upon exercise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 outstanding options,</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exercise price of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outstanding options,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warrants and </w:t>
            </w:r>
          </w:p>
          <w:p>
            <w:pPr>
              <w:pStyle w:val="TableContents"/>
              <w:spacing w:lineRule="auto" w:line="288" w:before="0" w:after="0"/>
              <w:jc w:val="center"/>
              <w:rPr/>
            </w:pPr>
            <w:r>
              <w:rPr>
                <w:rFonts w:ascii="Times New Roman;sans-serif" w:hAnsi="Times New Roman;sans-serif"/>
                <w:b/>
                <w:color w:val="000000"/>
                <w:sz w:val="16"/>
              </w:rPr>
              <w:t>rights</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Number of securities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remaining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future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issuance under equity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plans (excluding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securities in first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column)</w:t>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Equity compensation plans approved by security holders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9,703,314</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15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2,050,408</w:t>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 (6)</w:t>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r>
      <w:tr>
        <w:trPr/>
        <w:tc>
          <w:tcPr>
            <w:tcW w:w="399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Equity compensation plans not approved by security holders</w:t>
            </w:r>
            <w:r>
              <w:rPr>
                <w:color w:val="000000"/>
              </w:rPr>
              <w:t xml:space="preserve">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620,309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1,379,691</w:t>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10,323,623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3,430,099</w:t>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120" w:after="60"/>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our 2016 Plan, our 2022 Plan, and our 2022 Employee Stock Purchase Plan, or ESPP.</w:t>
      </w:r>
    </w:p>
    <w:p>
      <w:pPr>
        <w:pStyle w:val="TextBody"/>
        <w:spacing w:lineRule="auto" w:line="288" w:before="0" w:after="60"/>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Senti’s 2022 Inducement Plan, or our Inducement Plan.</w:t>
      </w:r>
    </w:p>
    <w:p>
      <w:pPr>
        <w:pStyle w:val="TextBody"/>
        <w:spacing w:lineRule="auto" w:line="288" w:before="0" w:after="60"/>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The weighted average exercise price is calculated based solely on outstanding stock options.</w:t>
      </w:r>
    </w:p>
    <w:p>
      <w:pPr>
        <w:pStyle w:val="TextBody"/>
        <w:spacing w:lineRule="auto" w:line="288" w:before="0" w:after="60"/>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Amount does not include any purchase rights accruing under our ESPP during the current purchase period, which commenced on November 16, 2022, because the purchase right (and therefore the number of shares to be purchased) will not be determined until the end of the purchase period on May 15, 2023. Subject to the number of shares remaining in the share reserve, the maximum number of shares purchasable by any participant in our ESPP on the purchase date for the current purchase period may not exceed 10,000 shares.</w:t>
      </w:r>
    </w:p>
    <w:p>
      <w:pPr>
        <w:pStyle w:val="TextBody"/>
        <w:spacing w:lineRule="auto" w:line="288" w:before="0" w:after="60"/>
        <w:ind w:left="0" w:right="0" w:hanging="360"/>
        <w:rPr/>
      </w:pPr>
      <w:r>
        <w:rPr>
          <w:rFonts w:ascii="Times New Roman;sans-serif" w:hAnsi="Times New Roman;sans-serif"/>
          <w:b w:val="false"/>
          <w:color w:val="000000"/>
          <w:sz w:val="13"/>
        </w:rPr>
        <w:t>(5)</w:t>
      </w:r>
      <w:r>
        <w:rPr>
          <w:rFonts w:ascii="Times New Roman;sans-serif" w:hAnsi="Times New Roman;sans-serif"/>
          <w:b w:val="false"/>
          <w:color w:val="000000"/>
          <w:sz w:val="20"/>
        </w:rPr>
        <w:t>As of December 31, 2022 a total of 1,568,781 shares of our common stock have been reserved for issuance pursuant to our 2022 Plan. Our 2022 Plan provides that on the first day of each year commencing January 1, 2023, the number of shares reserved for issuance under our 2022 Plan will automatically increase by 5% of the outstanding number of shares of our common stock on the last day of the preceding calendar year or such lesser number of shares as approved by our board of directors prior to the effective date of the annual increase. As a result of such automatic annual increase, 2,208,401 shares were added to our 2022 Plan on January 1, 2023.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2022 Plan (or under our 2016 Plan immediately prior to the Business Combination Agreement) will be added back to the shares of common stock available for issuance under the 2022 Plan. The Company no longer makes grants under the 2016 Plan.</w:t>
      </w:r>
    </w:p>
    <w:p>
      <w:pPr>
        <w:pStyle w:val="TextBody"/>
        <w:spacing w:lineRule="auto" w:line="288" w:before="0" w:after="60"/>
        <w:ind w:left="0" w:right="0" w:hanging="360"/>
        <w:rPr/>
      </w:pPr>
      <w:r>
        <w:rPr>
          <w:rFonts w:ascii="Times New Roman;sans-serif" w:hAnsi="Times New Roman;sans-serif"/>
          <w:b w:val="false"/>
          <w:color w:val="000000"/>
          <w:sz w:val="13"/>
        </w:rPr>
        <w:t>(6)</w:t>
      </w:r>
      <w:r>
        <w:rPr>
          <w:rFonts w:ascii="Times New Roman;sans-serif" w:hAnsi="Times New Roman;sans-serif"/>
          <w:b w:val="false"/>
          <w:color w:val="000000"/>
          <w:sz w:val="20"/>
        </w:rPr>
        <w:t>As of December 31, 2022 a total of 481,627 shares of our common stock have been reserved for issuance pursuant to our ESPP. Our ESPP provides that on the first day of each year commencing January 1, 2023, the number of shares reserved for issuance under our ESPP will automatically increase by the lesser of 1% of the outstanding number of shares of our common stock on the last day of the preceding calendar year, 1,000,000 shares, or such lesser number of shares as determined by our board of directors prior to the effective date of the annual increase. As a result of such automatic increase, 441,680 shares were added to our ESPP on January 1, 2023.</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Pension and Retirement Benefits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Senti’s named executive officers did not participate in, or otherwise receive any benefits under, any pension or defined benefit retirement plan sponsored by Senti during the fiscal year ended December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Nonqualified Deferred Compensation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Senti’s named executive officers did not participate in, or earn any benefits under, any nonqualified deferred compensation plan sponsored by Senti during the fiscal year ended December 31, 2022.</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Employment Arrangements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offer letters with each of our named executive officers, which generally provide for at-will employment without any specific term and set forth the named executive officer’s initial base salary and eligibility for employee benefits. Each of Senti’s named executive officers has executed a form of Senti’s standard confidential information and inventions assignment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Additionally, each of our named executive officers is entitled to certain severance benefits pursuant to their employment offer letters (or, for Drs. Lu and Knobelman, a Severance and Change in Control Agreement), the terms of which are described under the section titled “Potential Payments and Benefits upon Termination or Change in Control” below.</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Offer Letter with Timothy Lu, M.D., Ph.D.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Agreement with Deborah Knobelman, Ph.D.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we entered into an employment offer letter with Dr. Knobelman, which sets forth the terms of her employment with Senti. Pursuant to her offer letter, Dr. Knobelman was initially entitled to an annual base salary of $400,000, a signing bonus of $40,000, and a discretionary annual target bonus equal to 40% of her base salary, contingent upon the achievement of performance objectives established by our board of directors. Subject to approval of our board of directors, Dr. Knobelman was eligible to receive an option to purchase 750,000 shares of Legacy Senti’s common stock, which option vests over a four-year period, subject to her continuous service, and was subsequently converted into an option to purchase 146,775 shares of our common stock pursuant to the Business Combination. Dr. Knobelman is also eligible to participate in our employee benefit plans generally available to our employees, subject to the terms of such plans.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Agreement with Kanya Rajangam, M.D., Ph.D.</w:t>
      </w:r>
    </w:p>
    <w:p>
      <w:pPr>
        <w:pStyle w:val="TextBody"/>
        <w:spacing w:lineRule="auto" w:line="288" w:before="120" w:after="283"/>
        <w:rPr/>
      </w:pPr>
      <w:r>
        <w:rPr>
          <w:rFonts w:ascii="Times New Roman;sans-serif" w:hAnsi="Times New Roman;sans-serif"/>
          <w:b w:val="false"/>
          <w:color w:val="000000"/>
          <w:sz w:val="20"/>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 Additionally, subject to approval of our board of directors, Dr. Rajangam was eligible to receive an option to purchase 0.75% of our issued and outstanding shares as of immediately following the closing of our Business Combination, which option vests over a four-year period subject to her continuous service. Dr. Rajangam is also eligible to participate in our employee benefit plans generally available to our employees, subject to the terms of such plans. Dr. Rajangam’s offer letter also includes severance benefits, as described under the section titled “</w:t>
      </w:r>
      <w:r>
        <w:rPr>
          <w:rFonts w:ascii="Times New Roman;sans-serif" w:hAnsi="Times New Roman;sans-serif"/>
          <w:b w:val="false"/>
          <w:i/>
          <w:color w:val="000000"/>
          <w:sz w:val="20"/>
        </w:rPr>
        <w:t>Potential Payments and Benefits upon Termination or Change in Control</w:t>
      </w:r>
      <w:r>
        <w:rPr>
          <w:color w:val="000000"/>
        </w:rPr>
        <w:t xml:space="preserve">” </w:t>
      </w:r>
      <w:r>
        <w:rPr>
          <w:rFonts w:ascii="Times New Roman;sans-serif" w:hAnsi="Times New Roman;sans-serif"/>
          <w:b w:val="false"/>
          <w:color w:val="000000"/>
          <w:sz w:val="20"/>
        </w:rPr>
        <w:t xml:space="preserve">below.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Potential Payments and Benefits upon Termination or Change in Control</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Regardless of the manner in which a named executive officer’s employment with Senti terminates, the named executive officer is entitled to receive amounts earned during his term of service, including salary and accrued unused vacation pay.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Termination Payments and Benefits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July 2022, we entered into a Severance and Change in Control Agreement with each of Drs. Lu and Knobelman, which sets forth the terms of their severance benefits and supersedes the severance benefits to which such named executive officers were previously entitled to under their employment offer letters.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each named executive officer’s offer letter (or, for Drs. Lu and Knobelman, their Severance and Change in Control Agreement), each of our named executive officers is eligible to receive the following severance payments and benefits, in accordance with the terms and conditions of their respective Severance and Change in Control Agreement or offer letter, upon a termination without “cause” or upon resignation for “good reason”, contingent upon the named executive officer’s timely delivery to Senti of an effective release of claims, or a qualifying termination: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w:t>
      </w:r>
    </w:p>
    <w:p>
      <w:pPr>
        <w:pStyle w:val="TextBody"/>
        <w:ind w:left="0" w:right="0" w:firstLine="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 the event of a qualifying termination, Dr. Knobelman is entitled to severance equal to (i) 9 months of her then current base salary, (ii) all earned but unpaid bonus for the calendar year prior to the year in which her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Knobelman is entitled to severance equal to (i) 12 months of her then current base salary, (ii) her target annual bonus for the year of termination, (iii) all earned but unpaid annual bonus for the calendar year prior to the year in which her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Dr. Knobelman.</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In the event of a qualifying termination, Dr. Rajangam is entitled to severance equal to (i) 9 months of her then current base salary, (ii) all earned but unpaid bonus for the calendar year prior to the year in which her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Rajangam is entitled to severance equal to (i) 12 months of her then current base salary, (ii) her target annual bonus for the year of termination, (iii) all earned but unpaid annual bonus for the calendar year prior to the year in which her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Dr. Rajangam.</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payments and benefits provided to our named executive officers in connection with a change in control may not be eligible for a federal income tax deduction pursuant to Section 280G of the Internal Revenue Code of 1986, as amended, or the Code.</w:t>
      </w:r>
      <w:r>
        <w:rPr>
          <w:color w:val="000000"/>
        </w:rPr>
        <w:t xml:space="preserve"> </w:t>
      </w:r>
      <w:r>
        <w:rPr>
          <w:rFonts w:ascii="Times New Roman;sans-serif" w:hAnsi="Times New Roman;sans-serif"/>
          <w:b w:val="false"/>
          <w:color w:val="000000"/>
          <w:sz w:val="20"/>
        </w:rPr>
        <w:t>These payments and benefits may also subject the named executive officers to an excise tax under Section 4999 of the Code.</w:t>
      </w:r>
      <w:r>
        <w:rPr>
          <w:color w:val="000000"/>
        </w:rPr>
        <w:t xml:space="preserve"> </w:t>
      </w:r>
      <w:r>
        <w:rPr>
          <w:rFonts w:ascii="Times New Roman;sans-serif" w:hAnsi="Times New Roman;sans-serif"/>
          <w:b w:val="false"/>
          <w:color w:val="000000"/>
          <w:sz w:val="20"/>
        </w:rPr>
        <w:t>If the payments and benefits payable to Drs. Lu, Knobelman or Rajangam in connection with a change in control would subject them to the excise tax imposed under Section 4999 of the Code, such severance benefits will be reduced if such reduction would result in a higher net after-tax benefit to such named executive officers.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purposes of our named executive officers’ severance benefits, the following definitions apply: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cause” generally means the occurrence of any of the following: (i) the employee’s material breach of their employment offer letter; (ii) any act (other than retirement) or omission which has a material and adverse effect on our business, or on the employee’s ability to perform services for us, including the commission of any crime (other than minor traffic violations); or (iii) material misconduct or material neglect of the employee’s duties in connection with our business or affairs.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 of control” has the meaning set forth in our 2022 Plan (excluding consummation of our Business Combination).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Health and Welfare and Retirement Benefits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Health and Welfare Benefits and Perquisites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of our current named executive officers are eligible to participate in our health and welfare employee benefit plans generally available to our employees, including our medical, dental, vision, disability and life insurance plans, in each case on the same basis as all of Senti’s other employees. Senti pays the premiums for the life, disability and accidental death and dismemberment insurance for all of its employees, including its named executive officers. Senti generally does not provide perquisites or personal benefits to its named executive officers.</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PARTY TRANSACTIONS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Legacy Senti Related Party Transactions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Convertible Note Exchange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the closing of the Business Combination, an unsecured convertible promissory note (the “Note”) in the aggregate principal amount of $5,175,000 that was previously issued by Legacy Senti to Bayer Healthcare LLC (“Bayer”) for a purchase price of $5,175,000 on May 19, 2022 was automatically cancelled and exchanged for 517,500 shares of DYNS Class A Common Stock (the “Convertible Note Exchange”). All interest accrued on the Note was cancelled as part of the Convertible Note Exchange. The shares of DYNS Class A Common Stock issued in the Convertible Note Exchange, which were reclassified into shares of our common stock in connection with the Business Combination, are entitled to the same registration rights granted to the PIPE Investors (as defined below) with respect to the PIPE Shares.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Mr. Lee Cooper, a former member of Legacy Senti’s board of directors who resigned in connection with the Business Combination, is employed as a Director of Venture Investments with Leaps by Bayer, an investment arm of Bayer AG, which is an affiliate of Bayer Healthcare LLC, a holder of greater than 5% of our outstanding stock.</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PIPE Investment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DYNS entered into subscription agreements with certain investors (the “PIPE Investors”), pursuant to which the PIPE Investors agreed to purchase, and DYNS agreed to sell to the PIPE Investors, an aggregate of 6,680,000 shares of DYNS Class A Common Stock, for a purchase price of $10.00 per share and an aggregate purchase price of $66.8 million, in the PIPE Investment.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the number of shares of DYNS Class A Common Stock purchased by Legacy Senti’s related parties:</w:t>
      </w:r>
    </w:p>
    <w:tbl>
      <w:tblPr>
        <w:tblW w:w="8048" w:type="dxa"/>
        <w:jc w:val="left"/>
        <w:tblInd w:w="0" w:type="dxa"/>
        <w:tblCellMar>
          <w:top w:w="28" w:type="dxa"/>
          <w:left w:w="28" w:type="dxa"/>
          <w:bottom w:w="28" w:type="dxa"/>
          <w:right w:w="28" w:type="dxa"/>
        </w:tblCellMar>
      </w:tblPr>
      <w:tblGrid>
        <w:gridCol w:w="1446"/>
        <w:gridCol w:w="1269"/>
        <w:gridCol w:w="1275"/>
        <w:gridCol w:w="109"/>
        <w:gridCol w:w="109"/>
        <w:gridCol w:w="109"/>
        <w:gridCol w:w="579"/>
        <w:gridCol w:w="579"/>
        <w:gridCol w:w="581"/>
        <w:gridCol w:w="109"/>
        <w:gridCol w:w="109"/>
        <w:gridCol w:w="109"/>
        <w:gridCol w:w="243"/>
        <w:gridCol w:w="1245"/>
        <w:gridCol w:w="177"/>
      </w:tblGrid>
      <w:tr>
        <w:trPr/>
        <w:tc>
          <w:tcPr>
            <w:tcW w:w="1446"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Related Person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of DYNS Class </w:t>
              <w:br/>
              <w:t>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w:t>
            </w:r>
          </w:p>
        </w:tc>
      </w:tr>
      <w:tr>
        <w:trPr/>
        <w:tc>
          <w:tcPr>
            <w:tcW w:w="3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 Peter Lee</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New Enterprise Associates 15, L.P.</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8VC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Matrix Partners China VI Hong Kong Limited</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S. Peter Lee is the father of Philip Lee, Ph.D., our Chief Technology Officer and Secretary.</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Mr. Mathers, a member of our board of directors, is employed as a Partner at New Enterprise Associates, Inc., which is affiliated with New Enterprise Associates 15, L.P, which holds greater than 5% of our outstanding stock.</w:t>
      </w:r>
    </w:p>
    <w:p>
      <w:pPr>
        <w:pStyle w:val="TextBody"/>
        <w:spacing w:lineRule="auto" w:line="288" w:before="60" w:after="283"/>
        <w:ind w:left="0" w:right="0" w:hanging="360"/>
        <w:rPr/>
      </w:pPr>
      <w:r>
        <w:rPr>
          <w:rFonts w:ascii="Times New Roman;sans-serif" w:hAnsi="Times New Roman;sans-serif"/>
          <w:b w:val="false"/>
          <w:color w:val="000000"/>
          <w:sz w:val="13"/>
        </w:rPr>
        <w:t>(3)</w:t>
      </w:r>
      <w:r>
        <w:rPr>
          <w:rFonts w:ascii="Times New Roman;sans-serif" w:hAnsi="Times New Roman;sans-serif"/>
          <w:b w:val="false"/>
          <w:color w:val="000000"/>
          <w:sz w:val="20"/>
        </w:rPr>
        <w:t>Mr. Kolicich, a former member of Legacy Senti’s board of directors, is employed as a Partner of Eight Partners VC, LLC, which is an affiliate of 8VC Fund I L.P., or 8VC, and 8VC Entrepreneurs Fund I, L.P., or 8VC Entrepreneurs, which held greater than 5% of Legacy Senti’s outstanding capital stock as of immediately prior to the Business Combination.</w:t>
      </w:r>
    </w:p>
    <w:p>
      <w:pPr>
        <w:pStyle w:val="TextBody"/>
        <w:spacing w:lineRule="auto" w:line="288" w:before="60" w:after="283"/>
        <w:ind w:left="0" w:right="0" w:hanging="360"/>
        <w:rPr/>
      </w:pPr>
      <w:r>
        <w:rPr>
          <w:rFonts w:ascii="Times New Roman;sans-serif" w:hAnsi="Times New Roman;sans-serif"/>
          <w:b w:val="false"/>
          <w:color w:val="000000"/>
          <w:sz w:val="13"/>
        </w:rPr>
        <w:t>(4)</w:t>
      </w:r>
      <w:r>
        <w:rPr>
          <w:rFonts w:ascii="Times New Roman;sans-serif" w:hAnsi="Times New Roman;sans-serif"/>
          <w:b w:val="false"/>
          <w:color w:val="000000"/>
          <w:sz w:val="20"/>
        </w:rPr>
        <w:t>Ms. Geng, is a former member of Legacy Senti’s board of directors and was a former Vice President of Matrix Partners China, which is an affiliate of Matrix Partners China VI Hong Kong Limited, which held greater than 5% of Legacy Senti’s outstanding capital stock as of immediately prior to the Business Combination.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All shares of DYNS Class A Common Stock purchased by the PIPE Investors as set forth above were reclassified into shares of our common stock in connection with the Business Combination.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Preferred Stock Financings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Series A Redeemable Convertible Preferred Stock Financing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February 2018 and January 2019, Legacy Senti issued and sold to investors in a private placement an aggregate of 35,199,610 shares of its Series A redeemable convertible preferred stock at a purchase price of $1.6427 per share for an aggregate purchase price of approximately $53.4 million, through the payment of cash proceeds and the conversion of convertible promissory notes issued in 2016 and the interest accrued thereon. Each share of Series A redeemable convertible preferred stock automatically converted into one share of our common stock upon closing of the Business Combination.</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Series A redeemable convertible preferred stock purchased by holders of more than 5% of Legacy Senti’s capital stock, Legacy Senti’s directors, executive officers and entities affiliated with Senti’s executive officers and directors in February 2018 and January 2019.</w:t>
      </w:r>
    </w:p>
    <w:tbl>
      <w:tblPr>
        <w:tblW w:w="10144" w:type="dxa"/>
        <w:jc w:val="left"/>
        <w:tblInd w:w="0" w:type="dxa"/>
        <w:tblCellMar>
          <w:top w:w="28" w:type="dxa"/>
          <w:left w:w="28" w:type="dxa"/>
          <w:bottom w:w="28" w:type="dxa"/>
          <w:right w:w="28" w:type="dxa"/>
        </w:tblCellMar>
      </w:tblPr>
      <w:tblGrid>
        <w:gridCol w:w="955"/>
        <w:gridCol w:w="840"/>
        <w:gridCol w:w="844"/>
        <w:gridCol w:w="109"/>
        <w:gridCol w:w="109"/>
        <w:gridCol w:w="109"/>
        <w:gridCol w:w="540"/>
        <w:gridCol w:w="541"/>
        <w:gridCol w:w="436"/>
        <w:gridCol w:w="109"/>
        <w:gridCol w:w="109"/>
        <w:gridCol w:w="109"/>
        <w:gridCol w:w="542"/>
        <w:gridCol w:w="459"/>
        <w:gridCol w:w="461"/>
        <w:gridCol w:w="109"/>
        <w:gridCol w:w="109"/>
        <w:gridCol w:w="109"/>
        <w:gridCol w:w="567"/>
        <w:gridCol w:w="514"/>
        <w:gridCol w:w="436"/>
        <w:gridCol w:w="109"/>
        <w:gridCol w:w="109"/>
        <w:gridCol w:w="109"/>
        <w:gridCol w:w="211"/>
        <w:gridCol w:w="1336"/>
        <w:gridCol w:w="154"/>
      </w:tblGrid>
      <w:tr>
        <w:trPr/>
        <w:tc>
          <w:tcPr>
            <w:tcW w:w="95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Participants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br/>
              <w:t xml:space="preserve">Redeemable </w:t>
              <w:br/>
              <w:t xml:space="preserve">Convertible </w:t>
              <w:br/>
              <w:t xml:space="preserve">Preferred Stock </w:t>
              <w:br/>
              <w:t xml:space="preserve">Purchased for </w:t>
              <w:br/>
              <w:t>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br/>
              <w:t xml:space="preserve">Redeemable </w:t>
              <w:br/>
              <w:t xml:space="preserve">Convertible </w:t>
              <w:br/>
              <w:t xml:space="preserve">Preferred Stock </w:t>
              <w:br/>
              <w:t xml:space="preserve">Issued upon </w:t>
              <w:br/>
              <w:t xml:space="preserve">Conversion of </w:t>
              <w:br/>
              <w:t>Promissory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Series A </w:t>
              <w:br/>
              <w:t xml:space="preserve">Redeemable </w:t>
              <w:br/>
              <w:t xml:space="preserve">Convertible </w:t>
              <w:br/>
              <w:t xml:space="preserve">Preferred Stock </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w:t>
            </w:r>
          </w:p>
        </w:tc>
      </w:tr>
      <w:tr>
        <w:trPr/>
        <w:tc>
          <w:tcPr>
            <w:tcW w:w="26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Timothy Lu</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158,950 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158,950 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NEA</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12,168,990 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1,336,045 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13,505,035 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21,082,219.07 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8VC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8,370,366 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8,370,366 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13,750,000.25 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Dr. Lu is our Chief Executive Officer and President and a member of our board of directors.</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Mr. Mathers, a member of our board of directors, is employed as a Partner at New Enterprise Associates, Inc., which is affiliated with New Enterprise Associates 15, L.P., or NEA 15, and NEA Ventures 2018, L.P., or Ven 2018.</w:t>
      </w:r>
    </w:p>
    <w:p>
      <w:pPr>
        <w:pStyle w:val="TextBody"/>
        <w:spacing w:lineRule="auto" w:line="288" w:before="60" w:after="283"/>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Mr. Kolicich, a former member of Legacy Senti’s board of directors, is employed as a Partner of Eight Partners VC, LLC, which is an affiliate of 8VC Fund I L.P., or 8VC, and 8VC Entrepreneurs Fund I, L.P., or 8VC Entrepreneurs.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2020 Convertible Note Financing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August 2020, Legacy Senti issued convertible promissory notes in the aggregate principal amount of $8.0 million, which are referred to as the 2020 Notes. The 2020 Notes accrued interest at the rate of 8% per annum. In October 2020, all of the 2020 Notes converted into 5,485,858 shares of Series B redeemable convertible preferred stock of Legacy Senti in connection with the issuance of Series B redeemable convertible preferred stock.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aggregate principal amount of 2020 Notes issued to holders of more than 5% of Legacy Senti’s capital stock, Legacy Senti’s directors, executive officers and entities affiliated with Legacy Senti’s executive officers and directors.</w:t>
      </w:r>
    </w:p>
    <w:tbl>
      <w:tblPr>
        <w:tblW w:w="4275" w:type="dxa"/>
        <w:jc w:val="left"/>
        <w:tblInd w:w="0" w:type="dxa"/>
        <w:tblCellMar>
          <w:top w:w="28" w:type="dxa"/>
          <w:left w:w="28" w:type="dxa"/>
          <w:bottom w:w="28" w:type="dxa"/>
          <w:right w:w="28" w:type="dxa"/>
        </w:tblCellMar>
      </w:tblPr>
      <w:tblGrid>
        <w:gridCol w:w="945"/>
        <w:gridCol w:w="830"/>
        <w:gridCol w:w="835"/>
        <w:gridCol w:w="262"/>
        <w:gridCol w:w="1212"/>
        <w:gridCol w:w="191"/>
      </w:tblGrid>
      <w:tr>
        <w:trPr/>
        <w:tc>
          <w:tcPr>
            <w:tcW w:w="94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Noteholders</w:t>
            </w:r>
          </w:p>
        </w:tc>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w:t>
            </w:r>
          </w:p>
        </w:tc>
      </w:tr>
      <w:tr>
        <w:trPr/>
        <w:tc>
          <w:tcPr>
            <w:tcW w:w="26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NEA</w:t>
            </w:r>
            <w:r>
              <w:rPr>
                <w:rFonts w:ascii="Times New Roman;sans-serif" w:hAnsi="Times New Roman;sans-serif"/>
                <w:b w:val="false"/>
                <w:color w:val="000000"/>
                <w:sz w:val="13"/>
              </w:rPr>
              <w:t>(1)</w:t>
            </w:r>
          </w:p>
        </w:tc>
        <w:tc>
          <w:tcPr>
            <w:tcW w:w="26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8VC </w:t>
            </w:r>
            <w:r>
              <w:rPr>
                <w:rFonts w:ascii="Times New Roman;sans-serif" w:hAnsi="Times New Roman;sans-serif"/>
                <w:b w:val="false"/>
                <w:color w:val="000000"/>
                <w:sz w:val="13"/>
              </w:rPr>
              <w:t>(2)</w:t>
            </w:r>
          </w:p>
        </w:tc>
        <w:tc>
          <w:tcPr>
            <w:tcW w:w="26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2,231,640 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60" w:after="283"/>
        <w:ind w:left="0" w:right="0" w:hanging="360"/>
        <w:rPr/>
      </w:pPr>
      <w:r>
        <w:rPr>
          <w:rFonts w:ascii="Times New Roman;sans-serif" w:hAnsi="Times New Roman;sans-serif"/>
          <w:b w:val="false"/>
          <w:color w:val="000000"/>
          <w:sz w:val="13"/>
        </w:rPr>
        <w:t>(1)</w:t>
      </w:r>
      <w:r>
        <w:rPr>
          <w:rFonts w:ascii="Times New Roman;sans-serif" w:hAnsi="Times New Roman;sans-serif"/>
          <w:b w:val="false"/>
          <w:color w:val="000000"/>
          <w:sz w:val="20"/>
        </w:rPr>
        <w:t>Mr. Mathers, a member of our board of directors, is employed as a Partner at New Enterprise Associates, Inc., which is affiliated with NEA 15 and Ven 2018.</w:t>
      </w:r>
    </w:p>
    <w:p>
      <w:pPr>
        <w:pStyle w:val="TextBody"/>
        <w:spacing w:lineRule="auto" w:line="288" w:before="60" w:after="283"/>
        <w:ind w:left="0" w:right="0" w:hanging="360"/>
        <w:rPr/>
      </w:pPr>
      <w:r>
        <w:rPr>
          <w:rFonts w:ascii="Times New Roman;sans-serif" w:hAnsi="Times New Roman;sans-serif"/>
          <w:b w:val="false"/>
          <w:color w:val="000000"/>
          <w:sz w:val="13"/>
        </w:rPr>
        <w:t>(2)</w:t>
      </w:r>
      <w:r>
        <w:rPr>
          <w:rFonts w:ascii="Times New Roman;sans-serif" w:hAnsi="Times New Roman;sans-serif"/>
          <w:b w:val="false"/>
          <w:color w:val="000000"/>
          <w:sz w:val="20"/>
        </w:rPr>
        <w:t>Mr. Kolicich, a former member of Legacy Senti’s board of directors, is employed as a Partner of Eight Partners VC, LLC, which is an affiliate of 8VC and 8VC Entrepreneurs.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Convertible Preferred Stock Financing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Between October 2020 and May 2021, Legacy Senti issued and sold to investors in a private placement an aggregate of 64,534,933 shares of its Series B redeemable convertible preferred stock at a purchase price of $1.6427 per share for an aggregate purchase price of approximately $105.1 million, through the payment of cash proceeds and the conversion of the 2020 Notes and the interest accrued thereon. Each share of Series B redeemable convertible preferred stock automatically converted into one share of our common stock upon the closing of the Business Combination.</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Series B redeemable convertible preferred stock purchased by holders of more than 5% of Legacy Senti’s capital stock, Legacy Senti’s directors, executive officers and entities affiliated with Legacy Senti’s executive officers and directors.</w:t>
      </w:r>
    </w:p>
    <w:tbl>
      <w:tblPr>
        <w:tblW w:w="10205" w:type="dxa"/>
        <w:jc w:val="left"/>
        <w:tblInd w:w="0" w:type="dxa"/>
        <w:tblCellMar>
          <w:top w:w="28" w:type="dxa"/>
          <w:left w:w="28" w:type="dxa"/>
          <w:bottom w:w="28" w:type="dxa"/>
          <w:right w:w="28" w:type="dxa"/>
        </w:tblCellMar>
      </w:tblPr>
      <w:tblGrid>
        <w:gridCol w:w="1026"/>
        <w:gridCol w:w="902"/>
        <w:gridCol w:w="907"/>
        <w:gridCol w:w="109"/>
        <w:gridCol w:w="109"/>
        <w:gridCol w:w="109"/>
        <w:gridCol w:w="540"/>
        <w:gridCol w:w="541"/>
        <w:gridCol w:w="446"/>
        <w:gridCol w:w="109"/>
        <w:gridCol w:w="109"/>
        <w:gridCol w:w="109"/>
        <w:gridCol w:w="488"/>
        <w:gridCol w:w="488"/>
        <w:gridCol w:w="387"/>
        <w:gridCol w:w="109"/>
        <w:gridCol w:w="109"/>
        <w:gridCol w:w="109"/>
        <w:gridCol w:w="540"/>
        <w:gridCol w:w="541"/>
        <w:gridCol w:w="387"/>
        <w:gridCol w:w="109"/>
        <w:gridCol w:w="109"/>
        <w:gridCol w:w="109"/>
        <w:gridCol w:w="211"/>
        <w:gridCol w:w="1336"/>
        <w:gridCol w:w="157"/>
      </w:tblGrid>
      <w:tr>
        <w:trPr/>
        <w:tc>
          <w:tcPr>
            <w:tcW w:w="102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Participants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br/>
              <w:t>Redeemable</w:t>
              <w:br/>
              <w:t>Convertible</w:t>
              <w:br/>
              <w:t>Preferred Stock</w:t>
              <w:br/>
              <w:t>Purchased for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br/>
              <w:t>Redeemable</w:t>
              <w:br/>
              <w:t>Convertible</w:t>
              <w:br/>
              <w:t>Preferred Stock</w:t>
              <w:br/>
              <w:t>Issued upon</w:t>
              <w:br/>
              <w:t>Conversion of</w:t>
              <w:br/>
              <w:t>2020 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Series B</w:t>
              <w:br/>
              <w:t>Redeemable</w:t>
              <w:br/>
              <w:t>Convertible</w:t>
              <w:br/>
              <w:t>Preferred Stock</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w:t>
            </w:r>
          </w:p>
        </w:tc>
      </w:tr>
      <w:tr>
        <w:trPr/>
        <w:tc>
          <w:tcPr>
            <w:tcW w:w="28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Bayer Healthcare LLC</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27,393,924 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27,393,924 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44,999,998.98 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NEA</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2,742,931 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2,742,931 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4,055,232.88 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Entities Affiliated with 8VC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1,530,308 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1,530,308 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2,262,454.97 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Matrix Partners China VI Hong Kong Limited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6,087,537 </w:t>
            </w:r>
          </w:p>
        </w:tc>
        <w:tc>
          <w:tcPr>
            <w:tcW w:w="4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6,087,537 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9,999,997.05 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w:t>
      </w:r>
    </w:p>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Mr. Cooper, a former member of Legacy Senti’s board of directors, is employed as a Director of Venture Investments with Leaps by Bayer, an investment arm of Bayer AG, which is an affiliate of Bayer Healthcare LLC.</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Mr. Mathers, a member of our board of directors, is employed as a Partner at New Enterprise Associates, Inc., which is affiliated with NEA 15 and Ven 2018.</w:t>
      </w:r>
    </w:p>
    <w:p>
      <w:pPr>
        <w:pStyle w:val="TextBody"/>
        <w:spacing w:lineRule="auto" w:line="288" w:before="60" w:after="283"/>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Mr. Kolicich, a former member of Legacy Senti’s board of directors, is employed as a Partner of Eight Partners VC, LLC, which is an affiliate of 8VC and 8VC Entrepreneurs.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Collaboration with BlueRock Therapeutics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May 2021, Senti entered into a collaboration and option agreement with BlueRock Therapeutics LP, or BlueRock, pursuant to which Senti granted to BlueRock an option, on a collaboration program-by-collaboration program basis, to obtain an exclusive or non-exclusive license under Senti’s intellectual property rights to develop, manufacture and commercialize, for the prevention, treatment or palliation of specified indications, or a licensed field, cell therapy products that contain cells of specified types that incorporate an option gene circuit from such collaboration program or a closely related derivative gene circuit. BlueRock is a wholly-owned subsidiary of Bayer Healthcare LLC, a holder of more than 5% of Senti’s common stock. Mr. Cooper, a former member of Legacy Senti’s board of directors who resigned in connection with the Business Combination, is employed as a Director of Venture Investments with Leaps by Bayer, an investment arm of Bayer AG, which is the parent company of Bayer Healthcare LLC. Bayer Healthcare LLC holds greater than 5% of our outstanding common stock.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8, 2022 (the “Closing Date”), DYNS, certain affiliated stockholders of DYNS, including Dynamics Sponsor LLC, a Delaware limited liability company (the “Sponsor”), and certain affiliated securityholders of Legacy Senti, including its directors and executive officers, entered into an investor rights and lock-up agreement (the “Investor Rights Agreement”). Pursuant to the Investor Rights Agreement, each signatory thereto (other than DYNS) was granted certain registration rights with respect to their respective shares of our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Investor Rights Agreement restricts the ability of each stockholder who is a party thereto (other than DYNS) to transfer its shares of common stock (or any securities convertible into or exercisable or exchangeable for shares of common stock), subject to certain permitted transfers, for a period of one year following the Closing Date (the “General Lock-Up”) or, in the case of certain stockholders of Legacy Senti, 18 months following the Closing Date (the “Extended Lock-Up”); provided that (A) the foregoing restrictions do not apply to any shares of common stock purchased pursuant to subscription agreements in the PIPE financing, and (B) if the last reported per share sale price of our common stock on Nasdaq, or any other national securities exchange on which our common stock is then traded, is greater than or equal to $12.00 per share over any 20 trading days within any consecutive 30-trading day period following the Closing Date, then, commencing at least 150 days after the Closing Date, the General Lock-Up will be deemed to have expired with respect to the shares of Common Stock subject to the General Lock-Up and the Extended Lock-Up.</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Agreement with David Epstein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July 1, 2022, we entered into an consulting agreement with our director, David Epstein, pursuant to which he provides certain consulting and advisory services, as is more fully described in the section titled “Non-Employee Director Compensation— Non-Employee Director Agreements”.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Agreement with James Collins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14, 2021, we entered into an agreement with our director James Collins, pursuant to which he is a member and chair of the Company’s Scientific Advisory Board (“SAB”), and as more fully described in the section titled “Non-Employee Director Compensation— Non-Employee Director Agreements”.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Agreement with Seer, Inc.</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23, 2022, we agreed to purchase a piece of biologics automation equipment for our research facility from Seer, Inc. (NASDAQ: SEER) for $200,000. Omid Farokhzad, a member of our board of directors, is the Chief Executive Officer of Seer. The equipment was delivered in January 2023. The consideration of $200,000, plus interest, will be paid over a two-year period. Ownership title will transfer to Senti upon final payment. The design and sale of this equipment is the main business of Seer and there is no comparable product on the market. The Audit Committee approved the purchase of the equipment at a committee meeting on March 17, 2023. The transaction was classified in the Company’s books as a finance lease that commenced on March 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Charter contains provisions limiting the liability of directors, and the Bylaws provide that we will indemnify each of our directors and officers to the fullest extent permitted under Delaware law. The Charter and Bylaws also provide our board of directors with discretion to indemnify our employees and other agents when determined appropriate by the board of directors.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we have entered into or intend to enter into an indemnification agreement with each of our directors and executive officers, which will require us to indemnify them.</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Stock Option Grants to Directors and Executive Officers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have granted stock options to our directors and executive officers, as more fully described in the sections titled “Executive Compensation” and “Director Compensation.”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Related Person Transactions Policy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DYNS Related Party Transactions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Founder Shares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8, 2021, the Sponsor was issued 5,750,000 shares of DYNS Class B Common Stock (the Founder Shares) for an aggregate price of $25,000. The Founder Shares included an aggregate of up to 750,000 shares of Class B Common Stock subject to forfeiture by the Sponsor to the extent that the underwriter’s over-allotment option was not exercised in full or in part, so that the Sponsor would own, on an as-converted basis, 20% of DYNS’ issued and outstanding shares after its Initial Public Offering (excluding the Private Placement Shares) and assuming its Sponsor did not purchase any Public Shares in its Initial Public Offering). The underwriter fully exercised the over-allotment option on May 28, 2021; thus, these 750,000 Founder Shares are no longer subject to forfeiture.</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Private Placement Shares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DYNS Initial Public Offering, DYNS consummated the sale of 715,500 shares of its Class A Common Stock (the “Private Placement Shares”) at a price of $10.00 per share in a private placement to its Sponsor, generating gross proceeds of $7,155,000. A portion of the proceeds from the sale of the Private Placement Shares was added to the net proceeds from its Initial Public Offering held in the Trust Account. If DYNS did not complete an initial business combination within 24 months from the closing of its Initial Public Offering, the proceeds from the sale of the Private Placement Shares held in the Trust Account would have been used to fund the redemption of Public Shares (subject to the requirements of applicable law).</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Promissory Note—Related Party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8, 2021, DYNS issued an unsecured promissory note to its Sponsor (the “Promissory Note”), pursuant to which DYNS could borrow up to an aggregate of $300,000 to cover expenses related to its Initial Public Offering. The Promissory Note was non-interest bearing and was payable on the earlier of December 31, 2021 or the consummation of its Initial Public Offering. In April 2021, DYNS borrowed $250,000 under the Promissory Note, which was repaid on May 26, 2021.</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Administrative Support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DYNS entered into an agreement, commencing on the effective date of its Initial Public Offering, to pay the Sponsor up to a total of $10,000 per month for office space, administrative and support services. Upon the closing of the Business Combination, the agreement terminated. DYNS did not exercise its option to use such services and did not paid any fees to the Sponsor.</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Sponsor Support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Business Combination Agreement, the Sponsor and each of the DYNS officers and directors entered into the Sponsor Support Agreement with DYNS and Senti. Under the Sponsor Support Agreement, the Sponsor has agreed to vote, at any meeting of the stockholders of DYNS and in any action by written consent of the stockholders of DYNS, all of its shares of Class B Common Stock (together with any other equity securities of DYNS that it holds of record or beneficially, as of the date of the Sponsor Support Agreement, or of which it acquires record or beneficial ownership after the date thereof (the “Subject DYNS Equity Securities”)) (i) in favor of (a) the Business Combination Agreement and the transactions contemplated thereby and (b) the other proposals that DYNS and Senti agreed in the Business Combination Agreement shall be submitted at such meeting for approval by DYNS’s stockholders together with the proposal to obtain the DYNS stockholders’ approval for the Business Combination (the “Required Transaction Proposals”) and (ii) against any proposal that conflicts or materially impedes or interferes with any Required Transaction Proposals or that would adversely affect or delay the Business Combination. The Sponsor Support Agreement also prohibits the Sponsor from, among other things and subject to certain exceptions, selling, assigning or transferring any Subject DYNS Equity Securities held by the Sponsor or taking any action that would have the effect of preventing or materially delaying the Sponsor from performing its obligations under the Sponsor Support Agreement. In addition, in the Sponsor Support Agreement, the Sponsor agrees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holders of the Founder Shares and Private Placement Shares are entitled to registration rights pursuant to the registration and stockholder rights agreement requiring us to register such securities for resale. As at the date of this Proxy Statement, there are 5,750,000 Founder Shares, 871,028 of which were distributed to the Anchor Investors, and 715,500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PIPE Investors are entitled to registration rights pursuant to the subscription agreements they entered into with DYNS in connection with the PIPE Investment. The PIPE Investors subscribed for, in aggregate, 5,060,000 shares of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Class A Common Stock concurrently with the consummation of the Business Combination, and all such shares will have registration rights.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total, after the consummation of the Business Combination, an aggregate of 11,525,500 shares of our common stock held by stockholders of DYNS prior to the consummation of the Business Combination and by the PIPE Investors are subject to registration rights, comprising 715,500 Private Placement Shares, 4,878,972 Founder Shares, 871,028 shares of common stock issued to Anchor Investors and 5,060,000 shares of common stock issued to PIPE Investors.</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Underwriting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its Initial Public Offering, DYNS granted the underwriter a 45-day option to purchase up to 3,000,000 additional shares of Class A Common Stock to cover over-allotments at the Initial Public Offering price, less the underwriting discounts and fees. The underwriter exercised its over-allotment option in full on May 28, 2021.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underwriter was paid a cash underwriting fee of $0.20 per share, or $4,600,000 in the aggregate, upon the closing of the Initial Public Offering. In addition, approximately $0.306 per share, or $7,050,000 in the aggregate, may be payable to the underwriter for deferred underwriting fees (this amount having being reduced from $8,050,000 by $1,000,000 by agreement with the underwriter on December 17, 2021). The deferred underwriting fee became payable to the underwriter from the amounts held in the Trust Account upon the completion of the Business Combination, subject to the terms of the underwriting agreement.</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Financial Advisor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December 16, 2021, DYNS entered into an agreement (the “Financial Advisor Agreement”) with Morgan Stanley for financial advisory services in connection with the Business Combination, which services Morgan Stanley had been engaged to provide, and which services Morgan Stanley had provided, since August 4, 2021. The Financial Advisor Agreement shall terminate automatically on December 16, 2022 unless terminated earlier, with or without cause, by either DYNS or Morgan Stanley. DYNS paid Morgan Stanley a fee of $1,000,000 upon the consummation of the Business Combination.</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Placement Agent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September 21, 2021, DYNS entered into an agreement (the “Placement Agent Agreement”) with Morgan Stanley, J.P. Morgan and BofA Securities (together, the “co-placement agents”) for services in connection with the placement of shares of our Class A Common Stock to the PIPE Investors. The Placement Agent Agreement terminated automatically on August 28, 2022. DYNS paid the co-placement agents a total fee equal to 4.0% of the aggregate price at which the shares of DYNS Class A Common Stock were sold to the PIPE Investors, which fee was payable upon the consummation of the placement of the shares. Each of the co-placement agents received 33.3% of the fee.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PRINCIPAL STOCKHOLDERS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to the extent known by us or ascertainable from public filings, with respect to the beneficial ownership of our common stock as of March 31, 2023:</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each of our directors;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each of our named executive officers;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all of our directors and executive officers as a group;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each person, or group of affiliated persons, who is known by us to beneficially own greater than 5.0% of our outstanding common stock.</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column entitled “Shares Beneficially Owned” is based on a total of 44,168,034 shares of our common stock outstanding as of March 31, 2023.</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Inc., 2 Corporate Drive, First Floor, South San Francisco, CA 94080.</w:t>
      </w:r>
    </w:p>
    <w:tbl>
      <w:tblPr>
        <w:tblW w:w="8103" w:type="dxa"/>
        <w:jc w:val="left"/>
        <w:tblInd w:w="0" w:type="dxa"/>
        <w:tblCellMar>
          <w:top w:w="28" w:type="dxa"/>
          <w:left w:w="28" w:type="dxa"/>
          <w:bottom w:w="28" w:type="dxa"/>
          <w:right w:w="28" w:type="dxa"/>
        </w:tblCellMar>
      </w:tblPr>
      <w:tblGrid>
        <w:gridCol w:w="1779"/>
        <w:gridCol w:w="1567"/>
        <w:gridCol w:w="1574"/>
        <w:gridCol w:w="109"/>
        <w:gridCol w:w="109"/>
        <w:gridCol w:w="109"/>
        <w:gridCol w:w="488"/>
        <w:gridCol w:w="488"/>
        <w:gridCol w:w="251"/>
        <w:gridCol w:w="195"/>
        <w:gridCol w:w="195"/>
        <w:gridCol w:w="195"/>
        <w:gridCol w:w="233"/>
        <w:gridCol w:w="233"/>
        <w:gridCol w:w="578"/>
      </w:tblGrid>
      <w:tr>
        <w:trPr/>
        <w:tc>
          <w:tcPr>
            <w:tcW w:w="1779"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 xml:space="preserve">Name and address of beneficial owner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Percentage</w:t>
            </w:r>
          </w:p>
        </w:tc>
      </w:tr>
      <w:tr>
        <w:trPr/>
        <w:tc>
          <w:tcPr>
            <w:tcW w:w="49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Timothy Lu, M.D., Ph.D.</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2,109,673 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Deborah Knobelman, Ph.D.</w:t>
            </w:r>
            <w:r>
              <w:rPr>
                <w:color w:val="000000"/>
              </w:rPr>
              <w:t xml:space="preserve">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81,505 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Kanya Rajangam, M.D., Ph.D.</w:t>
            </w:r>
            <w:r>
              <w:rPr>
                <w:color w:val="000000"/>
              </w:rPr>
              <w:t xml:space="preserve"> </w:t>
            </w:r>
            <w:r>
              <w:rPr>
                <w:rFonts w:ascii="Times New Roman;sans-serif" w:hAnsi="Times New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James J. (Jim) Collins</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212,608 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Omid Farokhzad</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1,982,125 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Brenda Cooperstone</w:t>
            </w:r>
            <w:r>
              <w:rPr>
                <w:rFonts w:ascii="Times New Roman;sans-serif" w:hAnsi="Times New Roman;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Susan Berland</w:t>
            </w:r>
            <w:r>
              <w:rPr>
                <w:rFonts w:ascii="Times New Roman;sans-serif" w:hAnsi="Times New Roman;sans-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David Epstein</w:t>
            </w:r>
            <w:r>
              <w:rPr>
                <w:rFonts w:ascii="Times New Roman;sans-serif" w:hAnsi="Times New Roman;sans-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Edward Mathers</w:t>
            </w:r>
            <w:r>
              <w:rPr>
                <w:rFonts w:ascii="Times New Roman;sans-serif" w:hAnsi="Times New Roman;sans-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All executive officers and directors as a group (10 persons)</w:t>
            </w:r>
            <w:r>
              <w:rPr>
                <w:color w:val="000000"/>
              </w:rPr>
              <w:t xml:space="preserve"> </w:t>
            </w:r>
            <w:r>
              <w:rPr>
                <w:rFonts w:ascii="Times New Roman;sans-serif" w:hAnsi="Times New Roman;sans-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5,641,383 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5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5 Percent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Entities Affiliated with 8VC</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2,537,558</w:t>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Entities Affiliated with NEA</w:t>
            </w:r>
            <w:r>
              <w:rPr>
                <w:rFonts w:ascii="Times New Roman;sans-serif" w:hAnsi="Times New Roman;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4,426,151</w:t>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Bayer Healthcare LLC</w:t>
            </w:r>
            <w:r>
              <w:rPr>
                <w:rFonts w:ascii="Times New Roman;sans-serif" w:hAnsi="Times New Roman;sans-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5,878,488</w:t>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5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Accounts Advised or Sub Advised by T. Rowe Price Associates</w:t>
            </w:r>
            <w:r>
              <w:rPr>
                <w:rFonts w:ascii="Times New Roman;sans-serif" w:hAnsi="Times New Roman;sans-serif"/>
                <w:b w:val="false"/>
                <w:color w:val="000000"/>
                <w:sz w:val="12"/>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3,554,017</w:t>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57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ARK Genomic Revolution EFT</w:t>
            </w:r>
            <w:r>
              <w:rPr>
                <w:rFonts w:ascii="Times New Roman;sans-serif" w:hAnsi="Times New Roman;sans-serif"/>
                <w:b w:val="false"/>
                <w:color w:val="000000"/>
                <w:sz w:val="12"/>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2,410,394</w:t>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57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w:t>
      </w:r>
    </w:p>
    <w:p>
      <w:pPr>
        <w:pStyle w:val="TextBody"/>
        <w:spacing w:lineRule="auto" w:line="288" w:before="60" w:after="283"/>
        <w:ind w:left="0" w:right="0" w:hanging="720"/>
        <w:rPr/>
      </w:pPr>
      <w:r>
        <w:rPr>
          <w:rFonts w:ascii="Times New Roman;sans-serif" w:hAnsi="Times New Roman;sans-serif"/>
          <w:b w:val="false"/>
          <w:color w:val="000000"/>
          <w:sz w:val="24"/>
        </w:rPr>
        <w:t>*</w:t>
      </w:r>
      <w:r>
        <w:rPr>
          <w:rFonts w:ascii="Times New Roman;sans-serif" w:hAnsi="Times New Roman;sans-serif"/>
          <w:b w:val="false"/>
          <w:color w:val="000000"/>
          <w:sz w:val="20"/>
        </w:rPr>
        <w:t>Represents beneficial ownership of less than 1%.</w:t>
      </w:r>
    </w:p>
    <w:p>
      <w:pPr>
        <w:pStyle w:val="TextBody"/>
        <w:spacing w:lineRule="auto" w:line="288" w:before="60" w:after="283"/>
        <w:ind w:left="0" w:right="0" w:hanging="720"/>
        <w:rPr/>
      </w:pPr>
      <w:r>
        <w:rPr>
          <w:rFonts w:ascii="Times New Roman;sans-serif" w:hAnsi="Times New Roman;sans-serif"/>
          <w:b w:val="false"/>
          <w:color w:val="000000"/>
          <w:sz w:val="13"/>
        </w:rPr>
        <w:t>(1)</w:t>
      </w:r>
      <w:r>
        <w:rPr>
          <w:rFonts w:ascii="Times New Roman;sans-serif" w:hAnsi="Times New Roman;sans-serif"/>
          <w:b w:val="false"/>
          <w:color w:val="000000"/>
          <w:sz w:val="20"/>
        </w:rPr>
        <w:t>Unless otherwise noted, the business address of each of the individuals and entities listed in the table above is c/o Senti Biosciences, Inc., 2 Corporate Drive, First Floor, South San Francisco, California 94080.</w:t>
      </w:r>
    </w:p>
    <w:p>
      <w:pPr>
        <w:pStyle w:val="TextBody"/>
        <w:spacing w:lineRule="auto" w:line="288" w:before="60" w:after="283"/>
        <w:ind w:left="0" w:right="0" w:hanging="720"/>
        <w:rPr/>
      </w:pPr>
      <w:r>
        <w:rPr>
          <w:rFonts w:ascii="Times New Roman;sans-serif" w:hAnsi="Times New Roman;sans-serif"/>
          <w:b w:val="false"/>
          <w:color w:val="000000"/>
          <w:sz w:val="13"/>
        </w:rPr>
        <w:t>(2)</w:t>
      </w:r>
      <w:r>
        <w:rPr>
          <w:rFonts w:ascii="Times New Roman;sans-serif" w:hAnsi="Times New Roman;sans-serif"/>
          <w:b w:val="false"/>
          <w:color w:val="000000"/>
          <w:sz w:val="20"/>
        </w:rPr>
        <w:t>Consists of (i) 559,496 shares of Common Stock held directly by Dr. Lu, (ii) 528,390 shares of Common Stock held by Luminen Services, LLC, as trustee of the Luminen Trust, of which Dr. Lu is the settlor, (iii) 528,390 shares of Common Stock held by Dr. Lu’s wife, Sandy Shan Wang, and (iv) 493,397 shares of Common Stock issuable upon exercise of stock options held by Dr. Lu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(3)</w:t>
      </w:r>
      <w:r>
        <w:rPr>
          <w:rFonts w:ascii="Times New Roman;sans-serif" w:hAnsi="Times New Roman;sans-serif"/>
          <w:b w:val="false"/>
          <w:color w:val="000000"/>
          <w:sz w:val="20"/>
        </w:rPr>
        <w:t>Consists of (i) 81,505 shares of Common Stock issuance upon exercise of stock options held by Dr. Knobelman that are exercisable within 60 days of March 31, 2023. None of Dr. Knobelman’s restricted stock units will vest within 60 days of March 31, 2023.</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60" w:after="283"/>
        <w:ind w:left="0" w:right="0" w:hanging="720"/>
        <w:rPr/>
      </w:pPr>
      <w:r>
        <w:rPr>
          <w:rFonts w:ascii="Times New Roman;sans-serif" w:hAnsi="Times New Roman;sans-serif"/>
          <w:b w:val="false"/>
          <w:color w:val="000000"/>
          <w:sz w:val="13"/>
        </w:rPr>
        <w:t>(4)</w:t>
      </w:r>
      <w:r>
        <w:rPr>
          <w:rFonts w:ascii="Times New Roman;sans-serif" w:hAnsi="Times New Roman;sans-serif"/>
          <w:b w:val="false"/>
          <w:color w:val="000000"/>
          <w:sz w:val="20"/>
        </w:rPr>
        <w:t>Consists of 8,124 shares of Common Stock issuance upon exercise of stock options held by Dr. Rajangam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(5)</w:t>
      </w:r>
      <w:r>
        <w:rPr>
          <w:rFonts w:ascii="Times New Roman;sans-serif" w:hAnsi="Times New Roman;sans-serif"/>
          <w:b w:val="false"/>
          <w:color w:val="000000"/>
          <w:sz w:val="20"/>
        </w:rPr>
        <w:t>Consists of 176,130 shares of Common Stock held directly by Dr. Collins and 36,478 shares of Common Stock issuable upon exercise of stock options held by Dr. Collins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(6)</w:t>
      </w:r>
      <w:r>
        <w:rPr>
          <w:rFonts w:ascii="Times New Roman;sans-serif" w:hAnsi="Times New Roman;sans-serif"/>
          <w:b w:val="false"/>
          <w:color w:val="000000"/>
          <w:sz w:val="20"/>
        </w:rPr>
        <w:t xml:space="preserve">Consists of 1,947,403 shares of Common Stock held by Dynamics Group, LLC and 34,722 shares of Common Stock issuable upon exercise of stock options held by Dr. Farokhzad that are exercisable within 60 days of March 31, 2023. Dr. Farokhzad controls and is the sole member of Dynamics Group, LLC. </w:t>
      </w:r>
    </w:p>
    <w:p>
      <w:pPr>
        <w:pStyle w:val="TextBody"/>
        <w:spacing w:lineRule="auto" w:line="288" w:before="60" w:after="283"/>
        <w:ind w:left="0" w:right="0" w:hanging="720"/>
        <w:rPr/>
      </w:pPr>
      <w:r>
        <w:rPr>
          <w:rFonts w:ascii="Times New Roman;sans-serif" w:hAnsi="Times New Roman;sans-serif"/>
          <w:b w:val="false"/>
          <w:color w:val="000000"/>
          <w:sz w:val="13"/>
        </w:rPr>
        <w:t>(7)</w:t>
      </w:r>
      <w:r>
        <w:rPr>
          <w:rFonts w:ascii="Times New Roman;sans-serif" w:hAnsi="Times New Roman;sans-serif"/>
          <w:b w:val="false"/>
          <w:color w:val="000000"/>
          <w:sz w:val="20"/>
        </w:rPr>
        <w:t>Consists of 62,881 shares of Common Stock issuable upon exercise of stock options held by Ms. Cooperstone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(8)</w:t>
      </w:r>
      <w:r>
        <w:rPr>
          <w:rFonts w:ascii="Times New Roman;sans-serif" w:hAnsi="Times New Roman;sans-serif"/>
          <w:b w:val="false"/>
          <w:color w:val="000000"/>
          <w:sz w:val="20"/>
        </w:rPr>
        <w:t>Consists of 43,160 shares of Common Stock issuable upon exercise of stock options held by Ms. Berland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(9)</w:t>
      </w:r>
      <w:r>
        <w:rPr>
          <w:rFonts w:ascii="Times New Roman;sans-serif" w:hAnsi="Times New Roman;sans-serif"/>
          <w:b w:val="false"/>
          <w:color w:val="000000"/>
          <w:sz w:val="20"/>
        </w:rPr>
        <w:t>Consists of 123,252 shares of Common Stock held by Mr. Epstein and 34,722 shares of Common Stock issuable upon exercise of stock options held by Mr. Epstein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(10)</w:t>
      </w:r>
      <w:r>
        <w:rPr>
          <w:rFonts w:ascii="Times New Roman;sans-serif" w:hAnsi="Times New Roman;sans-serif"/>
          <w:b w:val="false"/>
          <w:color w:val="000000"/>
          <w:sz w:val="20"/>
        </w:rPr>
        <w:t>Consists of 34,722 shares of Common Stock issuable upon exercise of stock options held by Mr. Mathers that are exercisable within 60 days of March 31, 2023.</w:t>
      </w:r>
    </w:p>
    <w:p>
      <w:pPr>
        <w:pStyle w:val="TextBody"/>
        <w:spacing w:lineRule="auto" w:line="288" w:before="60" w:after="283"/>
        <w:ind w:left="0" w:right="0" w:hanging="720"/>
        <w:rPr/>
      </w:pPr>
      <w:r>
        <w:rPr>
          <w:rFonts w:ascii="Times New Roman;sans-serif" w:hAnsi="Times New Roman;sans-serif"/>
          <w:b w:val="false"/>
          <w:color w:val="000000"/>
          <w:sz w:val="13"/>
        </w:rPr>
        <w:t>(11)</w:t>
      </w:r>
      <w:r>
        <w:rPr>
          <w:rFonts w:ascii="Times New Roman;sans-serif" w:hAnsi="Times New Roman;sans-serif"/>
          <w:b w:val="false"/>
          <w:color w:val="000000"/>
          <w:sz w:val="20"/>
        </w:rPr>
        <w:t>Consists of shares beneficially owned by the executive officers and directors listed in the table above and (i) 936,424 shares of Common Stock held directly by Philip Lee, Ph.D., and (ii) 12,817 shares of Common Stock issuable upon exercise of stock options that are exercisable within 60 days of March 31, 2023 held by Dr. Lee.</w:t>
      </w:r>
    </w:p>
    <w:p>
      <w:pPr>
        <w:pStyle w:val="TextBody"/>
        <w:spacing w:lineRule="auto" w:line="288" w:before="60" w:after="283"/>
        <w:ind w:left="0" w:right="0" w:hanging="720"/>
        <w:rPr/>
      </w:pPr>
      <w:r>
        <w:rPr>
          <w:rFonts w:ascii="Times New Roman;sans-serif" w:hAnsi="Times New Roman;sans-serif"/>
          <w:b w:val="false"/>
          <w:color w:val="000000"/>
          <w:sz w:val="13"/>
        </w:rPr>
        <w:t>(12)</w:t>
      </w:r>
      <w:r>
        <w:rPr>
          <w:rFonts w:ascii="Times New Roman;sans-serif" w:hAnsi="Times New Roman;sans-serif"/>
          <w:b w:val="false"/>
          <w:color w:val="000000"/>
          <w:sz w:val="20"/>
        </w:rPr>
        <w:t>Based on a Schedule 13G filed with the SEC on February 8, 2023. 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pStyle w:val="TextBody"/>
        <w:spacing w:lineRule="auto" w:line="288" w:before="60" w:after="283"/>
        <w:ind w:left="0" w:right="0" w:hanging="720"/>
        <w:rPr/>
      </w:pPr>
      <w:r>
        <w:rPr>
          <w:rFonts w:ascii="Times New Roman;sans-serif" w:hAnsi="Times New Roman;sans-serif"/>
          <w:b w:val="false"/>
          <w:color w:val="000000"/>
          <w:sz w:val="13"/>
        </w:rPr>
        <w:t>(13)</w:t>
      </w:r>
      <w:r>
        <w:rPr>
          <w:rFonts w:ascii="Times New Roman;sans-serif" w:hAnsi="Times New Roman;sans-serif"/>
          <w:b w:val="false"/>
          <w:color w:val="000000"/>
          <w:sz w:val="20"/>
        </w:rPr>
        <w:t>Based on a Schedule 13D filed with the SEC on July 15, 2022. Consists of 4,426,151 shares of Common Stock held by New Enterprise Associates 15, L.P. (“NEA 15”).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Scott D. Sandell and Peter Sonsini. NEA 15, NEA Partners 15, NEA 15 LLC and the NEA 15 Managers share voting and dispositive power with regard to the shares directly held by NEA 15. Mr. Edward Mathers, a member of the board of directors of the Combined Company, is a partner at New Enterprise Associates, Inc., which is affiliated with NEA 15, but does not have voting or investment power over the shares held by NEA 15. All indirect holders of the above referenced shares disclaim beneficial ownership of all applicable shares of Common Stock. The address for these entities and individuals is 1954 Greenspring Drive, Suite 600, Timonium, Maryland 21093.</w:t>
      </w:r>
    </w:p>
    <w:p>
      <w:pPr>
        <w:pStyle w:val="TextBody"/>
        <w:spacing w:lineRule="auto" w:line="268" w:before="0" w:after="0"/>
        <w:ind w:left="0" w:right="0" w:hanging="720"/>
        <w:rPr/>
      </w:pPr>
      <w:r>
        <w:rPr>
          <w:rFonts w:ascii="Arial;sans-serif" w:hAnsi="Arial;sans-serif"/>
          <w:b w:val="false"/>
          <w:color w:val="000000"/>
          <w:sz w:val="14"/>
        </w:rPr>
        <w:t>(14)</w:t>
      </w:r>
      <w:r>
        <w:rPr>
          <w:rFonts w:ascii="Times New Roman;sans-serif" w:hAnsi="Times New Roman;sans-serif"/>
          <w:b w:val="false"/>
          <w:color w:val="000000"/>
          <w:sz w:val="20"/>
        </w:rPr>
        <w:t xml:space="preserve">Based on a Schedule 13G filed with the SEC on February 13, 2023 by Bayer Healthcare LLC, Consists of 5,878,488 shares of Common Stock held by Bayer HealthCare LLC (“BHC”), Bayer US Holding LP (BUSH LP”), Bayer World Investments B.V. (“BWI”) and Bayer Aktiengesellschaft (“Bayer”) of which each of BUSH LP, BWI and Bayer share voting and dispositive power. BHC is an indirect wholly-owned subsidiary of Bayer AG, which may be deemed to be an indirect beneficial owner of the shares owned directly by Bayer. BHC is controlled by BUSH LP. BWI is the general partner of BUSH LP. BWI is an indirect, wholly owned subsidiary of Bayer. Accordingly, Bayer may be deemed to be an indirect beneficial owner of the shares of Common Stock beneficially owned directly by BHC. Kelly Gast, President of Bayer, and Brian Branca, Treasurer of Bayer, share voting and dispositive power over the shares held by Bayer. </w:t>
      </w:r>
      <w:r>
        <w:rPr>
          <w:rFonts w:ascii="Calibri;sans-serif" w:hAnsi="Calibri;sans-serif"/>
          <w:b w:val="false"/>
          <w:color w:val="000000"/>
          <w:sz w:val="24"/>
        </w:rPr>
        <w:t>T</w:t>
      </w:r>
      <w:r>
        <w:rPr>
          <w:rFonts w:ascii="Times New Roman;sans-serif" w:hAnsi="Times New Roman;sans-serif"/>
          <w:b w:val="false"/>
          <w:color w:val="000000"/>
          <w:sz w:val="20"/>
        </w:rPr>
        <w:t>he business address for BHC and BUSH LP is 100 Bayer Boulevard, Whippany, New Jersey 07981. The business address for BWI is Siriusdreef 36, 2132 WT Hoofddorp, The Netherlands 2132WT. The business address for Bayer is Bayerwerk, Gebaeude W11, Kaiser-Wilhelm-Allee 1, Leverkusen, Germany 51373.</w:t>
      </w:r>
    </w:p>
    <w:p>
      <w:pPr>
        <w:pStyle w:val="TextBody"/>
        <w:spacing w:lineRule="auto" w:line="288" w:before="60" w:after="283"/>
        <w:ind w:left="0" w:right="0" w:hanging="720"/>
        <w:rPr/>
      </w:pPr>
      <w:r>
        <w:rPr>
          <w:rFonts w:ascii="Times New Roman;sans-serif" w:hAnsi="Times New Roman;sans-serif"/>
          <w:b w:val="false"/>
          <w:color w:val="000000"/>
          <w:sz w:val="13"/>
        </w:rPr>
        <w:t>(15)</w:t>
      </w:r>
      <w:r>
        <w:rPr>
          <w:rFonts w:ascii="Times New Roman;sans-serif" w:hAnsi="Times New Roman;sans-serif"/>
          <w:b w:val="false"/>
          <w:color w:val="000000"/>
          <w:sz w:val="20"/>
        </w:rPr>
        <w:t>Based on a Schedule 13G filed with the SEC on February 14, 2023 by T.Rowe Price Associates, Inc. (TRPA”). Consists of 3,554,017 shares of common stock held by TRPA of which TRPA has sole voting power over 552,865 shares of common stock and sole dispositive power over 3,231,973 shares of common stock. TRPA is the wholly owned subsidiary of T. Rowe Price Group, Inc., which is a publicly traded financial services holding company. The address of each of these entities is 100 East Pratt Street, Baltimore, MD 21202.</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60" w:after="283"/>
        <w:ind w:left="0" w:right="0" w:hanging="720"/>
        <w:rPr/>
      </w:pPr>
      <w:r>
        <w:rPr>
          <w:rFonts w:ascii="Times New Roman;sans-serif" w:hAnsi="Times New Roman;sans-serif"/>
          <w:b w:val="false"/>
          <w:color w:val="000000"/>
          <w:sz w:val="13"/>
        </w:rPr>
        <w:t>(16)</w:t>
      </w:r>
      <w:r>
        <w:rPr>
          <w:rFonts w:ascii="Times New Roman;sans-serif" w:hAnsi="Times New Roman;sans-serif"/>
          <w:b w:val="false"/>
          <w:color w:val="000000"/>
          <w:sz w:val="20"/>
        </w:rPr>
        <w:t>The address of this entity is 3 East 28th Street, 7th Floor, New York, NY 10016.</w:t>
      </w:r>
    </w:p>
    <w:p>
      <w:pPr>
        <w:pStyle w:val="TextBody"/>
        <w:ind w:left="0" w:right="0" w:hanging="36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ind w:left="0" w:right="0" w:hanging="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 xml:space="preserve">DELINQUENT SECTION 16(a) REPORTS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Based solely on a review of reports furnished to us, or written representations from reporting persons, we believe all directors, executive officers, and 10% owners timely filed all reports regarding transactions in our securities required to be filed for 2022 by Section 16(a) under the Exchange Act, except that Bayer Healthcare LLC filed a late initial statement of beneficial ownership on Form 3 on February 13, 2023. In making this statement, the Company has relied solely upon an examination of the copies of Forms 3, 4 and 5, and amendments thereto, provided to the Company and the written representations of its reporting persons.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THE AUDIT COMMITTEE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appointed by the board of directors to assist the board of directors in fulfilling its oversight responsibilities with respect to (1) the integrity of Senti’s financial statements and financial reporting process and systems of internal controls regarding finance, accounting, and compliance with legal and regulatory requirements, (2) the qualifications, independence, and performance of Senti’s independent registered public accounting firm, (3) the performance of Senti’s internal audit function, if any, and (4) other matters as set forth in the charter of the audit committee approved by the board of directors.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is responsible for the preparation of Senti’s financial statements and the financial reporting process, including its system of internal control over financial reporting and its disclosure controls and procedures. The independent registered public accounting firm is responsible for performing an audit of Senti’s financial statements in accordance with the standards of the Public Company Accounting Oversight Board, or the PCAOB, and issuing a report thereon. The audit committee’s responsibility is to monitor and oversee these processes. </w:t>
      </w:r>
    </w:p>
    <w:p>
      <w:pPr>
        <w:pStyle w:val="TextBody"/>
        <w:spacing w:lineRule="auto" w:line="288" w:before="120" w:after="283"/>
        <w:rPr/>
      </w:pPr>
      <w:r>
        <w:rPr>
          <w:rFonts w:ascii="Times New Roman;sans-serif" w:hAnsi="Times New Roman;sans-serif"/>
          <w:b w:val="false"/>
          <w:color w:val="000000"/>
          <w:sz w:val="20"/>
        </w:rPr>
        <w:t xml:space="preserve">In connection with these responsibilities, the audit committee reviewed and discussed with management and the independent registered public accounting firm the audited financial statements of Senti Biosciences, Inc. for the fiscal year ended December 31, 2022. The audit committee also discussed with the independent registered public accounting firm the matters required to be discussed by the PCAOB’s Auditing Standard No. 1301, </w:t>
      </w:r>
      <w:r>
        <w:rPr>
          <w:rFonts w:ascii="Times New Roman;sans-serif" w:hAnsi="Times New Roman;sans-serif"/>
          <w:b w:val="false"/>
          <w:i/>
          <w:color w:val="000000"/>
          <w:sz w:val="20"/>
        </w:rPr>
        <w:t>Communication with Audit Committees</w:t>
      </w:r>
      <w:r>
        <w:rPr>
          <w:rFonts w:ascii="Times New Roman;sans-serif" w:hAnsi="Times New Roman;sans-serif"/>
          <w:b w:val="false"/>
          <w:color w:val="000000"/>
          <w:sz w:val="20"/>
        </w:rPr>
        <w:t xml:space="preserve">.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Based on the reviews and discussions referred to above, the audit committee recommended to the board of directors that the audited financial statements of Senti be included in Senti’s’s 2022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OF SENTI BIOSCIENCES, INC.</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Susan Berland, Chair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Edward Mathers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Omid Farokhzad, M.D.</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HOUSEHOLDING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Senti Biosciences, Inc., 2 Corporate Drive, First Floor, South San Francisco, CA, 94080, Attention: Corporate Secretary, telephone: (650) 382-3281.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STOCKHOLDER PROPOSALS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stockholder who would like to have a proposal considered for inclusion in our 2024 proxy statement must submit in accordance with procedures outlined Rule 14a-8 under the Exchange Act so that it is received by us no later than December 30, 2023. However, if the date of the 2024 annual meeting is changed by more than 30 days from the date of the previous year’s meeting, then the deadline is reasonable time before we begin to print and send proxy materials for the 2024 Annual Meeting of Stockholders. If that happens, we will publicly announce the deadline for submitting a proposal in a press release or in a document filed with the SEC. A proposal submitted outside the requirements of Rule 14a-8 under the Exchange Act will be considered untimely if received after March 14, 2024. Stockholder proposals and the required notice should be addressed to Senti Biosciences, Inc., 2 Corporate Drive, First Floor, South San Francisco, CA, 94080, Attention: Corporate Secretary.</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February 17, 2024 and no later than March 18, 2024.</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April 17, 2024. Stockholder proposals and the required notice should be addressed to Senti Biosciences, Inc., 2 Corporate Drive, First Floor, South San Francisco, CA, 94080, Attention: Corporate Secretary.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also encourage you to submit any such proposals and required notices via email to investors@sentibio.com.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240" w:after="283"/>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6286500" cy="813435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4"/>
                    <a:stretch>
                      <a:fillRect/>
                    </a:stretch>
                  </pic:blipFill>
                  <pic:spPr bwMode="auto">
                    <a:xfrm>
                      <a:off x="0" y="0"/>
                      <a:ext cx="6286500" cy="8134350"/>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jc w:val="center"/>
        <w:rPr/>
      </w:pPr>
      <w:r>
        <w:rPr/>
        <w:drawing>
          <wp:inline distT="0" distB="63500" distL="0" distR="0">
            <wp:extent cx="6286500" cy="8134350"/>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5"/>
                    <a:stretch>
                      <a:fillRect/>
                    </a:stretch>
                  </pic:blipFill>
                  <pic:spPr bwMode="auto">
                    <a:xfrm>
                      <a:off x="0" y="0"/>
                      <a:ext cx="6286500" cy="813435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25112</Words>
  <CharactersWithSpaces>158956</CharactersWithSpaces>
  <Paragraphs>1158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