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8,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20"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733"/>
        <w:gridCol w:w="733"/>
        <w:gridCol w:w="103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2026, Senti Biosciences Holdings, Inc. (the “Company”) convened its virtual 2026 Annual Meeting of Stockholders (the “Annual Meeting”), which the Company adjourned without conducting any business.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a quorum was present, the Company adjourned the Annual Meeting in order to have further time to solicit votes from its stockholders in favor of the Merger Agreement Proposal, as defined in the Company’s definitive proxy statement on Schedule 14A (the “Proxy Statement”) filed on September 24, 2026. The Meeting will be reconvened on Thursday, October 15, 2026 at 8:00 a.m., Pacific time, virtually via the Internet at www.virtualshareholdermeeting.com/SNTI2026.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changes have been made to the proposals to be voted on by stockholders at the Annual Meeting, and all polls will remain open. The Company encourages all of its stockholders to read the Proxy Statement, and other proxy materials relating to the Annual Meeting, which are available free of charge on the SEC’s website at www.sec.gov, and to vote on each of the proposals.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record date for the Annual Meeting remains September 23, 2026. Stockholders of the Company who have previously submitted their proxy or otherwise voted and who do not want to change their vote do not need to take any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may be deemed to be solicitation material in respect of the Annual Meeting to be reconvened on October 15, 2026. In connection with the Annual Meeting, the Company has filed with the SEC the Proxy Statement. BEFORE MAKING ANY VOTING DECISION, STOCKHOLDERS ARE URGED TO READ THE PROXY STATEMENT AND ANY OTHER RELEVANT DOCUMENTS FILED WITH THE SEC BECAUSE THEY CONTAIN IMPORTANT INFORMATION ABOUT THE ANNUAL MEETING AND THE PROPOSALS TO BE VOTED ON. Stockholders may obtain free copies of the Proxy Statement and other relevant documents filed by the Company with the SEC at the SEC's website at www.sec.gov or at the Company's website at www.sentibio.com.</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stockholders in respect of the Annual Meeting. Information regarding the Company’s directors and executive officers is available in the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86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388"/>
        <w:gridCol w:w="388"/>
        <w:gridCol w:w="388"/>
        <w:gridCol w:w="388"/>
        <w:gridCol w:w="388"/>
        <w:gridCol w:w="388"/>
        <w:gridCol w:w="626"/>
        <w:gridCol w:w="626"/>
        <w:gridCol w:w="8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4135</Characters>
  <CharactersWithSpaces>4802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