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87844.xml.htm"/>
      <w:bookmarkStart w:id="1" w:name="kswkform4_17927878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 Timothy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SENTI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CORPORATE DRIVE FIRST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Senti Biosciences Holdings, Inc.</w:t>
              </w:r>
            </w:hyperlink>
            <w:r>
              <w:rPr/>
              <w:t xml:space="preserve"> [ </w:t>
            </w:r>
            <w:r>
              <w:rPr>
                <w:rFonts w:ascii="Times;serif" w:hAnsi="Times;serif"/>
                <w:color w:val="0000FF"/>
                <w:sz w:val="24"/>
                <w:shd w:fill="FFFFFF" w:val="clear"/>
              </w:rPr>
              <w:t>SNTI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1055"/>
        <w:gridCol w:w="447"/>
        <w:gridCol w:w="610"/>
        <w:gridCol w:w="1151"/>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157,312</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52,839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52,839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Luminen Services, LLC, as trustee of the Luminen Trust, of which the reporting person is the settlor. The reporting person disclaims Section 16 beneficial ownership of the securities, except to the extent of his pecuniary interest therein, if any, and this report shall not be deemed to be an admission that he has beneficial ownership of such shares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Cutler,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2301" TargetMode="External"/><Relationship Id="rId5" Type="http://schemas.openxmlformats.org/officeDocument/2006/relationships/hyperlink" Target="http://www.sec.gov/cgi-bin/browse-edgar?action=getcompany&amp;CIK=0001854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3751</Characters>
  <CharactersWithSpaces>4372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